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B80" w:rsidRDefault="00C21B80"/>
    <w:p w:rsidR="00C21B80" w:rsidRDefault="00C21B80"/>
    <w:p w:rsidR="00C21B80" w:rsidRDefault="00C21B80"/>
    <w:p w:rsidR="00C21B80" w:rsidRDefault="00C21B80"/>
    <w:p w:rsidR="00C21B80" w:rsidRDefault="00C21B80"/>
    <w:p w:rsidR="00C21B80" w:rsidRDefault="00C21B80" w:rsidP="00C21B80">
      <w:pPr>
        <w:jc w:val="center"/>
        <w:rPr>
          <w:rFonts w:ascii="Arial" w:hAnsi="Arial" w:cs="Arial"/>
          <w:b/>
          <w:bCs w:val="0"/>
          <w:color w:val="000000"/>
          <w:sz w:val="28"/>
          <w:szCs w:val="18"/>
        </w:rPr>
      </w:pPr>
    </w:p>
    <w:p w:rsidR="00C21B80" w:rsidRDefault="00C21B80" w:rsidP="00C21B80">
      <w:pPr>
        <w:jc w:val="center"/>
        <w:rPr>
          <w:rFonts w:ascii="Arial" w:hAnsi="Arial" w:cs="Arial"/>
          <w:b/>
          <w:bCs w:val="0"/>
          <w:color w:val="000000"/>
          <w:sz w:val="28"/>
          <w:szCs w:val="18"/>
        </w:rPr>
      </w:pPr>
    </w:p>
    <w:p w:rsidR="00C21B80" w:rsidRDefault="00C21B80" w:rsidP="00C21B80">
      <w:pPr>
        <w:jc w:val="center"/>
        <w:rPr>
          <w:rFonts w:ascii="Arial" w:hAnsi="Arial" w:cs="Arial"/>
          <w:b/>
          <w:bCs w:val="0"/>
          <w:color w:val="000000"/>
          <w:sz w:val="28"/>
          <w:szCs w:val="18"/>
        </w:rPr>
      </w:pPr>
    </w:p>
    <w:p w:rsidR="00C21B80" w:rsidRDefault="00C21B80" w:rsidP="00C21B80">
      <w:pPr>
        <w:pBdr>
          <w:bottom w:val="single" w:sz="4" w:space="1" w:color="auto"/>
        </w:pBdr>
        <w:jc w:val="center"/>
        <w:rPr>
          <w:rFonts w:ascii="Arial" w:hAnsi="Arial" w:cs="Arial"/>
          <w:b/>
          <w:bCs w:val="0"/>
          <w:color w:val="000000"/>
          <w:sz w:val="28"/>
          <w:szCs w:val="18"/>
        </w:rPr>
      </w:pPr>
    </w:p>
    <w:p w:rsidR="00C21B80" w:rsidRDefault="00C21B80" w:rsidP="00C21B80">
      <w:pPr>
        <w:jc w:val="center"/>
        <w:rPr>
          <w:rFonts w:ascii="Arial" w:hAnsi="Arial" w:cs="Arial"/>
          <w:b/>
          <w:bCs w:val="0"/>
          <w:color w:val="000000"/>
          <w:sz w:val="28"/>
          <w:szCs w:val="18"/>
        </w:rPr>
      </w:pPr>
      <w:r w:rsidRPr="00C21B80">
        <w:rPr>
          <w:rFonts w:ascii="Arial" w:hAnsi="Arial" w:cs="Arial"/>
          <w:b/>
          <w:bCs w:val="0"/>
          <w:color w:val="000000"/>
          <w:sz w:val="28"/>
          <w:szCs w:val="18"/>
        </w:rPr>
        <w:t>KNIGHT-SWIFT TRANSPORTATION HOLDINGS INC</w:t>
      </w:r>
    </w:p>
    <w:p w:rsidR="00C21B80" w:rsidRDefault="00C21B80" w:rsidP="00C21B80">
      <w:pPr>
        <w:jc w:val="center"/>
        <w:rPr>
          <w:rFonts w:ascii="Arial" w:hAnsi="Arial" w:cs="Arial"/>
          <w:b/>
          <w:bCs w:val="0"/>
          <w:color w:val="000000"/>
          <w:sz w:val="28"/>
          <w:szCs w:val="18"/>
        </w:rPr>
      </w:pPr>
      <w:r>
        <w:rPr>
          <w:rFonts w:ascii="Arial" w:hAnsi="Arial" w:cs="Arial"/>
          <w:b/>
          <w:bCs w:val="0"/>
          <w:color w:val="000000"/>
          <w:sz w:val="28"/>
          <w:szCs w:val="18"/>
        </w:rPr>
        <w:t>Overview</w:t>
      </w:r>
    </w:p>
    <w:p w:rsidR="00C21B80" w:rsidRPr="00C21B80" w:rsidRDefault="00C21B80" w:rsidP="00C21B80">
      <w:pPr>
        <w:pBdr>
          <w:bottom w:val="single" w:sz="4" w:space="1" w:color="auto"/>
        </w:pBdr>
        <w:jc w:val="center"/>
        <w:rPr>
          <w:sz w:val="36"/>
        </w:rPr>
      </w:pPr>
    </w:p>
    <w:p w:rsidR="00C21B80" w:rsidRDefault="00C21B80" w:rsidP="00C21B80">
      <w:r>
        <w:br w:type="page"/>
      </w:r>
    </w:p>
    <w:sdt>
      <w:sdtPr>
        <w:id w:val="1840010624"/>
        <w:docPartObj>
          <w:docPartGallery w:val="Table of Contents"/>
          <w:docPartUnique/>
        </w:docPartObj>
      </w:sdtPr>
      <w:sdtEndPr>
        <w:rPr>
          <w:rFonts w:asciiTheme="minorHAnsi" w:eastAsia="Times New Roman" w:hAnsiTheme="minorHAnsi" w:cs="Times New Roman"/>
          <w:b w:val="0"/>
          <w:color w:val="auto"/>
          <w:sz w:val="22"/>
          <w:szCs w:val="22"/>
        </w:rPr>
      </w:sdtEndPr>
      <w:sdtContent>
        <w:p w:rsidR="00C21B80" w:rsidRDefault="00C21B80">
          <w:pPr>
            <w:pStyle w:val="TOCHeading"/>
          </w:pPr>
          <w:r>
            <w:t>Contents</w:t>
          </w:r>
        </w:p>
        <w:p w:rsidR="00C21B80" w:rsidRDefault="00C21B80">
          <w:pPr>
            <w:pStyle w:val="TOC1"/>
            <w:tabs>
              <w:tab w:val="right" w:leader="dot" w:pos="9350"/>
            </w:tabs>
            <w:rPr>
              <w:noProof/>
            </w:rPr>
          </w:pPr>
          <w:r>
            <w:fldChar w:fldCharType="begin"/>
          </w:r>
          <w:r>
            <w:instrText xml:space="preserve"> TOC \o "1-3" \h \z \u </w:instrText>
          </w:r>
          <w:r>
            <w:fldChar w:fldCharType="separate"/>
          </w:r>
          <w:hyperlink w:anchor="_Toc526330196" w:history="1">
            <w:r w:rsidRPr="00D6673D">
              <w:rPr>
                <w:rStyle w:val="Hyperlink"/>
                <w:noProof/>
              </w:rPr>
              <w:t>Company Overview</w:t>
            </w:r>
            <w:r>
              <w:rPr>
                <w:noProof/>
                <w:webHidden/>
              </w:rPr>
              <w:tab/>
            </w:r>
            <w:r>
              <w:rPr>
                <w:noProof/>
                <w:webHidden/>
              </w:rPr>
              <w:fldChar w:fldCharType="begin"/>
            </w:r>
            <w:r>
              <w:rPr>
                <w:noProof/>
                <w:webHidden/>
              </w:rPr>
              <w:instrText xml:space="preserve"> PAGEREF _Toc526330196 \h </w:instrText>
            </w:r>
            <w:r>
              <w:rPr>
                <w:noProof/>
                <w:webHidden/>
              </w:rPr>
            </w:r>
            <w:r>
              <w:rPr>
                <w:noProof/>
                <w:webHidden/>
              </w:rPr>
              <w:fldChar w:fldCharType="separate"/>
            </w:r>
            <w:r>
              <w:rPr>
                <w:noProof/>
                <w:webHidden/>
              </w:rPr>
              <w:t>3</w:t>
            </w:r>
            <w:r>
              <w:rPr>
                <w:noProof/>
                <w:webHidden/>
              </w:rPr>
              <w:fldChar w:fldCharType="end"/>
            </w:r>
          </w:hyperlink>
        </w:p>
        <w:p w:rsidR="00C21B80" w:rsidRDefault="00C21B80">
          <w:pPr>
            <w:pStyle w:val="TOC1"/>
            <w:tabs>
              <w:tab w:val="right" w:leader="dot" w:pos="9350"/>
            </w:tabs>
            <w:rPr>
              <w:noProof/>
            </w:rPr>
          </w:pPr>
          <w:hyperlink w:anchor="_Toc526330197" w:history="1">
            <w:r w:rsidRPr="00D6673D">
              <w:rPr>
                <w:rStyle w:val="Hyperlink"/>
                <w:noProof/>
              </w:rPr>
              <w:t>Industry and Competition</w:t>
            </w:r>
            <w:r>
              <w:rPr>
                <w:noProof/>
                <w:webHidden/>
              </w:rPr>
              <w:tab/>
            </w:r>
            <w:r>
              <w:rPr>
                <w:noProof/>
                <w:webHidden/>
              </w:rPr>
              <w:fldChar w:fldCharType="begin"/>
            </w:r>
            <w:r>
              <w:rPr>
                <w:noProof/>
                <w:webHidden/>
              </w:rPr>
              <w:instrText xml:space="preserve"> PAGEREF _Toc526330197 \h </w:instrText>
            </w:r>
            <w:r>
              <w:rPr>
                <w:noProof/>
                <w:webHidden/>
              </w:rPr>
            </w:r>
            <w:r>
              <w:rPr>
                <w:noProof/>
                <w:webHidden/>
              </w:rPr>
              <w:fldChar w:fldCharType="separate"/>
            </w:r>
            <w:r>
              <w:rPr>
                <w:noProof/>
                <w:webHidden/>
              </w:rPr>
              <w:t>3</w:t>
            </w:r>
            <w:r>
              <w:rPr>
                <w:noProof/>
                <w:webHidden/>
              </w:rPr>
              <w:fldChar w:fldCharType="end"/>
            </w:r>
          </w:hyperlink>
        </w:p>
        <w:p w:rsidR="00C21B80" w:rsidRDefault="00C21B80">
          <w:pPr>
            <w:pStyle w:val="TOC1"/>
            <w:tabs>
              <w:tab w:val="right" w:leader="dot" w:pos="9350"/>
            </w:tabs>
            <w:rPr>
              <w:noProof/>
            </w:rPr>
          </w:pPr>
          <w:hyperlink w:anchor="_Toc526330198" w:history="1">
            <w:r w:rsidRPr="00D6673D">
              <w:rPr>
                <w:rStyle w:val="Hyperlink"/>
                <w:noProof/>
              </w:rPr>
              <w:t>Competitive Strengths</w:t>
            </w:r>
            <w:r>
              <w:rPr>
                <w:noProof/>
                <w:webHidden/>
              </w:rPr>
              <w:tab/>
            </w:r>
            <w:r>
              <w:rPr>
                <w:noProof/>
                <w:webHidden/>
              </w:rPr>
              <w:fldChar w:fldCharType="begin"/>
            </w:r>
            <w:r>
              <w:rPr>
                <w:noProof/>
                <w:webHidden/>
              </w:rPr>
              <w:instrText xml:space="preserve"> PAGEREF _Toc526330198 \h </w:instrText>
            </w:r>
            <w:r>
              <w:rPr>
                <w:noProof/>
                <w:webHidden/>
              </w:rPr>
            </w:r>
            <w:r>
              <w:rPr>
                <w:noProof/>
                <w:webHidden/>
              </w:rPr>
              <w:fldChar w:fldCharType="separate"/>
            </w:r>
            <w:r>
              <w:rPr>
                <w:noProof/>
                <w:webHidden/>
              </w:rPr>
              <w:t>4</w:t>
            </w:r>
            <w:r>
              <w:rPr>
                <w:noProof/>
                <w:webHidden/>
              </w:rPr>
              <w:fldChar w:fldCharType="end"/>
            </w:r>
          </w:hyperlink>
        </w:p>
        <w:p w:rsidR="00C21B80" w:rsidRDefault="00C21B80">
          <w:pPr>
            <w:pStyle w:val="TOC1"/>
            <w:tabs>
              <w:tab w:val="right" w:leader="dot" w:pos="9350"/>
            </w:tabs>
            <w:rPr>
              <w:noProof/>
            </w:rPr>
          </w:pPr>
          <w:hyperlink w:anchor="_Toc526330199" w:history="1">
            <w:r w:rsidRPr="00D6673D">
              <w:rPr>
                <w:rStyle w:val="Hyperlink"/>
                <w:noProof/>
              </w:rPr>
              <w:t>Segment Operating Strategies</w:t>
            </w:r>
            <w:r>
              <w:rPr>
                <w:noProof/>
                <w:webHidden/>
              </w:rPr>
              <w:tab/>
            </w:r>
            <w:r>
              <w:rPr>
                <w:noProof/>
                <w:webHidden/>
              </w:rPr>
              <w:fldChar w:fldCharType="begin"/>
            </w:r>
            <w:r>
              <w:rPr>
                <w:noProof/>
                <w:webHidden/>
              </w:rPr>
              <w:instrText xml:space="preserve"> PAGEREF _Toc526330199 \h </w:instrText>
            </w:r>
            <w:r>
              <w:rPr>
                <w:noProof/>
                <w:webHidden/>
              </w:rPr>
            </w:r>
            <w:r>
              <w:rPr>
                <w:noProof/>
                <w:webHidden/>
              </w:rPr>
              <w:fldChar w:fldCharType="separate"/>
            </w:r>
            <w:r>
              <w:rPr>
                <w:noProof/>
                <w:webHidden/>
              </w:rPr>
              <w:t>5</w:t>
            </w:r>
            <w:r>
              <w:rPr>
                <w:noProof/>
                <w:webHidden/>
              </w:rPr>
              <w:fldChar w:fldCharType="end"/>
            </w:r>
          </w:hyperlink>
        </w:p>
        <w:p w:rsidR="00C21B80" w:rsidRDefault="00C21B80">
          <w:pPr>
            <w:pStyle w:val="TOC2"/>
            <w:tabs>
              <w:tab w:val="right" w:leader="dot" w:pos="9350"/>
            </w:tabs>
            <w:rPr>
              <w:noProof/>
            </w:rPr>
          </w:pPr>
          <w:hyperlink w:anchor="_Toc526330200" w:history="1">
            <w:r w:rsidRPr="00D6673D">
              <w:rPr>
                <w:rStyle w:val="Hyperlink"/>
                <w:noProof/>
              </w:rPr>
              <w:t>Trucking Segments</w:t>
            </w:r>
            <w:r>
              <w:rPr>
                <w:noProof/>
                <w:webHidden/>
              </w:rPr>
              <w:tab/>
            </w:r>
            <w:r>
              <w:rPr>
                <w:noProof/>
                <w:webHidden/>
              </w:rPr>
              <w:fldChar w:fldCharType="begin"/>
            </w:r>
            <w:r>
              <w:rPr>
                <w:noProof/>
                <w:webHidden/>
              </w:rPr>
              <w:instrText xml:space="preserve"> PAGEREF _Toc526330200 \h </w:instrText>
            </w:r>
            <w:r>
              <w:rPr>
                <w:noProof/>
                <w:webHidden/>
              </w:rPr>
            </w:r>
            <w:r>
              <w:rPr>
                <w:noProof/>
                <w:webHidden/>
              </w:rPr>
              <w:fldChar w:fldCharType="separate"/>
            </w:r>
            <w:r>
              <w:rPr>
                <w:noProof/>
                <w:webHidden/>
              </w:rPr>
              <w:t>6</w:t>
            </w:r>
            <w:r>
              <w:rPr>
                <w:noProof/>
                <w:webHidden/>
              </w:rPr>
              <w:fldChar w:fldCharType="end"/>
            </w:r>
          </w:hyperlink>
        </w:p>
        <w:p w:rsidR="00C21B80" w:rsidRDefault="00C21B80">
          <w:pPr>
            <w:pStyle w:val="TOC2"/>
            <w:tabs>
              <w:tab w:val="right" w:leader="dot" w:pos="9350"/>
            </w:tabs>
            <w:rPr>
              <w:noProof/>
            </w:rPr>
          </w:pPr>
          <w:hyperlink w:anchor="_Toc526330201" w:history="1">
            <w:r w:rsidRPr="00D6673D">
              <w:rPr>
                <w:rStyle w:val="Hyperlink"/>
                <w:noProof/>
              </w:rPr>
              <w:t>Logistics Business</w:t>
            </w:r>
            <w:r>
              <w:rPr>
                <w:noProof/>
                <w:webHidden/>
              </w:rPr>
              <w:tab/>
            </w:r>
            <w:r>
              <w:rPr>
                <w:noProof/>
                <w:webHidden/>
              </w:rPr>
              <w:fldChar w:fldCharType="begin"/>
            </w:r>
            <w:r>
              <w:rPr>
                <w:noProof/>
                <w:webHidden/>
              </w:rPr>
              <w:instrText xml:space="preserve"> PAGEREF _Toc526330201 \h </w:instrText>
            </w:r>
            <w:r>
              <w:rPr>
                <w:noProof/>
                <w:webHidden/>
              </w:rPr>
            </w:r>
            <w:r>
              <w:rPr>
                <w:noProof/>
                <w:webHidden/>
              </w:rPr>
              <w:fldChar w:fldCharType="separate"/>
            </w:r>
            <w:r>
              <w:rPr>
                <w:noProof/>
                <w:webHidden/>
              </w:rPr>
              <w:t>6</w:t>
            </w:r>
            <w:r>
              <w:rPr>
                <w:noProof/>
                <w:webHidden/>
              </w:rPr>
              <w:fldChar w:fldCharType="end"/>
            </w:r>
          </w:hyperlink>
        </w:p>
        <w:p w:rsidR="00C21B80" w:rsidRDefault="00C21B80">
          <w:pPr>
            <w:pStyle w:val="TOC2"/>
            <w:tabs>
              <w:tab w:val="right" w:leader="dot" w:pos="9350"/>
            </w:tabs>
            <w:rPr>
              <w:noProof/>
            </w:rPr>
          </w:pPr>
          <w:hyperlink w:anchor="_Toc526330202" w:history="1">
            <w:r w:rsidRPr="00D6673D">
              <w:rPr>
                <w:rStyle w:val="Hyperlink"/>
                <w:noProof/>
              </w:rPr>
              <w:t>Growth Strategies</w:t>
            </w:r>
            <w:r>
              <w:rPr>
                <w:noProof/>
                <w:webHidden/>
              </w:rPr>
              <w:tab/>
            </w:r>
            <w:r>
              <w:rPr>
                <w:noProof/>
                <w:webHidden/>
              </w:rPr>
              <w:fldChar w:fldCharType="begin"/>
            </w:r>
            <w:r>
              <w:rPr>
                <w:noProof/>
                <w:webHidden/>
              </w:rPr>
              <w:instrText xml:space="preserve"> PAGEREF _Toc526330202 \h </w:instrText>
            </w:r>
            <w:r>
              <w:rPr>
                <w:noProof/>
                <w:webHidden/>
              </w:rPr>
            </w:r>
            <w:r>
              <w:rPr>
                <w:noProof/>
                <w:webHidden/>
              </w:rPr>
              <w:fldChar w:fldCharType="separate"/>
            </w:r>
            <w:r>
              <w:rPr>
                <w:noProof/>
                <w:webHidden/>
              </w:rPr>
              <w:t>6</w:t>
            </w:r>
            <w:r>
              <w:rPr>
                <w:noProof/>
                <w:webHidden/>
              </w:rPr>
              <w:fldChar w:fldCharType="end"/>
            </w:r>
          </w:hyperlink>
        </w:p>
        <w:p w:rsidR="00C21B80" w:rsidRDefault="00C21B80">
          <w:pPr>
            <w:pStyle w:val="TOC1"/>
            <w:tabs>
              <w:tab w:val="right" w:leader="dot" w:pos="9350"/>
            </w:tabs>
            <w:rPr>
              <w:noProof/>
            </w:rPr>
          </w:pPr>
          <w:hyperlink w:anchor="_Toc526330203" w:history="1">
            <w:r w:rsidRPr="00D6673D">
              <w:rPr>
                <w:rStyle w:val="Hyperlink"/>
                <w:noProof/>
              </w:rPr>
              <w:t>Customers</w:t>
            </w:r>
            <w:r>
              <w:rPr>
                <w:noProof/>
                <w:webHidden/>
              </w:rPr>
              <w:tab/>
            </w:r>
            <w:r>
              <w:rPr>
                <w:noProof/>
                <w:webHidden/>
              </w:rPr>
              <w:fldChar w:fldCharType="begin"/>
            </w:r>
            <w:r>
              <w:rPr>
                <w:noProof/>
                <w:webHidden/>
              </w:rPr>
              <w:instrText xml:space="preserve"> PAGEREF _Toc526330203 \h </w:instrText>
            </w:r>
            <w:r>
              <w:rPr>
                <w:noProof/>
                <w:webHidden/>
              </w:rPr>
            </w:r>
            <w:r>
              <w:rPr>
                <w:noProof/>
                <w:webHidden/>
              </w:rPr>
              <w:fldChar w:fldCharType="separate"/>
            </w:r>
            <w:r>
              <w:rPr>
                <w:noProof/>
                <w:webHidden/>
              </w:rPr>
              <w:t>6</w:t>
            </w:r>
            <w:r>
              <w:rPr>
                <w:noProof/>
                <w:webHidden/>
              </w:rPr>
              <w:fldChar w:fldCharType="end"/>
            </w:r>
          </w:hyperlink>
        </w:p>
        <w:p w:rsidR="00C21B80" w:rsidRDefault="00C21B80">
          <w:pPr>
            <w:pStyle w:val="TOC1"/>
            <w:tabs>
              <w:tab w:val="right" w:leader="dot" w:pos="9350"/>
            </w:tabs>
            <w:rPr>
              <w:noProof/>
            </w:rPr>
          </w:pPr>
          <w:hyperlink w:anchor="_Toc526330204" w:history="1">
            <w:r w:rsidRPr="00D6673D">
              <w:rPr>
                <w:rStyle w:val="Hyperlink"/>
                <w:noProof/>
              </w:rPr>
              <w:t>Revenue Equipment</w:t>
            </w:r>
            <w:r>
              <w:rPr>
                <w:noProof/>
                <w:webHidden/>
              </w:rPr>
              <w:tab/>
            </w:r>
            <w:r>
              <w:rPr>
                <w:noProof/>
                <w:webHidden/>
              </w:rPr>
              <w:fldChar w:fldCharType="begin"/>
            </w:r>
            <w:r>
              <w:rPr>
                <w:noProof/>
                <w:webHidden/>
              </w:rPr>
              <w:instrText xml:space="preserve"> PAGEREF _Toc526330204 \h </w:instrText>
            </w:r>
            <w:r>
              <w:rPr>
                <w:noProof/>
                <w:webHidden/>
              </w:rPr>
            </w:r>
            <w:r>
              <w:rPr>
                <w:noProof/>
                <w:webHidden/>
              </w:rPr>
              <w:fldChar w:fldCharType="separate"/>
            </w:r>
            <w:r>
              <w:rPr>
                <w:noProof/>
                <w:webHidden/>
              </w:rPr>
              <w:t>7</w:t>
            </w:r>
            <w:r>
              <w:rPr>
                <w:noProof/>
                <w:webHidden/>
              </w:rPr>
              <w:fldChar w:fldCharType="end"/>
            </w:r>
          </w:hyperlink>
        </w:p>
        <w:p w:rsidR="00C21B80" w:rsidRDefault="00C21B80">
          <w:pPr>
            <w:pStyle w:val="TOC1"/>
            <w:tabs>
              <w:tab w:val="right" w:leader="dot" w:pos="9350"/>
            </w:tabs>
            <w:rPr>
              <w:noProof/>
            </w:rPr>
          </w:pPr>
          <w:hyperlink w:anchor="_Toc526330205" w:history="1">
            <w:r w:rsidRPr="00D6673D">
              <w:rPr>
                <w:rStyle w:val="Hyperlink"/>
                <w:noProof/>
              </w:rPr>
              <w:t>Employees</w:t>
            </w:r>
            <w:r>
              <w:rPr>
                <w:noProof/>
                <w:webHidden/>
              </w:rPr>
              <w:tab/>
            </w:r>
            <w:r>
              <w:rPr>
                <w:noProof/>
                <w:webHidden/>
              </w:rPr>
              <w:fldChar w:fldCharType="begin"/>
            </w:r>
            <w:r>
              <w:rPr>
                <w:noProof/>
                <w:webHidden/>
              </w:rPr>
              <w:instrText xml:space="preserve"> PAGEREF _Toc526330205 \h </w:instrText>
            </w:r>
            <w:r>
              <w:rPr>
                <w:noProof/>
                <w:webHidden/>
              </w:rPr>
            </w:r>
            <w:r>
              <w:rPr>
                <w:noProof/>
                <w:webHidden/>
              </w:rPr>
              <w:fldChar w:fldCharType="separate"/>
            </w:r>
            <w:r>
              <w:rPr>
                <w:noProof/>
                <w:webHidden/>
              </w:rPr>
              <w:t>8</w:t>
            </w:r>
            <w:r>
              <w:rPr>
                <w:noProof/>
                <w:webHidden/>
              </w:rPr>
              <w:fldChar w:fldCharType="end"/>
            </w:r>
          </w:hyperlink>
        </w:p>
        <w:p w:rsidR="00C21B80" w:rsidRDefault="00C21B80">
          <w:pPr>
            <w:pStyle w:val="TOC2"/>
            <w:tabs>
              <w:tab w:val="right" w:leader="dot" w:pos="9350"/>
            </w:tabs>
            <w:rPr>
              <w:noProof/>
            </w:rPr>
          </w:pPr>
          <w:hyperlink w:anchor="_Toc526330206" w:history="1">
            <w:r w:rsidRPr="00D6673D">
              <w:rPr>
                <w:rStyle w:val="Hyperlink"/>
                <w:noProof/>
              </w:rPr>
              <w:t>Safety</w:t>
            </w:r>
            <w:r>
              <w:rPr>
                <w:noProof/>
                <w:webHidden/>
              </w:rPr>
              <w:tab/>
            </w:r>
            <w:r>
              <w:rPr>
                <w:noProof/>
                <w:webHidden/>
              </w:rPr>
              <w:fldChar w:fldCharType="begin"/>
            </w:r>
            <w:r>
              <w:rPr>
                <w:noProof/>
                <w:webHidden/>
              </w:rPr>
              <w:instrText xml:space="preserve"> PAGEREF _Toc526330206 \h </w:instrText>
            </w:r>
            <w:r>
              <w:rPr>
                <w:noProof/>
                <w:webHidden/>
              </w:rPr>
            </w:r>
            <w:r>
              <w:rPr>
                <w:noProof/>
                <w:webHidden/>
              </w:rPr>
              <w:fldChar w:fldCharType="separate"/>
            </w:r>
            <w:r>
              <w:rPr>
                <w:noProof/>
                <w:webHidden/>
              </w:rPr>
              <w:t>8</w:t>
            </w:r>
            <w:r>
              <w:rPr>
                <w:noProof/>
                <w:webHidden/>
              </w:rPr>
              <w:fldChar w:fldCharType="end"/>
            </w:r>
          </w:hyperlink>
        </w:p>
        <w:p w:rsidR="00C21B80" w:rsidRDefault="00C21B80">
          <w:pPr>
            <w:pStyle w:val="TOC2"/>
            <w:tabs>
              <w:tab w:val="right" w:leader="dot" w:pos="9350"/>
            </w:tabs>
            <w:rPr>
              <w:noProof/>
            </w:rPr>
          </w:pPr>
          <w:hyperlink w:anchor="_Toc526330207" w:history="1">
            <w:r w:rsidRPr="00D6673D">
              <w:rPr>
                <w:rStyle w:val="Hyperlink"/>
                <w:noProof/>
              </w:rPr>
              <w:t>Insurance</w:t>
            </w:r>
            <w:r>
              <w:rPr>
                <w:noProof/>
                <w:webHidden/>
              </w:rPr>
              <w:tab/>
            </w:r>
            <w:r>
              <w:rPr>
                <w:noProof/>
                <w:webHidden/>
              </w:rPr>
              <w:fldChar w:fldCharType="begin"/>
            </w:r>
            <w:r>
              <w:rPr>
                <w:noProof/>
                <w:webHidden/>
              </w:rPr>
              <w:instrText xml:space="preserve"> PAGEREF _Toc526330207 \h </w:instrText>
            </w:r>
            <w:r>
              <w:rPr>
                <w:noProof/>
                <w:webHidden/>
              </w:rPr>
            </w:r>
            <w:r>
              <w:rPr>
                <w:noProof/>
                <w:webHidden/>
              </w:rPr>
              <w:fldChar w:fldCharType="separate"/>
            </w:r>
            <w:r>
              <w:rPr>
                <w:noProof/>
                <w:webHidden/>
              </w:rPr>
              <w:t>9</w:t>
            </w:r>
            <w:r>
              <w:rPr>
                <w:noProof/>
                <w:webHidden/>
              </w:rPr>
              <w:fldChar w:fldCharType="end"/>
            </w:r>
          </w:hyperlink>
        </w:p>
        <w:p w:rsidR="00C21B80" w:rsidRDefault="00C21B80">
          <w:pPr>
            <w:pStyle w:val="TOC2"/>
            <w:tabs>
              <w:tab w:val="right" w:leader="dot" w:pos="9350"/>
            </w:tabs>
            <w:rPr>
              <w:noProof/>
            </w:rPr>
          </w:pPr>
          <w:hyperlink w:anchor="_Toc526330208" w:history="1">
            <w:r w:rsidRPr="00D6673D">
              <w:rPr>
                <w:rStyle w:val="Hyperlink"/>
                <w:noProof/>
              </w:rPr>
              <w:t>Fuel</w:t>
            </w:r>
            <w:r>
              <w:rPr>
                <w:noProof/>
                <w:webHidden/>
              </w:rPr>
              <w:tab/>
            </w:r>
            <w:r>
              <w:rPr>
                <w:noProof/>
                <w:webHidden/>
              </w:rPr>
              <w:fldChar w:fldCharType="begin"/>
            </w:r>
            <w:r>
              <w:rPr>
                <w:noProof/>
                <w:webHidden/>
              </w:rPr>
              <w:instrText xml:space="preserve"> PAGEREF _Toc526330208 \h </w:instrText>
            </w:r>
            <w:r>
              <w:rPr>
                <w:noProof/>
                <w:webHidden/>
              </w:rPr>
            </w:r>
            <w:r>
              <w:rPr>
                <w:noProof/>
                <w:webHidden/>
              </w:rPr>
              <w:fldChar w:fldCharType="separate"/>
            </w:r>
            <w:r>
              <w:rPr>
                <w:noProof/>
                <w:webHidden/>
              </w:rPr>
              <w:t>9</w:t>
            </w:r>
            <w:r>
              <w:rPr>
                <w:noProof/>
                <w:webHidden/>
              </w:rPr>
              <w:fldChar w:fldCharType="end"/>
            </w:r>
          </w:hyperlink>
        </w:p>
        <w:p w:rsidR="00C21B80" w:rsidRDefault="00C21B80">
          <w:pPr>
            <w:pStyle w:val="TOC2"/>
            <w:tabs>
              <w:tab w:val="right" w:leader="dot" w:pos="9350"/>
            </w:tabs>
            <w:rPr>
              <w:noProof/>
            </w:rPr>
          </w:pPr>
          <w:hyperlink w:anchor="_Toc526330209" w:history="1">
            <w:r w:rsidRPr="00D6673D">
              <w:rPr>
                <w:rStyle w:val="Hyperlink"/>
                <w:noProof/>
              </w:rPr>
              <w:t>Seasonality</w:t>
            </w:r>
            <w:r>
              <w:rPr>
                <w:noProof/>
                <w:webHidden/>
              </w:rPr>
              <w:tab/>
            </w:r>
            <w:r>
              <w:rPr>
                <w:noProof/>
                <w:webHidden/>
              </w:rPr>
              <w:fldChar w:fldCharType="begin"/>
            </w:r>
            <w:r>
              <w:rPr>
                <w:noProof/>
                <w:webHidden/>
              </w:rPr>
              <w:instrText xml:space="preserve"> PAGEREF _Toc526330209 \h </w:instrText>
            </w:r>
            <w:r>
              <w:rPr>
                <w:noProof/>
                <w:webHidden/>
              </w:rPr>
            </w:r>
            <w:r>
              <w:rPr>
                <w:noProof/>
                <w:webHidden/>
              </w:rPr>
              <w:fldChar w:fldCharType="separate"/>
            </w:r>
            <w:r>
              <w:rPr>
                <w:noProof/>
                <w:webHidden/>
              </w:rPr>
              <w:t>9</w:t>
            </w:r>
            <w:r>
              <w:rPr>
                <w:noProof/>
                <w:webHidden/>
              </w:rPr>
              <w:fldChar w:fldCharType="end"/>
            </w:r>
          </w:hyperlink>
        </w:p>
        <w:p w:rsidR="00C21B80" w:rsidRDefault="00C21B80">
          <w:pPr>
            <w:pStyle w:val="TOC1"/>
            <w:tabs>
              <w:tab w:val="right" w:leader="dot" w:pos="9350"/>
            </w:tabs>
            <w:rPr>
              <w:noProof/>
            </w:rPr>
          </w:pPr>
          <w:hyperlink w:anchor="_Toc526330210" w:history="1">
            <w:r w:rsidRPr="00D6673D">
              <w:rPr>
                <w:rStyle w:val="Hyperlink"/>
                <w:noProof/>
              </w:rPr>
              <w:t>Industry Regulation</w:t>
            </w:r>
            <w:r>
              <w:rPr>
                <w:noProof/>
                <w:webHidden/>
              </w:rPr>
              <w:tab/>
            </w:r>
            <w:r>
              <w:rPr>
                <w:noProof/>
                <w:webHidden/>
              </w:rPr>
              <w:fldChar w:fldCharType="begin"/>
            </w:r>
            <w:r>
              <w:rPr>
                <w:noProof/>
                <w:webHidden/>
              </w:rPr>
              <w:instrText xml:space="preserve"> PAGEREF _Toc526330210 \h </w:instrText>
            </w:r>
            <w:r>
              <w:rPr>
                <w:noProof/>
                <w:webHidden/>
              </w:rPr>
            </w:r>
            <w:r>
              <w:rPr>
                <w:noProof/>
                <w:webHidden/>
              </w:rPr>
              <w:fldChar w:fldCharType="separate"/>
            </w:r>
            <w:r>
              <w:rPr>
                <w:noProof/>
                <w:webHidden/>
              </w:rPr>
              <w:t>9</w:t>
            </w:r>
            <w:r>
              <w:rPr>
                <w:noProof/>
                <w:webHidden/>
              </w:rPr>
              <w:fldChar w:fldCharType="end"/>
            </w:r>
          </w:hyperlink>
        </w:p>
        <w:p w:rsidR="00C21B80" w:rsidRDefault="00C21B80">
          <w:pPr>
            <w:pStyle w:val="TOC2"/>
            <w:tabs>
              <w:tab w:val="right" w:leader="dot" w:pos="9350"/>
            </w:tabs>
            <w:rPr>
              <w:noProof/>
            </w:rPr>
          </w:pPr>
          <w:hyperlink w:anchor="_Toc526330211" w:history="1">
            <w:r w:rsidRPr="00D6673D">
              <w:rPr>
                <w:rStyle w:val="Hyperlink"/>
                <w:noProof/>
              </w:rPr>
              <w:t>Hours-of-service</w:t>
            </w:r>
            <w:r>
              <w:rPr>
                <w:noProof/>
                <w:webHidden/>
              </w:rPr>
              <w:tab/>
            </w:r>
            <w:r>
              <w:rPr>
                <w:noProof/>
                <w:webHidden/>
              </w:rPr>
              <w:fldChar w:fldCharType="begin"/>
            </w:r>
            <w:r>
              <w:rPr>
                <w:noProof/>
                <w:webHidden/>
              </w:rPr>
              <w:instrText xml:space="preserve"> PAGEREF _Toc526330211 \h </w:instrText>
            </w:r>
            <w:r>
              <w:rPr>
                <w:noProof/>
                <w:webHidden/>
              </w:rPr>
            </w:r>
            <w:r>
              <w:rPr>
                <w:noProof/>
                <w:webHidden/>
              </w:rPr>
              <w:fldChar w:fldCharType="separate"/>
            </w:r>
            <w:r>
              <w:rPr>
                <w:noProof/>
                <w:webHidden/>
              </w:rPr>
              <w:t>9</w:t>
            </w:r>
            <w:r>
              <w:rPr>
                <w:noProof/>
                <w:webHidden/>
              </w:rPr>
              <w:fldChar w:fldCharType="end"/>
            </w:r>
          </w:hyperlink>
        </w:p>
        <w:p w:rsidR="00C21B80" w:rsidRDefault="00C21B80">
          <w:pPr>
            <w:pStyle w:val="TOC2"/>
            <w:tabs>
              <w:tab w:val="right" w:leader="dot" w:pos="9350"/>
            </w:tabs>
            <w:rPr>
              <w:noProof/>
            </w:rPr>
          </w:pPr>
          <w:hyperlink w:anchor="_Toc526330212" w:history="1">
            <w:r w:rsidRPr="00D6673D">
              <w:rPr>
                <w:rStyle w:val="Hyperlink"/>
                <w:noProof/>
              </w:rPr>
              <w:t>Safety and Fitness Ratings</w:t>
            </w:r>
            <w:r>
              <w:rPr>
                <w:noProof/>
                <w:webHidden/>
              </w:rPr>
              <w:tab/>
            </w:r>
            <w:r>
              <w:rPr>
                <w:noProof/>
                <w:webHidden/>
              </w:rPr>
              <w:fldChar w:fldCharType="begin"/>
            </w:r>
            <w:r>
              <w:rPr>
                <w:noProof/>
                <w:webHidden/>
              </w:rPr>
              <w:instrText xml:space="preserve"> PAGEREF _Toc526330212 \h </w:instrText>
            </w:r>
            <w:r>
              <w:rPr>
                <w:noProof/>
                <w:webHidden/>
              </w:rPr>
            </w:r>
            <w:r>
              <w:rPr>
                <w:noProof/>
                <w:webHidden/>
              </w:rPr>
              <w:fldChar w:fldCharType="separate"/>
            </w:r>
            <w:r>
              <w:rPr>
                <w:noProof/>
                <w:webHidden/>
              </w:rPr>
              <w:t>9</w:t>
            </w:r>
            <w:r>
              <w:rPr>
                <w:noProof/>
                <w:webHidden/>
              </w:rPr>
              <w:fldChar w:fldCharType="end"/>
            </w:r>
          </w:hyperlink>
        </w:p>
        <w:p w:rsidR="00C21B80" w:rsidRDefault="00C21B80">
          <w:pPr>
            <w:pStyle w:val="TOC2"/>
            <w:tabs>
              <w:tab w:val="right" w:leader="dot" w:pos="9350"/>
            </w:tabs>
            <w:rPr>
              <w:noProof/>
            </w:rPr>
          </w:pPr>
          <w:hyperlink w:anchor="_Toc526330213" w:history="1">
            <w:r w:rsidRPr="00D6673D">
              <w:rPr>
                <w:rStyle w:val="Hyperlink"/>
                <w:noProof/>
              </w:rPr>
              <w:t>Moving Ahead for Progress in the 21st Century Bill</w:t>
            </w:r>
            <w:r>
              <w:rPr>
                <w:noProof/>
                <w:webHidden/>
              </w:rPr>
              <w:tab/>
            </w:r>
            <w:r>
              <w:rPr>
                <w:noProof/>
                <w:webHidden/>
              </w:rPr>
              <w:fldChar w:fldCharType="begin"/>
            </w:r>
            <w:r>
              <w:rPr>
                <w:noProof/>
                <w:webHidden/>
              </w:rPr>
              <w:instrText xml:space="preserve"> PAGEREF _Toc526330213 \h </w:instrText>
            </w:r>
            <w:r>
              <w:rPr>
                <w:noProof/>
                <w:webHidden/>
              </w:rPr>
            </w:r>
            <w:r>
              <w:rPr>
                <w:noProof/>
                <w:webHidden/>
              </w:rPr>
              <w:fldChar w:fldCharType="separate"/>
            </w:r>
            <w:r>
              <w:rPr>
                <w:noProof/>
                <w:webHidden/>
              </w:rPr>
              <w:t>11</w:t>
            </w:r>
            <w:r>
              <w:rPr>
                <w:noProof/>
                <w:webHidden/>
              </w:rPr>
              <w:fldChar w:fldCharType="end"/>
            </w:r>
          </w:hyperlink>
        </w:p>
        <w:p w:rsidR="00C21B80" w:rsidRDefault="00C21B80">
          <w:pPr>
            <w:pStyle w:val="TOC2"/>
            <w:tabs>
              <w:tab w:val="right" w:leader="dot" w:pos="9350"/>
            </w:tabs>
            <w:rPr>
              <w:noProof/>
            </w:rPr>
          </w:pPr>
          <w:hyperlink w:anchor="_Toc526330214" w:history="1">
            <w:r w:rsidRPr="00D6673D">
              <w:rPr>
                <w:rStyle w:val="Hyperlink"/>
                <w:noProof/>
              </w:rPr>
              <w:t>Prohibiting Coercion of Commercial Motor Vehicle Drivers</w:t>
            </w:r>
            <w:r>
              <w:rPr>
                <w:noProof/>
                <w:webHidden/>
              </w:rPr>
              <w:tab/>
            </w:r>
            <w:r>
              <w:rPr>
                <w:noProof/>
                <w:webHidden/>
              </w:rPr>
              <w:fldChar w:fldCharType="begin"/>
            </w:r>
            <w:r>
              <w:rPr>
                <w:noProof/>
                <w:webHidden/>
              </w:rPr>
              <w:instrText xml:space="preserve"> PAGEREF _Toc526330214 \h </w:instrText>
            </w:r>
            <w:r>
              <w:rPr>
                <w:noProof/>
                <w:webHidden/>
              </w:rPr>
            </w:r>
            <w:r>
              <w:rPr>
                <w:noProof/>
                <w:webHidden/>
              </w:rPr>
              <w:fldChar w:fldCharType="separate"/>
            </w:r>
            <w:r>
              <w:rPr>
                <w:noProof/>
                <w:webHidden/>
              </w:rPr>
              <w:t>12</w:t>
            </w:r>
            <w:r>
              <w:rPr>
                <w:noProof/>
                <w:webHidden/>
              </w:rPr>
              <w:fldChar w:fldCharType="end"/>
            </w:r>
          </w:hyperlink>
        </w:p>
        <w:p w:rsidR="00C21B80" w:rsidRDefault="00C21B80">
          <w:pPr>
            <w:pStyle w:val="TOC2"/>
            <w:tabs>
              <w:tab w:val="right" w:leader="dot" w:pos="9350"/>
            </w:tabs>
            <w:rPr>
              <w:noProof/>
            </w:rPr>
          </w:pPr>
          <w:hyperlink w:anchor="_Toc526330215" w:history="1">
            <w:r w:rsidRPr="00D6673D">
              <w:rPr>
                <w:rStyle w:val="Hyperlink"/>
                <w:noProof/>
              </w:rPr>
              <w:t>Speed Limiting Devices</w:t>
            </w:r>
            <w:r>
              <w:rPr>
                <w:noProof/>
                <w:webHidden/>
              </w:rPr>
              <w:tab/>
            </w:r>
            <w:r>
              <w:rPr>
                <w:noProof/>
                <w:webHidden/>
              </w:rPr>
              <w:fldChar w:fldCharType="begin"/>
            </w:r>
            <w:r>
              <w:rPr>
                <w:noProof/>
                <w:webHidden/>
              </w:rPr>
              <w:instrText xml:space="preserve"> PAGEREF _Toc526330215 \h </w:instrText>
            </w:r>
            <w:r>
              <w:rPr>
                <w:noProof/>
                <w:webHidden/>
              </w:rPr>
            </w:r>
            <w:r>
              <w:rPr>
                <w:noProof/>
                <w:webHidden/>
              </w:rPr>
              <w:fldChar w:fldCharType="separate"/>
            </w:r>
            <w:r>
              <w:rPr>
                <w:noProof/>
                <w:webHidden/>
              </w:rPr>
              <w:t>12</w:t>
            </w:r>
            <w:r>
              <w:rPr>
                <w:noProof/>
                <w:webHidden/>
              </w:rPr>
              <w:fldChar w:fldCharType="end"/>
            </w:r>
          </w:hyperlink>
        </w:p>
        <w:p w:rsidR="00C21B80" w:rsidRDefault="00C21B80">
          <w:pPr>
            <w:pStyle w:val="TOC2"/>
            <w:tabs>
              <w:tab w:val="right" w:leader="dot" w:pos="9350"/>
            </w:tabs>
            <w:rPr>
              <w:noProof/>
            </w:rPr>
          </w:pPr>
          <w:hyperlink w:anchor="_Toc526330216" w:history="1">
            <w:r w:rsidRPr="00D6673D">
              <w:rPr>
                <w:rStyle w:val="Hyperlink"/>
                <w:noProof/>
              </w:rPr>
              <w:t>Food Safety Modernization Act of 2011 ("FSMA")</w:t>
            </w:r>
            <w:r>
              <w:rPr>
                <w:noProof/>
                <w:webHidden/>
              </w:rPr>
              <w:tab/>
            </w:r>
            <w:r>
              <w:rPr>
                <w:noProof/>
                <w:webHidden/>
              </w:rPr>
              <w:fldChar w:fldCharType="begin"/>
            </w:r>
            <w:r>
              <w:rPr>
                <w:noProof/>
                <w:webHidden/>
              </w:rPr>
              <w:instrText xml:space="preserve"> PAGEREF _Toc526330216 \h </w:instrText>
            </w:r>
            <w:r>
              <w:rPr>
                <w:noProof/>
                <w:webHidden/>
              </w:rPr>
            </w:r>
            <w:r>
              <w:rPr>
                <w:noProof/>
                <w:webHidden/>
              </w:rPr>
              <w:fldChar w:fldCharType="separate"/>
            </w:r>
            <w:r>
              <w:rPr>
                <w:noProof/>
                <w:webHidden/>
              </w:rPr>
              <w:t>12</w:t>
            </w:r>
            <w:r>
              <w:rPr>
                <w:noProof/>
                <w:webHidden/>
              </w:rPr>
              <w:fldChar w:fldCharType="end"/>
            </w:r>
          </w:hyperlink>
        </w:p>
        <w:p w:rsidR="00C21B80" w:rsidRDefault="00C21B80">
          <w:pPr>
            <w:pStyle w:val="TOC2"/>
            <w:tabs>
              <w:tab w:val="right" w:leader="dot" w:pos="9350"/>
            </w:tabs>
            <w:rPr>
              <w:noProof/>
            </w:rPr>
          </w:pPr>
          <w:hyperlink w:anchor="_Toc526330217" w:history="1">
            <w:r w:rsidRPr="00D6673D">
              <w:rPr>
                <w:rStyle w:val="Hyperlink"/>
                <w:noProof/>
              </w:rPr>
              <w:t>Legislation Regarding Independent Contractors</w:t>
            </w:r>
            <w:r>
              <w:rPr>
                <w:noProof/>
                <w:webHidden/>
              </w:rPr>
              <w:tab/>
            </w:r>
            <w:r>
              <w:rPr>
                <w:noProof/>
                <w:webHidden/>
              </w:rPr>
              <w:fldChar w:fldCharType="begin"/>
            </w:r>
            <w:r>
              <w:rPr>
                <w:noProof/>
                <w:webHidden/>
              </w:rPr>
              <w:instrText xml:space="preserve"> PAGEREF _Toc526330217 \h </w:instrText>
            </w:r>
            <w:r>
              <w:rPr>
                <w:noProof/>
                <w:webHidden/>
              </w:rPr>
            </w:r>
            <w:r>
              <w:rPr>
                <w:noProof/>
                <w:webHidden/>
              </w:rPr>
              <w:fldChar w:fldCharType="separate"/>
            </w:r>
            <w:r>
              <w:rPr>
                <w:noProof/>
                <w:webHidden/>
              </w:rPr>
              <w:t>12</w:t>
            </w:r>
            <w:r>
              <w:rPr>
                <w:noProof/>
                <w:webHidden/>
              </w:rPr>
              <w:fldChar w:fldCharType="end"/>
            </w:r>
          </w:hyperlink>
        </w:p>
        <w:p w:rsidR="00C21B80" w:rsidRDefault="00C21B80">
          <w:pPr>
            <w:pStyle w:val="TOC1"/>
            <w:tabs>
              <w:tab w:val="right" w:leader="dot" w:pos="9350"/>
            </w:tabs>
            <w:rPr>
              <w:noProof/>
            </w:rPr>
          </w:pPr>
          <w:hyperlink w:anchor="_Toc526330218" w:history="1">
            <w:r w:rsidRPr="00D6673D">
              <w:rPr>
                <w:rStyle w:val="Hyperlink"/>
                <w:noProof/>
              </w:rPr>
              <w:t>Risk Factors</w:t>
            </w:r>
            <w:r>
              <w:rPr>
                <w:noProof/>
                <w:webHidden/>
              </w:rPr>
              <w:tab/>
            </w:r>
            <w:r>
              <w:rPr>
                <w:noProof/>
                <w:webHidden/>
              </w:rPr>
              <w:fldChar w:fldCharType="begin"/>
            </w:r>
            <w:r>
              <w:rPr>
                <w:noProof/>
                <w:webHidden/>
              </w:rPr>
              <w:instrText xml:space="preserve"> PAGEREF _Toc526330218 \h </w:instrText>
            </w:r>
            <w:r>
              <w:rPr>
                <w:noProof/>
                <w:webHidden/>
              </w:rPr>
            </w:r>
            <w:r>
              <w:rPr>
                <w:noProof/>
                <w:webHidden/>
              </w:rPr>
              <w:fldChar w:fldCharType="separate"/>
            </w:r>
            <w:r>
              <w:rPr>
                <w:noProof/>
                <w:webHidden/>
              </w:rPr>
              <w:t>13</w:t>
            </w:r>
            <w:r>
              <w:rPr>
                <w:noProof/>
                <w:webHidden/>
              </w:rPr>
              <w:fldChar w:fldCharType="end"/>
            </w:r>
          </w:hyperlink>
        </w:p>
        <w:p w:rsidR="00C21B80" w:rsidRDefault="00C21B80">
          <w:pPr>
            <w:pStyle w:val="TOC2"/>
            <w:tabs>
              <w:tab w:val="right" w:leader="dot" w:pos="9350"/>
            </w:tabs>
            <w:rPr>
              <w:noProof/>
            </w:rPr>
          </w:pPr>
          <w:hyperlink w:anchor="_Toc526330219" w:history="1">
            <w:r w:rsidRPr="00D6673D">
              <w:rPr>
                <w:rStyle w:val="Hyperlink"/>
                <w:noProof/>
              </w:rPr>
              <w:t>Insurance and claims expenses could significantly reduce our earnings.</w:t>
            </w:r>
            <w:r>
              <w:rPr>
                <w:noProof/>
                <w:webHidden/>
              </w:rPr>
              <w:tab/>
            </w:r>
            <w:r>
              <w:rPr>
                <w:noProof/>
                <w:webHidden/>
              </w:rPr>
              <w:fldChar w:fldCharType="begin"/>
            </w:r>
            <w:r>
              <w:rPr>
                <w:noProof/>
                <w:webHidden/>
              </w:rPr>
              <w:instrText xml:space="preserve"> PAGEREF _Toc526330219 \h </w:instrText>
            </w:r>
            <w:r>
              <w:rPr>
                <w:noProof/>
                <w:webHidden/>
              </w:rPr>
            </w:r>
            <w:r>
              <w:rPr>
                <w:noProof/>
                <w:webHidden/>
              </w:rPr>
              <w:fldChar w:fldCharType="separate"/>
            </w:r>
            <w:r>
              <w:rPr>
                <w:noProof/>
                <w:webHidden/>
              </w:rPr>
              <w:t>13</w:t>
            </w:r>
            <w:r>
              <w:rPr>
                <w:noProof/>
                <w:webHidden/>
              </w:rPr>
              <w:fldChar w:fldCharType="end"/>
            </w:r>
          </w:hyperlink>
        </w:p>
        <w:p w:rsidR="00C21B80" w:rsidRDefault="00C21B80">
          <w:pPr>
            <w:pStyle w:val="TOC2"/>
            <w:tabs>
              <w:tab w:val="right" w:leader="dot" w:pos="9350"/>
            </w:tabs>
            <w:rPr>
              <w:noProof/>
            </w:rPr>
          </w:pPr>
          <w:hyperlink w:anchor="_Toc526330220" w:history="1">
            <w:r w:rsidRPr="00D6673D">
              <w:rPr>
                <w:rStyle w:val="Hyperlink"/>
                <w:noProof/>
              </w:rPr>
              <w:t>Insuring risk through our captive insurance companies could adversely impact our operations.</w:t>
            </w:r>
            <w:r>
              <w:rPr>
                <w:noProof/>
                <w:webHidden/>
              </w:rPr>
              <w:tab/>
            </w:r>
            <w:r>
              <w:rPr>
                <w:noProof/>
                <w:webHidden/>
              </w:rPr>
              <w:fldChar w:fldCharType="begin"/>
            </w:r>
            <w:r>
              <w:rPr>
                <w:noProof/>
                <w:webHidden/>
              </w:rPr>
              <w:instrText xml:space="preserve"> PAGEREF _Toc526330220 \h </w:instrText>
            </w:r>
            <w:r>
              <w:rPr>
                <w:noProof/>
                <w:webHidden/>
              </w:rPr>
            </w:r>
            <w:r>
              <w:rPr>
                <w:noProof/>
                <w:webHidden/>
              </w:rPr>
              <w:fldChar w:fldCharType="separate"/>
            </w:r>
            <w:r>
              <w:rPr>
                <w:noProof/>
                <w:webHidden/>
              </w:rPr>
              <w:t>14</w:t>
            </w:r>
            <w:r>
              <w:rPr>
                <w:noProof/>
                <w:webHidden/>
              </w:rPr>
              <w:fldChar w:fldCharType="end"/>
            </w:r>
          </w:hyperlink>
        </w:p>
        <w:p w:rsidR="00C21B80" w:rsidRDefault="00C21B80">
          <w:pPr>
            <w:pStyle w:val="TOC2"/>
            <w:tabs>
              <w:tab w:val="right" w:leader="dot" w:pos="9350"/>
            </w:tabs>
            <w:rPr>
              <w:noProof/>
            </w:rPr>
          </w:pPr>
          <w:hyperlink w:anchor="_Toc526330221" w:history="1">
            <w:r w:rsidRPr="00D6673D">
              <w:rPr>
                <w:rStyle w:val="Hyperlink"/>
                <w:noProof/>
              </w:rPr>
              <w:t>Compliance Risk</w:t>
            </w:r>
            <w:r>
              <w:rPr>
                <w:noProof/>
                <w:webHidden/>
              </w:rPr>
              <w:tab/>
            </w:r>
            <w:r>
              <w:rPr>
                <w:noProof/>
                <w:webHidden/>
              </w:rPr>
              <w:fldChar w:fldCharType="begin"/>
            </w:r>
            <w:r>
              <w:rPr>
                <w:noProof/>
                <w:webHidden/>
              </w:rPr>
              <w:instrText xml:space="preserve"> PAGEREF _Toc526330221 \h </w:instrText>
            </w:r>
            <w:r>
              <w:rPr>
                <w:noProof/>
                <w:webHidden/>
              </w:rPr>
            </w:r>
            <w:r>
              <w:rPr>
                <w:noProof/>
                <w:webHidden/>
              </w:rPr>
              <w:fldChar w:fldCharType="separate"/>
            </w:r>
            <w:r>
              <w:rPr>
                <w:noProof/>
                <w:webHidden/>
              </w:rPr>
              <w:t>14</w:t>
            </w:r>
            <w:r>
              <w:rPr>
                <w:noProof/>
                <w:webHidden/>
              </w:rPr>
              <w:fldChar w:fldCharType="end"/>
            </w:r>
          </w:hyperlink>
        </w:p>
        <w:p w:rsidR="00C21B80" w:rsidRDefault="00C21B80">
          <w:pPr>
            <w:pStyle w:val="TOC1"/>
            <w:tabs>
              <w:tab w:val="right" w:leader="dot" w:pos="9350"/>
            </w:tabs>
            <w:rPr>
              <w:noProof/>
            </w:rPr>
          </w:pPr>
          <w:hyperlink w:anchor="_Toc526330222" w:history="1">
            <w:r w:rsidRPr="00D6673D">
              <w:rPr>
                <w:rStyle w:val="Hyperlink"/>
                <w:noProof/>
              </w:rPr>
              <w:t>Properties</w:t>
            </w:r>
            <w:r>
              <w:rPr>
                <w:noProof/>
                <w:webHidden/>
              </w:rPr>
              <w:tab/>
            </w:r>
            <w:r>
              <w:rPr>
                <w:noProof/>
                <w:webHidden/>
              </w:rPr>
              <w:fldChar w:fldCharType="begin"/>
            </w:r>
            <w:r>
              <w:rPr>
                <w:noProof/>
                <w:webHidden/>
              </w:rPr>
              <w:instrText xml:space="preserve"> PAGEREF _Toc526330222 \h </w:instrText>
            </w:r>
            <w:r>
              <w:rPr>
                <w:noProof/>
                <w:webHidden/>
              </w:rPr>
            </w:r>
            <w:r>
              <w:rPr>
                <w:noProof/>
                <w:webHidden/>
              </w:rPr>
              <w:fldChar w:fldCharType="separate"/>
            </w:r>
            <w:r>
              <w:rPr>
                <w:noProof/>
                <w:webHidden/>
              </w:rPr>
              <w:t>15</w:t>
            </w:r>
            <w:r>
              <w:rPr>
                <w:noProof/>
                <w:webHidden/>
              </w:rPr>
              <w:fldChar w:fldCharType="end"/>
            </w:r>
          </w:hyperlink>
        </w:p>
        <w:p w:rsidR="00C21B80" w:rsidRDefault="00C21B80">
          <w:pPr>
            <w:pStyle w:val="TOC1"/>
            <w:tabs>
              <w:tab w:val="right" w:leader="dot" w:pos="9350"/>
            </w:tabs>
            <w:rPr>
              <w:noProof/>
            </w:rPr>
          </w:pPr>
          <w:hyperlink w:anchor="_Toc526330223" w:history="1">
            <w:r w:rsidRPr="00D6673D">
              <w:rPr>
                <w:rStyle w:val="Hyperlink"/>
                <w:noProof/>
              </w:rPr>
              <w:t>Stockholder Return Graph</w:t>
            </w:r>
            <w:r>
              <w:rPr>
                <w:noProof/>
                <w:webHidden/>
              </w:rPr>
              <w:tab/>
            </w:r>
            <w:r>
              <w:rPr>
                <w:noProof/>
                <w:webHidden/>
              </w:rPr>
              <w:fldChar w:fldCharType="begin"/>
            </w:r>
            <w:r>
              <w:rPr>
                <w:noProof/>
                <w:webHidden/>
              </w:rPr>
              <w:instrText xml:space="preserve"> PAGEREF _Toc526330223 \h </w:instrText>
            </w:r>
            <w:r>
              <w:rPr>
                <w:noProof/>
                <w:webHidden/>
              </w:rPr>
            </w:r>
            <w:r>
              <w:rPr>
                <w:noProof/>
                <w:webHidden/>
              </w:rPr>
              <w:fldChar w:fldCharType="separate"/>
            </w:r>
            <w:r>
              <w:rPr>
                <w:noProof/>
                <w:webHidden/>
              </w:rPr>
              <w:t>18</w:t>
            </w:r>
            <w:r>
              <w:rPr>
                <w:noProof/>
                <w:webHidden/>
              </w:rPr>
              <w:fldChar w:fldCharType="end"/>
            </w:r>
          </w:hyperlink>
        </w:p>
        <w:p w:rsidR="00C21B80" w:rsidRDefault="00C21B80">
          <w:pPr>
            <w:pStyle w:val="TOC1"/>
            <w:tabs>
              <w:tab w:val="right" w:leader="dot" w:pos="9350"/>
            </w:tabs>
            <w:rPr>
              <w:noProof/>
            </w:rPr>
          </w:pPr>
          <w:hyperlink w:anchor="_Toc526330224" w:history="1">
            <w:r w:rsidRPr="00D6673D">
              <w:rPr>
                <w:rStyle w:val="Hyperlink"/>
                <w:noProof/>
              </w:rPr>
              <w:t>Selected Financial Data</w:t>
            </w:r>
            <w:r>
              <w:rPr>
                <w:noProof/>
                <w:webHidden/>
              </w:rPr>
              <w:tab/>
            </w:r>
            <w:r>
              <w:rPr>
                <w:noProof/>
                <w:webHidden/>
              </w:rPr>
              <w:fldChar w:fldCharType="begin"/>
            </w:r>
            <w:r>
              <w:rPr>
                <w:noProof/>
                <w:webHidden/>
              </w:rPr>
              <w:instrText xml:space="preserve"> PAGEREF _Toc526330224 \h </w:instrText>
            </w:r>
            <w:r>
              <w:rPr>
                <w:noProof/>
                <w:webHidden/>
              </w:rPr>
            </w:r>
            <w:r>
              <w:rPr>
                <w:noProof/>
                <w:webHidden/>
              </w:rPr>
              <w:fldChar w:fldCharType="separate"/>
            </w:r>
            <w:r>
              <w:rPr>
                <w:noProof/>
                <w:webHidden/>
              </w:rPr>
              <w:t>19</w:t>
            </w:r>
            <w:r>
              <w:rPr>
                <w:noProof/>
                <w:webHidden/>
              </w:rPr>
              <w:fldChar w:fldCharType="end"/>
            </w:r>
          </w:hyperlink>
        </w:p>
        <w:p w:rsidR="00C21B80" w:rsidRDefault="00C21B80">
          <w:pPr>
            <w:pStyle w:val="TOC2"/>
            <w:tabs>
              <w:tab w:val="right" w:leader="dot" w:pos="9350"/>
            </w:tabs>
            <w:rPr>
              <w:noProof/>
            </w:rPr>
          </w:pPr>
          <w:hyperlink w:anchor="_Toc526330225" w:history="1">
            <w:r w:rsidRPr="00D6673D">
              <w:rPr>
                <w:rStyle w:val="Hyperlink"/>
                <w:noProof/>
              </w:rPr>
              <w:t>Summary P&amp;L</w:t>
            </w:r>
            <w:r>
              <w:rPr>
                <w:noProof/>
                <w:webHidden/>
              </w:rPr>
              <w:tab/>
            </w:r>
            <w:r>
              <w:rPr>
                <w:noProof/>
                <w:webHidden/>
              </w:rPr>
              <w:fldChar w:fldCharType="begin"/>
            </w:r>
            <w:r>
              <w:rPr>
                <w:noProof/>
                <w:webHidden/>
              </w:rPr>
              <w:instrText xml:space="preserve"> PAGEREF _Toc526330225 \h </w:instrText>
            </w:r>
            <w:r>
              <w:rPr>
                <w:noProof/>
                <w:webHidden/>
              </w:rPr>
            </w:r>
            <w:r>
              <w:rPr>
                <w:noProof/>
                <w:webHidden/>
              </w:rPr>
              <w:fldChar w:fldCharType="separate"/>
            </w:r>
            <w:r>
              <w:rPr>
                <w:noProof/>
                <w:webHidden/>
              </w:rPr>
              <w:t>19</w:t>
            </w:r>
            <w:r>
              <w:rPr>
                <w:noProof/>
                <w:webHidden/>
              </w:rPr>
              <w:fldChar w:fldCharType="end"/>
            </w:r>
          </w:hyperlink>
        </w:p>
        <w:p w:rsidR="00C21B80" w:rsidRDefault="00C21B80">
          <w:pPr>
            <w:pStyle w:val="TOC2"/>
            <w:tabs>
              <w:tab w:val="right" w:leader="dot" w:pos="9350"/>
            </w:tabs>
            <w:rPr>
              <w:noProof/>
            </w:rPr>
          </w:pPr>
          <w:hyperlink w:anchor="_Toc526330226" w:history="1">
            <w:r w:rsidRPr="00D6673D">
              <w:rPr>
                <w:rStyle w:val="Hyperlink"/>
                <w:noProof/>
              </w:rPr>
              <w:t>Consolidating Tables for Total Revenue and Operating Income</w:t>
            </w:r>
            <w:r>
              <w:rPr>
                <w:noProof/>
                <w:webHidden/>
              </w:rPr>
              <w:tab/>
            </w:r>
            <w:r>
              <w:rPr>
                <w:noProof/>
                <w:webHidden/>
              </w:rPr>
              <w:fldChar w:fldCharType="begin"/>
            </w:r>
            <w:r>
              <w:rPr>
                <w:noProof/>
                <w:webHidden/>
              </w:rPr>
              <w:instrText xml:space="preserve"> PAGEREF _Toc526330226 \h </w:instrText>
            </w:r>
            <w:r>
              <w:rPr>
                <w:noProof/>
                <w:webHidden/>
              </w:rPr>
            </w:r>
            <w:r>
              <w:rPr>
                <w:noProof/>
                <w:webHidden/>
              </w:rPr>
              <w:fldChar w:fldCharType="separate"/>
            </w:r>
            <w:r>
              <w:rPr>
                <w:noProof/>
                <w:webHidden/>
              </w:rPr>
              <w:t>21</w:t>
            </w:r>
            <w:r>
              <w:rPr>
                <w:noProof/>
                <w:webHidden/>
              </w:rPr>
              <w:fldChar w:fldCharType="end"/>
            </w:r>
          </w:hyperlink>
        </w:p>
        <w:p w:rsidR="00C21B80" w:rsidRDefault="00C21B80">
          <w:pPr>
            <w:pStyle w:val="TOC1"/>
            <w:tabs>
              <w:tab w:val="right" w:leader="dot" w:pos="9350"/>
            </w:tabs>
            <w:rPr>
              <w:noProof/>
            </w:rPr>
          </w:pPr>
          <w:hyperlink w:anchor="_Toc526330227" w:history="1">
            <w:r w:rsidRPr="00D6673D">
              <w:rPr>
                <w:rStyle w:val="Hyperlink"/>
                <w:noProof/>
              </w:rPr>
              <w:t>Segment Review</w:t>
            </w:r>
            <w:r>
              <w:rPr>
                <w:noProof/>
                <w:webHidden/>
              </w:rPr>
              <w:tab/>
            </w:r>
            <w:r>
              <w:rPr>
                <w:noProof/>
                <w:webHidden/>
              </w:rPr>
              <w:fldChar w:fldCharType="begin"/>
            </w:r>
            <w:r>
              <w:rPr>
                <w:noProof/>
                <w:webHidden/>
              </w:rPr>
              <w:instrText xml:space="preserve"> PAGEREF _Toc526330227 \h </w:instrText>
            </w:r>
            <w:r>
              <w:rPr>
                <w:noProof/>
                <w:webHidden/>
              </w:rPr>
            </w:r>
            <w:r>
              <w:rPr>
                <w:noProof/>
                <w:webHidden/>
              </w:rPr>
              <w:fldChar w:fldCharType="separate"/>
            </w:r>
            <w:r>
              <w:rPr>
                <w:noProof/>
                <w:webHidden/>
              </w:rPr>
              <w:t>22</w:t>
            </w:r>
            <w:r>
              <w:rPr>
                <w:noProof/>
                <w:webHidden/>
              </w:rPr>
              <w:fldChar w:fldCharType="end"/>
            </w:r>
          </w:hyperlink>
        </w:p>
        <w:p w:rsidR="00C21B80" w:rsidRDefault="00C21B80">
          <w:pPr>
            <w:pStyle w:val="TOC2"/>
            <w:tabs>
              <w:tab w:val="right" w:leader="dot" w:pos="9350"/>
            </w:tabs>
            <w:rPr>
              <w:noProof/>
            </w:rPr>
          </w:pPr>
          <w:hyperlink w:anchor="_Toc526330228" w:history="1">
            <w:r w:rsidRPr="00D6673D">
              <w:rPr>
                <w:rStyle w:val="Hyperlink"/>
                <w:noProof/>
              </w:rPr>
              <w:t>Knight Trucking Segment</w:t>
            </w:r>
            <w:r>
              <w:rPr>
                <w:noProof/>
                <w:webHidden/>
              </w:rPr>
              <w:tab/>
            </w:r>
            <w:r>
              <w:rPr>
                <w:noProof/>
                <w:webHidden/>
              </w:rPr>
              <w:fldChar w:fldCharType="begin"/>
            </w:r>
            <w:r>
              <w:rPr>
                <w:noProof/>
                <w:webHidden/>
              </w:rPr>
              <w:instrText xml:space="preserve"> PAGEREF _Toc526330228 \h </w:instrText>
            </w:r>
            <w:r>
              <w:rPr>
                <w:noProof/>
                <w:webHidden/>
              </w:rPr>
            </w:r>
            <w:r>
              <w:rPr>
                <w:noProof/>
                <w:webHidden/>
              </w:rPr>
              <w:fldChar w:fldCharType="separate"/>
            </w:r>
            <w:r>
              <w:rPr>
                <w:noProof/>
                <w:webHidden/>
              </w:rPr>
              <w:t>22</w:t>
            </w:r>
            <w:r>
              <w:rPr>
                <w:noProof/>
                <w:webHidden/>
              </w:rPr>
              <w:fldChar w:fldCharType="end"/>
            </w:r>
          </w:hyperlink>
        </w:p>
        <w:p w:rsidR="00C21B80" w:rsidRDefault="00C21B80">
          <w:pPr>
            <w:pStyle w:val="TOC2"/>
            <w:tabs>
              <w:tab w:val="right" w:leader="dot" w:pos="9350"/>
            </w:tabs>
            <w:rPr>
              <w:noProof/>
            </w:rPr>
          </w:pPr>
          <w:hyperlink w:anchor="_Toc526330229" w:history="1">
            <w:r w:rsidRPr="00D6673D">
              <w:rPr>
                <w:rStyle w:val="Hyperlink"/>
                <w:noProof/>
              </w:rPr>
              <w:t>Knight Logistics Segment</w:t>
            </w:r>
            <w:r>
              <w:rPr>
                <w:noProof/>
                <w:webHidden/>
              </w:rPr>
              <w:tab/>
            </w:r>
            <w:r>
              <w:rPr>
                <w:noProof/>
                <w:webHidden/>
              </w:rPr>
              <w:fldChar w:fldCharType="begin"/>
            </w:r>
            <w:r>
              <w:rPr>
                <w:noProof/>
                <w:webHidden/>
              </w:rPr>
              <w:instrText xml:space="preserve"> PAGEREF _Toc526330229 \h </w:instrText>
            </w:r>
            <w:r>
              <w:rPr>
                <w:noProof/>
                <w:webHidden/>
              </w:rPr>
            </w:r>
            <w:r>
              <w:rPr>
                <w:noProof/>
                <w:webHidden/>
              </w:rPr>
              <w:fldChar w:fldCharType="separate"/>
            </w:r>
            <w:r>
              <w:rPr>
                <w:noProof/>
                <w:webHidden/>
              </w:rPr>
              <w:t>24</w:t>
            </w:r>
            <w:r>
              <w:rPr>
                <w:noProof/>
                <w:webHidden/>
              </w:rPr>
              <w:fldChar w:fldCharType="end"/>
            </w:r>
          </w:hyperlink>
        </w:p>
        <w:p w:rsidR="00C21B80" w:rsidRDefault="00C21B80">
          <w:pPr>
            <w:pStyle w:val="TOC2"/>
            <w:tabs>
              <w:tab w:val="right" w:leader="dot" w:pos="9350"/>
            </w:tabs>
            <w:rPr>
              <w:noProof/>
            </w:rPr>
          </w:pPr>
          <w:hyperlink w:anchor="_Toc526330230" w:history="1">
            <w:r w:rsidRPr="00D6673D">
              <w:rPr>
                <w:rStyle w:val="Hyperlink"/>
                <w:noProof/>
              </w:rPr>
              <w:t>Swift Segments</w:t>
            </w:r>
            <w:r>
              <w:rPr>
                <w:noProof/>
                <w:webHidden/>
              </w:rPr>
              <w:tab/>
            </w:r>
            <w:r>
              <w:rPr>
                <w:noProof/>
                <w:webHidden/>
              </w:rPr>
              <w:fldChar w:fldCharType="begin"/>
            </w:r>
            <w:r>
              <w:rPr>
                <w:noProof/>
                <w:webHidden/>
              </w:rPr>
              <w:instrText xml:space="preserve"> PAGEREF _Toc526330230 \h </w:instrText>
            </w:r>
            <w:r>
              <w:rPr>
                <w:noProof/>
                <w:webHidden/>
              </w:rPr>
            </w:r>
            <w:r>
              <w:rPr>
                <w:noProof/>
                <w:webHidden/>
              </w:rPr>
              <w:fldChar w:fldCharType="separate"/>
            </w:r>
            <w:r>
              <w:rPr>
                <w:noProof/>
                <w:webHidden/>
              </w:rPr>
              <w:t>25</w:t>
            </w:r>
            <w:r>
              <w:rPr>
                <w:noProof/>
                <w:webHidden/>
              </w:rPr>
              <w:fldChar w:fldCharType="end"/>
            </w:r>
          </w:hyperlink>
        </w:p>
        <w:p w:rsidR="00C21B80" w:rsidRDefault="00C21B80">
          <w:pPr>
            <w:pStyle w:val="TOC2"/>
            <w:tabs>
              <w:tab w:val="right" w:leader="dot" w:pos="9350"/>
            </w:tabs>
            <w:rPr>
              <w:noProof/>
            </w:rPr>
          </w:pPr>
          <w:hyperlink w:anchor="_Toc526330231" w:history="1">
            <w:r w:rsidRPr="00D6673D">
              <w:rPr>
                <w:rStyle w:val="Hyperlink"/>
                <w:noProof/>
              </w:rPr>
              <w:t>Consolidated Operating Expenses</w:t>
            </w:r>
            <w:r>
              <w:rPr>
                <w:noProof/>
                <w:webHidden/>
              </w:rPr>
              <w:tab/>
            </w:r>
            <w:r>
              <w:rPr>
                <w:noProof/>
                <w:webHidden/>
              </w:rPr>
              <w:fldChar w:fldCharType="begin"/>
            </w:r>
            <w:r>
              <w:rPr>
                <w:noProof/>
                <w:webHidden/>
              </w:rPr>
              <w:instrText xml:space="preserve"> PAGEREF _Toc526330231 \h </w:instrText>
            </w:r>
            <w:r>
              <w:rPr>
                <w:noProof/>
                <w:webHidden/>
              </w:rPr>
            </w:r>
            <w:r>
              <w:rPr>
                <w:noProof/>
                <w:webHidden/>
              </w:rPr>
              <w:fldChar w:fldCharType="separate"/>
            </w:r>
            <w:r>
              <w:rPr>
                <w:noProof/>
                <w:webHidden/>
              </w:rPr>
              <w:t>26</w:t>
            </w:r>
            <w:r>
              <w:rPr>
                <w:noProof/>
                <w:webHidden/>
              </w:rPr>
              <w:fldChar w:fldCharType="end"/>
            </w:r>
          </w:hyperlink>
        </w:p>
        <w:p w:rsidR="00C21B80" w:rsidRDefault="00C21B80">
          <w:r>
            <w:fldChar w:fldCharType="end"/>
          </w:r>
        </w:p>
      </w:sdtContent>
    </w:sdt>
    <w:p w:rsidR="00C21B80" w:rsidRDefault="00C21B80">
      <w:pPr>
        <w:rPr>
          <w:rFonts w:asciiTheme="majorHAnsi" w:eastAsiaTheme="majorEastAsia" w:hAnsiTheme="majorHAnsi" w:cstheme="majorBidi"/>
          <w:b/>
          <w:color w:val="000000" w:themeColor="text1"/>
          <w:sz w:val="24"/>
          <w:szCs w:val="28"/>
          <w:u w:val="single"/>
        </w:rPr>
      </w:pPr>
      <w:r>
        <w:br w:type="page"/>
      </w:r>
    </w:p>
    <w:p w:rsidR="006013C2" w:rsidRDefault="006013C2" w:rsidP="000E3B20">
      <w:pPr>
        <w:pStyle w:val="Heading1"/>
      </w:pPr>
      <w:bookmarkStart w:id="0" w:name="_Toc526330196"/>
      <w:r>
        <w:lastRenderedPageBreak/>
        <w:t>Company Overview</w:t>
      </w:r>
      <w:bookmarkEnd w:id="0"/>
    </w:p>
    <w:p w:rsidR="006013C2" w:rsidRDefault="006013C2" w:rsidP="006013C2">
      <w:pPr>
        <w:spacing w:after="132"/>
        <w:jc w:val="both"/>
        <w:rPr>
          <w:rFonts w:ascii="Arial" w:hAnsi="Arial" w:cs="Arial"/>
          <w:color w:val="000000"/>
          <w:sz w:val="18"/>
          <w:szCs w:val="18"/>
        </w:rPr>
      </w:pPr>
      <w:r>
        <w:rPr>
          <w:rFonts w:ascii="Arial" w:hAnsi="Arial" w:cs="Arial"/>
          <w:color w:val="000000"/>
          <w:sz w:val="18"/>
          <w:szCs w:val="18"/>
        </w:rPr>
        <w:t>Knight-Swift Transportation Holdings Inc. is North America's largest truckload carrier and a provider of transportation solutions, from its Phoenix, Arizona headquarters. The Company provides multiple truckload transportation and logistics services using a nationwide network of business units and terminals in the United States and Mexico to serve customers throughout North America. In addition to its truckload services, Knight-Swift also contracts with third-party capacity providers to provide a broad range of truckload services to its customers while creating quality driving jobs for our driving associates and successful business opportunities for independent contractors.</w:t>
      </w:r>
    </w:p>
    <w:p w:rsidR="006013C2" w:rsidRDefault="006013C2" w:rsidP="006013C2">
      <w:pPr>
        <w:spacing w:after="132"/>
        <w:jc w:val="both"/>
        <w:rPr>
          <w:rFonts w:ascii="Arial" w:hAnsi="Arial" w:cs="Arial"/>
          <w:color w:val="000000"/>
          <w:sz w:val="18"/>
          <w:szCs w:val="18"/>
        </w:rPr>
      </w:pPr>
      <w:r>
        <w:rPr>
          <w:rFonts w:ascii="Arial" w:hAnsi="Arial" w:cs="Arial"/>
          <w:color w:val="000000"/>
          <w:sz w:val="18"/>
          <w:szCs w:val="18"/>
        </w:rPr>
        <w:t>During 2017, we covered 0.9 billion loaded miles for shippers throughout North America, contributing to consolidated total revenue of $2.4 billion and consolidated operating income of $200.6 million. As of December 31, 2017, our fleet was comprised of 18,381 company tractors, 4,688 independent contractor tractors, 74,949 trailers, and 9,122 intermodal containers. The Company's six reportable segments are Knight Trucking, Knight Logistics, Swift Truckload, Swift Dedicated, Swift Refrigerated, and Swift Intermodal.</w:t>
      </w:r>
    </w:p>
    <w:p w:rsidR="006013C2" w:rsidRDefault="006013C2" w:rsidP="006013C2">
      <w:pPr>
        <w:spacing w:after="264"/>
        <w:jc w:val="both"/>
        <w:rPr>
          <w:rFonts w:ascii="Arial" w:hAnsi="Arial" w:cs="Arial"/>
          <w:color w:val="000000"/>
          <w:sz w:val="18"/>
          <w:szCs w:val="18"/>
        </w:rPr>
      </w:pPr>
      <w:r>
        <w:rPr>
          <w:rFonts w:ascii="Arial" w:hAnsi="Arial" w:cs="Arial"/>
          <w:color w:val="000000"/>
          <w:sz w:val="18"/>
          <w:szCs w:val="18"/>
        </w:rPr>
        <w:t>We have historically grown through a combination of organic growth, as well as through mergers and acquisitions (discussed below). Mergers and acquisitions have enhanced Knight's and Swift's businesses and service offerings with additional terminals, driving associates, revenue equipment, and capacity. Our multiple service offerings, capabilities, and transportation modes enable us to transport, or arrange transportation for, general commodities for our diversified customer base throughout the contiguous United States and Mexico using our equipment, information technology, and qualified driving associates and non-driver employees. We are committed to providing our customers with a wide range of truckload and logistics services and continuing to invest considerable resources toward developing a range of solutions for our customers across multiple service offerings and transportation modes. Our overall objective is to provide truckload and logistics services that, when combined, lead the industry for margin and growth, while providing efficient and cost-effective solutions for our customers.</w:t>
      </w:r>
    </w:p>
    <w:tbl>
      <w:tblPr>
        <w:tblW w:w="0" w:type="auto"/>
        <w:jc w:val="center"/>
        <w:tblLayout w:type="fixed"/>
        <w:tblCellMar>
          <w:left w:w="0" w:type="dxa"/>
          <w:right w:w="0" w:type="dxa"/>
        </w:tblCellMar>
        <w:tblLook w:val="0000"/>
      </w:tblPr>
      <w:tblGrid>
        <w:gridCol w:w="10778"/>
      </w:tblGrid>
      <w:tr w:rsidR="006013C2" w:rsidTr="0073298C">
        <w:tblPrEx>
          <w:tblCellMar>
            <w:top w:w="0" w:type="dxa"/>
            <w:left w:w="0" w:type="dxa"/>
            <w:bottom w:w="0" w:type="dxa"/>
            <w:right w:w="0" w:type="dxa"/>
          </w:tblCellMar>
        </w:tblPrEx>
        <w:trPr>
          <w:trHeight w:val="701"/>
          <w:jc w:val="center"/>
        </w:trPr>
        <w:tc>
          <w:tcPr>
            <w:tcW w:w="10778" w:type="dxa"/>
            <w:tcBorders>
              <w:top w:val="double" w:sz="6" w:space="0" w:color="9D1B11"/>
              <w:left w:val="nil"/>
              <w:bottom w:val="nil"/>
              <w:right w:val="nil"/>
            </w:tcBorders>
            <w:shd w:val="clear" w:color="CFD4D8" w:fill="CFD4D8"/>
            <w:vAlign w:val="bottom"/>
          </w:tcPr>
          <w:p w:rsidR="006013C2" w:rsidRDefault="006013C2" w:rsidP="000E3B20">
            <w:pPr>
              <w:pStyle w:val="Heading1"/>
            </w:pPr>
            <w:bookmarkStart w:id="1" w:name="_Toc526330197"/>
            <w:r>
              <w:t>Industry and Competition</w:t>
            </w:r>
            <w:bookmarkEnd w:id="1"/>
          </w:p>
        </w:tc>
      </w:tr>
    </w:tbl>
    <w:p w:rsidR="006013C2" w:rsidRDefault="006013C2" w:rsidP="006013C2">
      <w:pPr>
        <w:spacing w:after="132"/>
        <w:jc w:val="both"/>
        <w:rPr>
          <w:rFonts w:ascii="Arial" w:hAnsi="Arial" w:cs="Arial"/>
          <w:color w:val="000000"/>
          <w:sz w:val="18"/>
          <w:szCs w:val="18"/>
        </w:rPr>
      </w:pPr>
      <w:r>
        <w:rPr>
          <w:rFonts w:ascii="Arial" w:hAnsi="Arial" w:cs="Arial"/>
          <w:color w:val="000000"/>
          <w:sz w:val="18"/>
          <w:szCs w:val="18"/>
        </w:rPr>
        <w:t>Truckload carriers represent the largest part of the transportation supply chain for most retail and manufactured goods in North America and typically transport a full trailer (or container) of freight for a single customer from origin to destination without intermediate sorting and handling. Generally, the truckload industry is compensated based on miles, whereas the less-than-truckload industry is compensated based on package size and/or weight. Overall, the United States trucking industry is large, fragmented, and highly competitive. We compete with thousands of truckload carriers, most of whom operate significantly smaller fleets than we do. Our trucking segments compete with other motor carriers for the services of driving associates, independent contractors, and management employees. To a lesser extent, our intermodal services, as well as our freight brokerage and logistics businesses, compete with railroads, less-than-truckload carriers, logistics providers, and other transportation companies. Our logistics businesses compete with other logistics companies for the services of third-party capacity providers and management employees.</w:t>
      </w:r>
    </w:p>
    <w:p w:rsidR="006013C2" w:rsidRDefault="006013C2" w:rsidP="006013C2">
      <w:pPr>
        <w:jc w:val="both"/>
        <w:rPr>
          <w:rFonts w:ascii="Arial" w:hAnsi="Arial" w:cs="Arial"/>
          <w:color w:val="000000"/>
          <w:sz w:val="18"/>
          <w:szCs w:val="18"/>
        </w:rPr>
      </w:pPr>
      <w:r>
        <w:rPr>
          <w:rFonts w:ascii="Arial" w:hAnsi="Arial" w:cs="Arial"/>
          <w:color w:val="000000"/>
          <w:sz w:val="18"/>
          <w:szCs w:val="18"/>
        </w:rPr>
        <w:t>Our industry has encountered the following major economic cycles since 2000:</w:t>
      </w:r>
    </w:p>
    <w:tbl>
      <w:tblPr>
        <w:tblW w:w="0" w:type="auto"/>
        <w:tblLayout w:type="fixed"/>
        <w:tblCellMar>
          <w:left w:w="0" w:type="dxa"/>
          <w:right w:w="0" w:type="dxa"/>
        </w:tblCellMar>
        <w:tblLook w:val="0000"/>
      </w:tblPr>
      <w:tblGrid>
        <w:gridCol w:w="2052"/>
        <w:gridCol w:w="8748"/>
      </w:tblGrid>
      <w:tr w:rsidR="006013C2" w:rsidTr="0073298C">
        <w:tblPrEx>
          <w:tblCellMar>
            <w:top w:w="0" w:type="dxa"/>
            <w:left w:w="0" w:type="dxa"/>
            <w:bottom w:w="0" w:type="dxa"/>
            <w:right w:w="0" w:type="dxa"/>
          </w:tblCellMar>
        </w:tblPrEx>
        <w:trPr>
          <w:trHeight w:val="66"/>
        </w:trPr>
        <w:tc>
          <w:tcPr>
            <w:tcW w:w="10800" w:type="dxa"/>
            <w:gridSpan w:val="2"/>
            <w:tcBorders>
              <w:top w:val="nil"/>
              <w:left w:val="nil"/>
              <w:bottom w:val="nil"/>
              <w:right w:val="nil"/>
            </w:tcBorders>
            <w:vAlign w:val="center"/>
          </w:tcPr>
          <w:p w:rsidR="006013C2" w:rsidRDefault="006013C2" w:rsidP="0073298C">
            <w:pPr>
              <w:rPr>
                <w:sz w:val="16"/>
                <w:szCs w:val="16"/>
              </w:rPr>
            </w:pPr>
            <w:r>
              <w:rPr>
                <w:sz w:val="16"/>
                <w:szCs w:val="16"/>
              </w:rPr>
              <w:t> </w:t>
            </w:r>
          </w:p>
        </w:tc>
      </w:tr>
      <w:tr w:rsidR="006013C2" w:rsidTr="0073298C">
        <w:tblPrEx>
          <w:tblCellMar>
            <w:top w:w="0" w:type="dxa"/>
            <w:left w:w="0" w:type="dxa"/>
            <w:bottom w:w="0" w:type="dxa"/>
            <w:right w:w="0" w:type="dxa"/>
          </w:tblCellMar>
        </w:tblPrEx>
        <w:trPr>
          <w:trHeight w:val="66"/>
        </w:trPr>
        <w:tc>
          <w:tcPr>
            <w:tcW w:w="2052" w:type="dxa"/>
            <w:tcBorders>
              <w:top w:val="nil"/>
              <w:left w:val="nil"/>
              <w:bottom w:val="nil"/>
              <w:right w:val="nil"/>
            </w:tcBorders>
            <w:vAlign w:val="center"/>
          </w:tcPr>
          <w:p w:rsidR="006013C2" w:rsidRDefault="006013C2" w:rsidP="0073298C">
            <w:pPr>
              <w:rPr>
                <w:sz w:val="16"/>
                <w:szCs w:val="16"/>
              </w:rPr>
            </w:pPr>
            <w:r>
              <w:rPr>
                <w:sz w:val="16"/>
                <w:szCs w:val="16"/>
              </w:rPr>
              <w:t> </w:t>
            </w:r>
          </w:p>
        </w:tc>
        <w:tc>
          <w:tcPr>
            <w:tcW w:w="8748" w:type="dxa"/>
            <w:tcBorders>
              <w:top w:val="nil"/>
              <w:left w:val="nil"/>
              <w:bottom w:val="nil"/>
              <w:right w:val="nil"/>
            </w:tcBorders>
            <w:vAlign w:val="center"/>
          </w:tcPr>
          <w:p w:rsidR="006013C2" w:rsidRDefault="006013C2" w:rsidP="0073298C">
            <w:pPr>
              <w:rPr>
                <w:sz w:val="16"/>
                <w:szCs w:val="16"/>
              </w:rPr>
            </w:pPr>
            <w:r>
              <w:rPr>
                <w:sz w:val="16"/>
                <w:szCs w:val="16"/>
              </w:rPr>
              <w:t> </w:t>
            </w:r>
          </w:p>
        </w:tc>
      </w:tr>
      <w:tr w:rsidR="006013C2" w:rsidTr="0073298C">
        <w:tblPrEx>
          <w:tblCellMar>
            <w:top w:w="0" w:type="dxa"/>
            <w:left w:w="0" w:type="dxa"/>
            <w:bottom w:w="0" w:type="dxa"/>
            <w:right w:w="0" w:type="dxa"/>
          </w:tblCellMar>
        </w:tblPrEx>
        <w:trPr>
          <w:trHeight w:val="273"/>
        </w:trPr>
        <w:tc>
          <w:tcPr>
            <w:tcW w:w="2052" w:type="dxa"/>
            <w:tcBorders>
              <w:top w:val="single" w:sz="6" w:space="0" w:color="00467E"/>
              <w:left w:val="single" w:sz="6" w:space="0" w:color="00467E"/>
              <w:bottom w:val="nil"/>
              <w:right w:val="single" w:sz="6" w:space="0" w:color="000000"/>
            </w:tcBorders>
            <w:shd w:val="clear" w:color="00467E" w:fill="00467E"/>
            <w:vAlign w:val="bottom"/>
          </w:tcPr>
          <w:p w:rsidR="006013C2" w:rsidRDefault="006013C2" w:rsidP="0073298C">
            <w:pPr>
              <w:spacing w:before="22" w:after="22"/>
              <w:ind w:left="22" w:right="22"/>
              <w:rPr>
                <w:rFonts w:ascii="Arial" w:hAnsi="Arial" w:cs="Arial"/>
                <w:b/>
                <w:bCs w:val="0"/>
                <w:i/>
                <w:iCs/>
                <w:color w:val="FFFFFF"/>
                <w:sz w:val="18"/>
                <w:szCs w:val="18"/>
              </w:rPr>
            </w:pPr>
            <w:r>
              <w:rPr>
                <w:rFonts w:ascii="Arial" w:hAnsi="Arial" w:cs="Arial"/>
                <w:b/>
                <w:bCs w:val="0"/>
                <w:i/>
                <w:iCs/>
                <w:color w:val="FFFFFF"/>
                <w:sz w:val="18"/>
                <w:szCs w:val="18"/>
              </w:rPr>
              <w:t>Period</w:t>
            </w:r>
          </w:p>
        </w:tc>
        <w:tc>
          <w:tcPr>
            <w:tcW w:w="8748" w:type="dxa"/>
            <w:tcBorders>
              <w:top w:val="single" w:sz="6" w:space="0" w:color="00467E"/>
              <w:left w:val="nil"/>
              <w:bottom w:val="nil"/>
              <w:right w:val="single" w:sz="6" w:space="0" w:color="00467E"/>
            </w:tcBorders>
            <w:shd w:val="clear" w:color="9D1B11" w:fill="9D1B11"/>
            <w:vAlign w:val="bottom"/>
          </w:tcPr>
          <w:p w:rsidR="006013C2" w:rsidRDefault="006013C2" w:rsidP="0073298C">
            <w:pPr>
              <w:spacing w:before="22" w:after="22"/>
              <w:ind w:left="22" w:right="22"/>
              <w:rPr>
                <w:rFonts w:ascii="Arial" w:hAnsi="Arial" w:cs="Arial"/>
                <w:b/>
                <w:bCs w:val="0"/>
                <w:color w:val="FFFFFF"/>
                <w:sz w:val="18"/>
                <w:szCs w:val="18"/>
              </w:rPr>
            </w:pPr>
            <w:r>
              <w:rPr>
                <w:rFonts w:ascii="Arial" w:hAnsi="Arial" w:cs="Arial"/>
                <w:b/>
                <w:bCs w:val="0"/>
                <w:color w:val="FFFFFF"/>
                <w:sz w:val="18"/>
                <w:szCs w:val="18"/>
              </w:rPr>
              <w:t>Economic Cycle</w:t>
            </w:r>
          </w:p>
        </w:tc>
      </w:tr>
      <w:tr w:rsidR="006013C2" w:rsidTr="0073298C">
        <w:tblPrEx>
          <w:tblCellMar>
            <w:top w:w="0" w:type="dxa"/>
            <w:left w:w="0" w:type="dxa"/>
            <w:bottom w:w="0" w:type="dxa"/>
            <w:right w:w="0" w:type="dxa"/>
          </w:tblCellMar>
        </w:tblPrEx>
        <w:trPr>
          <w:trHeight w:val="273"/>
        </w:trPr>
        <w:tc>
          <w:tcPr>
            <w:tcW w:w="2052" w:type="dxa"/>
            <w:tcBorders>
              <w:top w:val="single" w:sz="6" w:space="0" w:color="00467E"/>
              <w:left w:val="single" w:sz="6" w:space="0" w:color="00467E"/>
              <w:bottom w:val="nil"/>
              <w:right w:val="single" w:sz="6" w:space="0" w:color="000000"/>
            </w:tcBorders>
            <w:shd w:val="clear" w:color="00467E" w:fill="00467E"/>
          </w:tcPr>
          <w:p w:rsidR="006013C2" w:rsidRDefault="006013C2" w:rsidP="0073298C">
            <w:pPr>
              <w:spacing w:before="22" w:after="22"/>
              <w:ind w:left="22" w:right="22"/>
              <w:rPr>
                <w:rFonts w:ascii="Arial" w:hAnsi="Arial" w:cs="Arial"/>
                <w:b/>
                <w:bCs w:val="0"/>
                <w:i/>
                <w:iCs/>
                <w:color w:val="FFFFFF"/>
                <w:sz w:val="18"/>
                <w:szCs w:val="18"/>
              </w:rPr>
            </w:pPr>
            <w:r>
              <w:rPr>
                <w:rFonts w:ascii="Arial" w:hAnsi="Arial" w:cs="Arial"/>
                <w:b/>
                <w:bCs w:val="0"/>
                <w:i/>
                <w:iCs/>
                <w:color w:val="FFFFFF"/>
                <w:sz w:val="18"/>
                <w:szCs w:val="18"/>
              </w:rPr>
              <w:t>2000 — 2001</w:t>
            </w:r>
          </w:p>
        </w:tc>
        <w:tc>
          <w:tcPr>
            <w:tcW w:w="8748" w:type="dxa"/>
            <w:tcBorders>
              <w:top w:val="nil"/>
              <w:left w:val="nil"/>
              <w:bottom w:val="nil"/>
              <w:right w:val="single" w:sz="6" w:space="0" w:color="00467E"/>
            </w:tcBorders>
          </w:tcPr>
          <w:p w:rsidR="006013C2" w:rsidRDefault="006013C2" w:rsidP="0073298C">
            <w:pPr>
              <w:spacing w:before="22" w:after="22"/>
              <w:ind w:left="396" w:right="22" w:hanging="396"/>
              <w:rPr>
                <w:rFonts w:ascii="Arial" w:hAnsi="Arial" w:cs="Arial"/>
                <w:color w:val="000000"/>
                <w:sz w:val="18"/>
                <w:szCs w:val="18"/>
              </w:rPr>
            </w:pPr>
            <w:r>
              <w:rPr>
                <w:rFonts w:ascii="Arial" w:hAnsi="Arial" w:cs="Arial"/>
                <w:color w:val="000000"/>
                <w:sz w:val="18"/>
                <w:szCs w:val="18"/>
              </w:rPr>
              <w:t>industry over-capacity and depressed freight volumes</w:t>
            </w:r>
          </w:p>
        </w:tc>
      </w:tr>
      <w:tr w:rsidR="006013C2" w:rsidTr="0073298C">
        <w:tblPrEx>
          <w:tblCellMar>
            <w:top w:w="0" w:type="dxa"/>
            <w:left w:w="0" w:type="dxa"/>
            <w:bottom w:w="0" w:type="dxa"/>
            <w:right w:w="0" w:type="dxa"/>
          </w:tblCellMar>
        </w:tblPrEx>
        <w:trPr>
          <w:trHeight w:val="298"/>
        </w:trPr>
        <w:tc>
          <w:tcPr>
            <w:tcW w:w="2052" w:type="dxa"/>
            <w:tcBorders>
              <w:top w:val="single" w:sz="6" w:space="0" w:color="00467E"/>
              <w:left w:val="single" w:sz="6" w:space="0" w:color="00467E"/>
              <w:bottom w:val="nil"/>
              <w:right w:val="single" w:sz="6" w:space="0" w:color="000000"/>
            </w:tcBorders>
            <w:shd w:val="clear" w:color="00467E" w:fill="00467E"/>
            <w:vAlign w:val="bottom"/>
          </w:tcPr>
          <w:p w:rsidR="006013C2" w:rsidRDefault="006013C2" w:rsidP="0073298C">
            <w:pPr>
              <w:spacing w:before="22" w:after="22"/>
              <w:ind w:left="22" w:right="22"/>
              <w:rPr>
                <w:color w:val="000000"/>
              </w:rPr>
            </w:pPr>
            <w:r>
              <w:rPr>
                <w:color w:val="000000"/>
              </w:rPr>
              <w:t> </w:t>
            </w:r>
          </w:p>
        </w:tc>
        <w:tc>
          <w:tcPr>
            <w:tcW w:w="8748" w:type="dxa"/>
            <w:tcBorders>
              <w:top w:val="nil"/>
              <w:left w:val="nil"/>
              <w:bottom w:val="nil"/>
              <w:right w:val="single" w:sz="6" w:space="0" w:color="00467E"/>
            </w:tcBorders>
            <w:shd w:val="clear" w:color="CFD4D8" w:fill="CFD4D8"/>
            <w:vAlign w:val="bottom"/>
          </w:tcPr>
          <w:p w:rsidR="006013C2" w:rsidRDefault="006013C2" w:rsidP="0073298C">
            <w:pPr>
              <w:spacing w:before="22" w:after="22"/>
              <w:ind w:left="22" w:right="22"/>
              <w:rPr>
                <w:color w:val="000000"/>
              </w:rPr>
            </w:pPr>
            <w:r>
              <w:rPr>
                <w:color w:val="000000"/>
              </w:rPr>
              <w:t> </w:t>
            </w:r>
          </w:p>
        </w:tc>
      </w:tr>
      <w:tr w:rsidR="006013C2" w:rsidTr="0073298C">
        <w:tblPrEx>
          <w:tblCellMar>
            <w:top w:w="0" w:type="dxa"/>
            <w:left w:w="0" w:type="dxa"/>
            <w:bottom w:w="0" w:type="dxa"/>
            <w:right w:w="0" w:type="dxa"/>
          </w:tblCellMar>
        </w:tblPrEx>
        <w:trPr>
          <w:trHeight w:val="273"/>
        </w:trPr>
        <w:tc>
          <w:tcPr>
            <w:tcW w:w="2052" w:type="dxa"/>
            <w:tcBorders>
              <w:top w:val="single" w:sz="6" w:space="0" w:color="00467E"/>
              <w:left w:val="single" w:sz="6" w:space="0" w:color="00467E"/>
              <w:bottom w:val="single" w:sz="6" w:space="0" w:color="00467E"/>
              <w:right w:val="single" w:sz="6" w:space="0" w:color="000000"/>
            </w:tcBorders>
            <w:shd w:val="clear" w:color="00467E" w:fill="00467E"/>
          </w:tcPr>
          <w:p w:rsidR="006013C2" w:rsidRDefault="006013C2" w:rsidP="0073298C">
            <w:pPr>
              <w:spacing w:before="22" w:after="22"/>
              <w:ind w:left="22" w:right="22"/>
              <w:rPr>
                <w:rFonts w:ascii="Arial" w:hAnsi="Arial" w:cs="Arial"/>
                <w:b/>
                <w:bCs w:val="0"/>
                <w:i/>
                <w:iCs/>
                <w:color w:val="FFFFFF"/>
                <w:sz w:val="18"/>
                <w:szCs w:val="18"/>
              </w:rPr>
            </w:pPr>
            <w:r>
              <w:rPr>
                <w:rFonts w:ascii="Arial" w:hAnsi="Arial" w:cs="Arial"/>
                <w:b/>
                <w:bCs w:val="0"/>
                <w:i/>
                <w:iCs/>
                <w:color w:val="FFFFFF"/>
                <w:sz w:val="18"/>
                <w:szCs w:val="18"/>
              </w:rPr>
              <w:t>2002 — 2006</w:t>
            </w:r>
          </w:p>
        </w:tc>
        <w:tc>
          <w:tcPr>
            <w:tcW w:w="8748" w:type="dxa"/>
            <w:tcBorders>
              <w:top w:val="nil"/>
              <w:left w:val="nil"/>
              <w:bottom w:val="nil"/>
              <w:right w:val="single" w:sz="6" w:space="0" w:color="00467E"/>
            </w:tcBorders>
          </w:tcPr>
          <w:p w:rsidR="006013C2" w:rsidRDefault="006013C2" w:rsidP="0073298C">
            <w:pPr>
              <w:spacing w:before="22" w:after="22"/>
              <w:ind w:left="396" w:right="22" w:hanging="396"/>
              <w:rPr>
                <w:rFonts w:ascii="Arial" w:hAnsi="Arial" w:cs="Arial"/>
                <w:color w:val="000000"/>
                <w:sz w:val="18"/>
                <w:szCs w:val="18"/>
              </w:rPr>
            </w:pPr>
            <w:r>
              <w:rPr>
                <w:rFonts w:ascii="Arial" w:hAnsi="Arial" w:cs="Arial"/>
                <w:color w:val="000000"/>
                <w:sz w:val="18"/>
                <w:szCs w:val="18"/>
              </w:rPr>
              <w:t>economic expansion</w:t>
            </w:r>
          </w:p>
        </w:tc>
      </w:tr>
      <w:tr w:rsidR="006013C2" w:rsidTr="0073298C">
        <w:tblPrEx>
          <w:tblCellMar>
            <w:top w:w="0" w:type="dxa"/>
            <w:left w:w="0" w:type="dxa"/>
            <w:bottom w:w="0" w:type="dxa"/>
            <w:right w:w="0" w:type="dxa"/>
          </w:tblCellMar>
        </w:tblPrEx>
        <w:trPr>
          <w:trHeight w:val="298"/>
        </w:trPr>
        <w:tc>
          <w:tcPr>
            <w:tcW w:w="2052" w:type="dxa"/>
            <w:tcBorders>
              <w:top w:val="single" w:sz="6" w:space="0" w:color="00467E"/>
              <w:left w:val="single" w:sz="6" w:space="0" w:color="00467E"/>
              <w:bottom w:val="nil"/>
              <w:right w:val="single" w:sz="6" w:space="0" w:color="000000"/>
            </w:tcBorders>
            <w:shd w:val="clear" w:color="00467E" w:fill="00467E"/>
            <w:vAlign w:val="bottom"/>
          </w:tcPr>
          <w:p w:rsidR="006013C2" w:rsidRDefault="006013C2" w:rsidP="0073298C">
            <w:pPr>
              <w:spacing w:before="22" w:after="22"/>
              <w:ind w:left="22" w:right="22"/>
              <w:rPr>
                <w:color w:val="000000"/>
              </w:rPr>
            </w:pPr>
            <w:r>
              <w:rPr>
                <w:color w:val="000000"/>
              </w:rPr>
              <w:t> </w:t>
            </w:r>
          </w:p>
        </w:tc>
        <w:tc>
          <w:tcPr>
            <w:tcW w:w="8748" w:type="dxa"/>
            <w:tcBorders>
              <w:top w:val="nil"/>
              <w:left w:val="nil"/>
              <w:bottom w:val="nil"/>
              <w:right w:val="single" w:sz="6" w:space="0" w:color="00467E"/>
            </w:tcBorders>
            <w:shd w:val="clear" w:color="CFD4D8" w:fill="CFD4D8"/>
            <w:vAlign w:val="bottom"/>
          </w:tcPr>
          <w:p w:rsidR="006013C2" w:rsidRDefault="006013C2" w:rsidP="0073298C">
            <w:pPr>
              <w:spacing w:before="22" w:after="22"/>
              <w:ind w:left="22" w:right="22"/>
              <w:rPr>
                <w:color w:val="000000"/>
              </w:rPr>
            </w:pPr>
            <w:r>
              <w:rPr>
                <w:color w:val="000000"/>
              </w:rPr>
              <w:t> </w:t>
            </w:r>
          </w:p>
        </w:tc>
      </w:tr>
      <w:tr w:rsidR="006013C2" w:rsidTr="0073298C">
        <w:tblPrEx>
          <w:tblCellMar>
            <w:top w:w="0" w:type="dxa"/>
            <w:left w:w="0" w:type="dxa"/>
            <w:bottom w:w="0" w:type="dxa"/>
            <w:right w:w="0" w:type="dxa"/>
          </w:tblCellMar>
        </w:tblPrEx>
        <w:trPr>
          <w:trHeight w:val="273"/>
        </w:trPr>
        <w:tc>
          <w:tcPr>
            <w:tcW w:w="2052" w:type="dxa"/>
            <w:tcBorders>
              <w:top w:val="single" w:sz="6" w:space="0" w:color="00467E"/>
              <w:left w:val="single" w:sz="6" w:space="0" w:color="00467E"/>
              <w:bottom w:val="nil"/>
              <w:right w:val="single" w:sz="6" w:space="0" w:color="000000"/>
            </w:tcBorders>
            <w:shd w:val="clear" w:color="00467E" w:fill="00467E"/>
          </w:tcPr>
          <w:p w:rsidR="006013C2" w:rsidRDefault="006013C2" w:rsidP="0073298C">
            <w:pPr>
              <w:spacing w:before="22" w:after="22"/>
              <w:ind w:left="22" w:right="22"/>
              <w:rPr>
                <w:rFonts w:ascii="Arial" w:hAnsi="Arial" w:cs="Arial"/>
                <w:b/>
                <w:bCs w:val="0"/>
                <w:i/>
                <w:iCs/>
                <w:color w:val="FFFFFF"/>
                <w:sz w:val="18"/>
                <w:szCs w:val="18"/>
              </w:rPr>
            </w:pPr>
            <w:r>
              <w:rPr>
                <w:rFonts w:ascii="Arial" w:hAnsi="Arial" w:cs="Arial"/>
                <w:b/>
                <w:bCs w:val="0"/>
                <w:i/>
                <w:iCs/>
                <w:color w:val="FFFFFF"/>
                <w:sz w:val="18"/>
                <w:szCs w:val="18"/>
              </w:rPr>
              <w:t>2007 — 2009</w:t>
            </w:r>
          </w:p>
        </w:tc>
        <w:tc>
          <w:tcPr>
            <w:tcW w:w="8748" w:type="dxa"/>
            <w:tcBorders>
              <w:top w:val="nil"/>
              <w:left w:val="nil"/>
              <w:bottom w:val="nil"/>
              <w:right w:val="single" w:sz="6" w:space="0" w:color="00467E"/>
            </w:tcBorders>
          </w:tcPr>
          <w:p w:rsidR="006013C2" w:rsidRDefault="006013C2" w:rsidP="0073298C">
            <w:pPr>
              <w:spacing w:before="22" w:after="22"/>
              <w:ind w:left="22" w:right="22"/>
              <w:rPr>
                <w:rFonts w:ascii="Arial" w:hAnsi="Arial" w:cs="Arial"/>
                <w:color w:val="000000"/>
                <w:sz w:val="18"/>
                <w:szCs w:val="18"/>
              </w:rPr>
            </w:pPr>
            <w:r>
              <w:rPr>
                <w:rFonts w:ascii="Arial" w:hAnsi="Arial" w:cs="Arial"/>
                <w:color w:val="000000"/>
                <w:sz w:val="18"/>
                <w:szCs w:val="18"/>
              </w:rPr>
              <w:t>freight slowdown, fuel price spike, economic recession, and credit crisis</w:t>
            </w:r>
          </w:p>
        </w:tc>
      </w:tr>
      <w:tr w:rsidR="006013C2" w:rsidTr="0073298C">
        <w:tblPrEx>
          <w:tblCellMar>
            <w:top w:w="0" w:type="dxa"/>
            <w:left w:w="0" w:type="dxa"/>
            <w:bottom w:w="0" w:type="dxa"/>
            <w:right w:w="0" w:type="dxa"/>
          </w:tblCellMar>
        </w:tblPrEx>
        <w:trPr>
          <w:trHeight w:val="298"/>
        </w:trPr>
        <w:tc>
          <w:tcPr>
            <w:tcW w:w="2052" w:type="dxa"/>
            <w:tcBorders>
              <w:top w:val="single" w:sz="6" w:space="0" w:color="00467E"/>
              <w:left w:val="single" w:sz="6" w:space="0" w:color="00467E"/>
              <w:bottom w:val="nil"/>
              <w:right w:val="single" w:sz="6" w:space="0" w:color="000000"/>
            </w:tcBorders>
            <w:shd w:val="clear" w:color="00467E" w:fill="00467E"/>
            <w:vAlign w:val="bottom"/>
          </w:tcPr>
          <w:p w:rsidR="006013C2" w:rsidRDefault="006013C2" w:rsidP="0073298C">
            <w:pPr>
              <w:spacing w:before="22" w:after="22"/>
              <w:ind w:left="22" w:right="22"/>
              <w:rPr>
                <w:color w:val="000000"/>
              </w:rPr>
            </w:pPr>
            <w:r>
              <w:rPr>
                <w:color w:val="000000"/>
              </w:rPr>
              <w:t> </w:t>
            </w:r>
          </w:p>
        </w:tc>
        <w:tc>
          <w:tcPr>
            <w:tcW w:w="8748" w:type="dxa"/>
            <w:tcBorders>
              <w:top w:val="nil"/>
              <w:left w:val="nil"/>
              <w:bottom w:val="nil"/>
              <w:right w:val="single" w:sz="6" w:space="0" w:color="00467E"/>
            </w:tcBorders>
            <w:shd w:val="clear" w:color="CFD4D8" w:fill="CFD4D8"/>
            <w:vAlign w:val="bottom"/>
          </w:tcPr>
          <w:p w:rsidR="006013C2" w:rsidRDefault="006013C2" w:rsidP="0073298C">
            <w:pPr>
              <w:spacing w:before="22" w:after="22"/>
              <w:ind w:left="22" w:right="22"/>
              <w:rPr>
                <w:color w:val="000000"/>
              </w:rPr>
            </w:pPr>
            <w:r>
              <w:rPr>
                <w:color w:val="000000"/>
              </w:rPr>
              <w:t> </w:t>
            </w:r>
          </w:p>
        </w:tc>
      </w:tr>
      <w:tr w:rsidR="006013C2" w:rsidTr="0073298C">
        <w:tblPrEx>
          <w:tblCellMar>
            <w:top w:w="0" w:type="dxa"/>
            <w:left w:w="0" w:type="dxa"/>
            <w:bottom w:w="0" w:type="dxa"/>
            <w:right w:w="0" w:type="dxa"/>
          </w:tblCellMar>
        </w:tblPrEx>
        <w:trPr>
          <w:trHeight w:val="1147"/>
        </w:trPr>
        <w:tc>
          <w:tcPr>
            <w:tcW w:w="2052" w:type="dxa"/>
            <w:tcBorders>
              <w:top w:val="single" w:sz="6" w:space="0" w:color="00467E"/>
              <w:left w:val="single" w:sz="6" w:space="0" w:color="00467E"/>
              <w:bottom w:val="nil"/>
              <w:right w:val="single" w:sz="6" w:space="0" w:color="000000"/>
            </w:tcBorders>
            <w:shd w:val="clear" w:color="00467E" w:fill="00467E"/>
          </w:tcPr>
          <w:p w:rsidR="006013C2" w:rsidRDefault="006013C2" w:rsidP="0073298C">
            <w:pPr>
              <w:spacing w:before="22" w:after="22"/>
              <w:ind w:left="22" w:right="22"/>
              <w:rPr>
                <w:rFonts w:ascii="Arial" w:hAnsi="Arial" w:cs="Arial"/>
                <w:b/>
                <w:bCs w:val="0"/>
                <w:i/>
                <w:iCs/>
                <w:color w:val="FFFFFF"/>
                <w:sz w:val="18"/>
                <w:szCs w:val="18"/>
              </w:rPr>
            </w:pPr>
            <w:r>
              <w:rPr>
                <w:rFonts w:ascii="Arial" w:hAnsi="Arial" w:cs="Arial"/>
                <w:b/>
                <w:bCs w:val="0"/>
                <w:i/>
                <w:iCs/>
                <w:color w:val="FFFFFF"/>
                <w:sz w:val="18"/>
                <w:szCs w:val="18"/>
              </w:rPr>
              <w:lastRenderedPageBreak/>
              <w:t>2010 — 2013</w:t>
            </w:r>
          </w:p>
        </w:tc>
        <w:tc>
          <w:tcPr>
            <w:tcW w:w="8748" w:type="dxa"/>
            <w:tcBorders>
              <w:top w:val="nil"/>
              <w:left w:val="nil"/>
              <w:bottom w:val="nil"/>
              <w:right w:val="single" w:sz="6" w:space="0" w:color="00467E"/>
            </w:tcBorders>
          </w:tcPr>
          <w:p w:rsidR="006013C2" w:rsidRDefault="006013C2" w:rsidP="0073298C">
            <w:pPr>
              <w:spacing w:before="22" w:after="22"/>
              <w:ind w:left="22" w:right="22"/>
              <w:jc w:val="both"/>
              <w:rPr>
                <w:rFonts w:ascii="Arial" w:hAnsi="Arial" w:cs="Arial"/>
                <w:color w:val="000000"/>
                <w:sz w:val="18"/>
                <w:szCs w:val="18"/>
              </w:rPr>
            </w:pPr>
            <w:proofErr w:type="gramStart"/>
            <w:r>
              <w:rPr>
                <w:rFonts w:ascii="Arial" w:hAnsi="Arial" w:cs="Arial"/>
                <w:color w:val="000000"/>
                <w:sz w:val="18"/>
                <w:szCs w:val="18"/>
              </w:rPr>
              <w:t>moderate</w:t>
            </w:r>
            <w:proofErr w:type="gramEnd"/>
            <w:r>
              <w:rPr>
                <w:rFonts w:ascii="Arial" w:hAnsi="Arial" w:cs="Arial"/>
                <w:color w:val="000000"/>
                <w:sz w:val="18"/>
                <w:szCs w:val="18"/>
              </w:rPr>
              <w:t xml:space="preserve"> recovery. The industry freight data began to show positive trends for both volume and pricing. The slow, steady growth is a result of moderate increases in gross domestic product, coupled with a tighter supply of available tractors. Trends in supply of available tractors were lower due to several years of below average truck builds, an increase in truckload fleet bankruptcies in 2009 and 2010, increasing equipment prices due to stringent EPA requirements, less available credit, and less driver availability.</w:t>
            </w:r>
          </w:p>
        </w:tc>
      </w:tr>
      <w:tr w:rsidR="006013C2" w:rsidTr="0073298C">
        <w:tblPrEx>
          <w:tblCellMar>
            <w:top w:w="0" w:type="dxa"/>
            <w:left w:w="0" w:type="dxa"/>
            <w:bottom w:w="0" w:type="dxa"/>
            <w:right w:w="0" w:type="dxa"/>
          </w:tblCellMar>
        </w:tblPrEx>
        <w:trPr>
          <w:trHeight w:val="298"/>
        </w:trPr>
        <w:tc>
          <w:tcPr>
            <w:tcW w:w="2052" w:type="dxa"/>
            <w:tcBorders>
              <w:top w:val="single" w:sz="6" w:space="0" w:color="00467E"/>
              <w:left w:val="single" w:sz="6" w:space="0" w:color="00467E"/>
              <w:bottom w:val="nil"/>
              <w:right w:val="single" w:sz="6" w:space="0" w:color="000000"/>
            </w:tcBorders>
            <w:shd w:val="clear" w:color="00467E" w:fill="00467E"/>
            <w:vAlign w:val="bottom"/>
          </w:tcPr>
          <w:p w:rsidR="006013C2" w:rsidRDefault="006013C2" w:rsidP="0073298C">
            <w:pPr>
              <w:spacing w:before="22" w:after="22"/>
              <w:ind w:left="22" w:right="22"/>
              <w:rPr>
                <w:color w:val="000000"/>
              </w:rPr>
            </w:pPr>
            <w:r>
              <w:rPr>
                <w:color w:val="000000"/>
              </w:rPr>
              <w:t> </w:t>
            </w:r>
          </w:p>
        </w:tc>
        <w:tc>
          <w:tcPr>
            <w:tcW w:w="8748" w:type="dxa"/>
            <w:tcBorders>
              <w:top w:val="nil"/>
              <w:left w:val="nil"/>
              <w:bottom w:val="nil"/>
              <w:right w:val="single" w:sz="6" w:space="0" w:color="00467E"/>
            </w:tcBorders>
            <w:shd w:val="clear" w:color="CFD4D8" w:fill="CFD4D8"/>
            <w:vAlign w:val="bottom"/>
          </w:tcPr>
          <w:p w:rsidR="006013C2" w:rsidRDefault="006013C2" w:rsidP="0073298C">
            <w:pPr>
              <w:spacing w:before="22" w:after="22"/>
              <w:ind w:left="22" w:right="22"/>
              <w:rPr>
                <w:color w:val="000000"/>
              </w:rPr>
            </w:pPr>
            <w:r>
              <w:rPr>
                <w:color w:val="000000"/>
              </w:rPr>
              <w:t> </w:t>
            </w:r>
          </w:p>
        </w:tc>
      </w:tr>
      <w:tr w:rsidR="006013C2" w:rsidTr="0073298C">
        <w:tblPrEx>
          <w:tblCellMar>
            <w:top w:w="0" w:type="dxa"/>
            <w:left w:w="0" w:type="dxa"/>
            <w:bottom w:w="0" w:type="dxa"/>
            <w:right w:w="0" w:type="dxa"/>
          </w:tblCellMar>
        </w:tblPrEx>
        <w:trPr>
          <w:trHeight w:val="1147"/>
        </w:trPr>
        <w:tc>
          <w:tcPr>
            <w:tcW w:w="2052" w:type="dxa"/>
            <w:tcBorders>
              <w:top w:val="single" w:sz="6" w:space="0" w:color="00467E"/>
              <w:left w:val="single" w:sz="6" w:space="0" w:color="00467E"/>
              <w:bottom w:val="single" w:sz="6" w:space="0" w:color="000000"/>
              <w:right w:val="single" w:sz="6" w:space="0" w:color="000000"/>
            </w:tcBorders>
            <w:shd w:val="clear" w:color="00467E" w:fill="00467E"/>
          </w:tcPr>
          <w:p w:rsidR="006013C2" w:rsidRDefault="006013C2" w:rsidP="0073298C">
            <w:pPr>
              <w:spacing w:before="22" w:after="22"/>
              <w:ind w:left="22" w:right="22"/>
              <w:rPr>
                <w:rFonts w:ascii="Arial" w:hAnsi="Arial" w:cs="Arial"/>
                <w:b/>
                <w:bCs w:val="0"/>
                <w:i/>
                <w:iCs/>
                <w:color w:val="FFFFFF"/>
                <w:sz w:val="18"/>
                <w:szCs w:val="18"/>
              </w:rPr>
            </w:pPr>
            <w:r>
              <w:rPr>
                <w:rFonts w:ascii="Arial" w:hAnsi="Arial" w:cs="Arial"/>
                <w:b/>
                <w:bCs w:val="0"/>
                <w:i/>
                <w:iCs/>
                <w:color w:val="FFFFFF"/>
                <w:sz w:val="18"/>
                <w:szCs w:val="18"/>
              </w:rPr>
              <w:t>2014 — 2016</w:t>
            </w:r>
          </w:p>
        </w:tc>
        <w:tc>
          <w:tcPr>
            <w:tcW w:w="8748" w:type="dxa"/>
            <w:tcBorders>
              <w:top w:val="nil"/>
              <w:left w:val="nil"/>
              <w:bottom w:val="nil"/>
              <w:right w:val="single" w:sz="6" w:space="0" w:color="00467E"/>
            </w:tcBorders>
          </w:tcPr>
          <w:p w:rsidR="006013C2" w:rsidRDefault="006013C2" w:rsidP="0073298C">
            <w:pPr>
              <w:spacing w:before="22" w:after="22"/>
              <w:ind w:left="22" w:right="22"/>
              <w:jc w:val="both"/>
              <w:rPr>
                <w:rFonts w:ascii="Arial" w:hAnsi="Arial" w:cs="Arial"/>
                <w:color w:val="000000"/>
                <w:sz w:val="18"/>
                <w:szCs w:val="18"/>
              </w:rPr>
            </w:pPr>
            <w:proofErr w:type="gramStart"/>
            <w:r>
              <w:rPr>
                <w:rFonts w:ascii="Arial" w:hAnsi="Arial" w:cs="Arial"/>
                <w:color w:val="000000"/>
                <w:sz w:val="18"/>
                <w:szCs w:val="18"/>
              </w:rPr>
              <w:t>return</w:t>
            </w:r>
            <w:proofErr w:type="gramEnd"/>
            <w:r>
              <w:rPr>
                <w:rFonts w:ascii="Arial" w:hAnsi="Arial" w:cs="Arial"/>
                <w:color w:val="000000"/>
                <w:sz w:val="18"/>
                <w:szCs w:val="18"/>
              </w:rPr>
              <w:t xml:space="preserve"> to pre-recession levels and relative stabilization. In 2014, total spending on transportation, which fell during the 2007 – 2009 recession, returned to pre-recession levels. Truck tonnage grew throughout 2014, followed by decelerating growth in 2015, and relative stabilization in 2016. Capacity became looser in 2015 and 2016, as inventory levels were high and large volumes of tractor purchases created a supply/demand imbalance, putting pressure on pricing. Fuel prices declined.</w:t>
            </w:r>
          </w:p>
        </w:tc>
      </w:tr>
      <w:tr w:rsidR="006013C2" w:rsidTr="0073298C">
        <w:tblPrEx>
          <w:tblCellMar>
            <w:top w:w="0" w:type="dxa"/>
            <w:left w:w="0" w:type="dxa"/>
            <w:bottom w:w="0" w:type="dxa"/>
            <w:right w:w="0" w:type="dxa"/>
          </w:tblCellMar>
        </w:tblPrEx>
        <w:trPr>
          <w:trHeight w:val="298"/>
        </w:trPr>
        <w:tc>
          <w:tcPr>
            <w:tcW w:w="2052" w:type="dxa"/>
            <w:tcBorders>
              <w:top w:val="single" w:sz="6" w:space="0" w:color="00467E"/>
              <w:left w:val="single" w:sz="6" w:space="0" w:color="00467E"/>
              <w:bottom w:val="nil"/>
              <w:right w:val="single" w:sz="6" w:space="0" w:color="000000"/>
            </w:tcBorders>
            <w:shd w:val="clear" w:color="00467E" w:fill="00467E"/>
            <w:vAlign w:val="bottom"/>
          </w:tcPr>
          <w:p w:rsidR="006013C2" w:rsidRDefault="006013C2" w:rsidP="0073298C">
            <w:pPr>
              <w:spacing w:before="22" w:after="22"/>
              <w:ind w:left="22" w:right="22"/>
              <w:rPr>
                <w:color w:val="000000"/>
              </w:rPr>
            </w:pPr>
            <w:r>
              <w:rPr>
                <w:color w:val="000000"/>
              </w:rPr>
              <w:t> </w:t>
            </w:r>
          </w:p>
        </w:tc>
        <w:tc>
          <w:tcPr>
            <w:tcW w:w="8748" w:type="dxa"/>
            <w:tcBorders>
              <w:top w:val="nil"/>
              <w:left w:val="nil"/>
              <w:bottom w:val="nil"/>
              <w:right w:val="single" w:sz="6" w:space="0" w:color="00467E"/>
            </w:tcBorders>
            <w:shd w:val="clear" w:color="CFD4D8" w:fill="CFD4D8"/>
            <w:vAlign w:val="bottom"/>
          </w:tcPr>
          <w:p w:rsidR="006013C2" w:rsidRDefault="006013C2" w:rsidP="0073298C">
            <w:pPr>
              <w:spacing w:before="22" w:after="22"/>
              <w:ind w:left="22" w:right="22"/>
              <w:rPr>
                <w:color w:val="000000"/>
              </w:rPr>
            </w:pPr>
            <w:r>
              <w:rPr>
                <w:color w:val="000000"/>
              </w:rPr>
              <w:t> </w:t>
            </w:r>
          </w:p>
        </w:tc>
      </w:tr>
      <w:tr w:rsidR="006013C2" w:rsidTr="0073298C">
        <w:tblPrEx>
          <w:tblCellMar>
            <w:top w:w="0" w:type="dxa"/>
            <w:left w:w="0" w:type="dxa"/>
            <w:bottom w:w="0" w:type="dxa"/>
            <w:right w:w="0" w:type="dxa"/>
          </w:tblCellMar>
        </w:tblPrEx>
        <w:trPr>
          <w:trHeight w:val="925"/>
        </w:trPr>
        <w:tc>
          <w:tcPr>
            <w:tcW w:w="2052" w:type="dxa"/>
            <w:tcBorders>
              <w:top w:val="single" w:sz="6" w:space="0" w:color="00467E"/>
              <w:left w:val="single" w:sz="6" w:space="0" w:color="00467E"/>
              <w:bottom w:val="single" w:sz="6" w:space="0" w:color="00467E"/>
              <w:right w:val="single" w:sz="6" w:space="0" w:color="000000"/>
            </w:tcBorders>
            <w:shd w:val="clear" w:color="00467E" w:fill="00467E"/>
          </w:tcPr>
          <w:p w:rsidR="006013C2" w:rsidRDefault="006013C2" w:rsidP="0073298C">
            <w:pPr>
              <w:spacing w:before="22" w:after="22"/>
              <w:ind w:left="22" w:right="22"/>
              <w:rPr>
                <w:rFonts w:ascii="Arial" w:hAnsi="Arial" w:cs="Arial"/>
                <w:b/>
                <w:bCs w:val="0"/>
                <w:i/>
                <w:iCs/>
                <w:color w:val="FFFFFF"/>
                <w:sz w:val="18"/>
                <w:szCs w:val="18"/>
              </w:rPr>
            </w:pPr>
            <w:r>
              <w:rPr>
                <w:rFonts w:ascii="Arial" w:hAnsi="Arial" w:cs="Arial"/>
                <w:b/>
                <w:bCs w:val="0"/>
                <w:i/>
                <w:iCs/>
                <w:color w:val="FFFFFF"/>
                <w:sz w:val="18"/>
                <w:szCs w:val="18"/>
              </w:rPr>
              <w:t>2017</w:t>
            </w:r>
          </w:p>
        </w:tc>
        <w:tc>
          <w:tcPr>
            <w:tcW w:w="8748" w:type="dxa"/>
            <w:tcBorders>
              <w:top w:val="nil"/>
              <w:left w:val="nil"/>
              <w:bottom w:val="single" w:sz="6" w:space="0" w:color="00467E"/>
              <w:right w:val="single" w:sz="6" w:space="0" w:color="00467E"/>
            </w:tcBorders>
          </w:tcPr>
          <w:p w:rsidR="006013C2" w:rsidRDefault="006013C2" w:rsidP="0073298C">
            <w:pPr>
              <w:spacing w:before="22" w:after="22"/>
              <w:ind w:left="22" w:right="22"/>
              <w:rPr>
                <w:rFonts w:ascii="Arial" w:hAnsi="Arial" w:cs="Arial"/>
                <w:color w:val="000000"/>
                <w:sz w:val="18"/>
                <w:szCs w:val="18"/>
              </w:rPr>
            </w:pPr>
            <w:r>
              <w:rPr>
                <w:rFonts w:ascii="Arial" w:hAnsi="Arial" w:cs="Arial"/>
                <w:color w:val="000000"/>
                <w:sz w:val="18"/>
                <w:szCs w:val="18"/>
              </w:rPr>
              <w:t xml:space="preserve">Demand increased for transportation services, including non-contract market demand, partially due to a strong retail season. Capacity became tighter in the second half of 2017, due to increasing government regulation, the driver shortage, </w:t>
            </w:r>
            <w:proofErr w:type="gramStart"/>
            <w:r>
              <w:rPr>
                <w:rFonts w:ascii="Arial" w:hAnsi="Arial" w:cs="Arial"/>
                <w:color w:val="000000"/>
                <w:sz w:val="18"/>
                <w:szCs w:val="18"/>
              </w:rPr>
              <w:t>severe</w:t>
            </w:r>
            <w:proofErr w:type="gramEnd"/>
            <w:r>
              <w:rPr>
                <w:rFonts w:ascii="Arial" w:hAnsi="Arial" w:cs="Arial"/>
                <w:color w:val="000000"/>
                <w:sz w:val="18"/>
                <w:szCs w:val="18"/>
              </w:rPr>
              <w:t xml:space="preserve"> storms interrupting business, among other factors. In addition, US fuel prices increased.</w:t>
            </w:r>
          </w:p>
        </w:tc>
      </w:tr>
    </w:tbl>
    <w:p w:rsidR="006013C2" w:rsidRDefault="006013C2" w:rsidP="006013C2">
      <w:pPr>
        <w:spacing w:after="132"/>
        <w:jc w:val="both"/>
        <w:rPr>
          <w:rFonts w:ascii="Arial" w:hAnsi="Arial" w:cs="Arial"/>
          <w:color w:val="000000"/>
          <w:sz w:val="18"/>
          <w:szCs w:val="18"/>
        </w:rPr>
      </w:pPr>
      <w:r>
        <w:rPr>
          <w:rFonts w:ascii="Arial" w:hAnsi="Arial" w:cs="Arial"/>
          <w:color w:val="000000"/>
          <w:sz w:val="18"/>
          <w:szCs w:val="18"/>
        </w:rPr>
        <w:t>The principal means of competition in our industry are customer service, capacity, and price. In times of strong freight demand, customer service, and capacity become increasingly important, and in times of weak freight demand, pricing becomes increasingly important. Most truckload contracts (other than dedicated contracts) do not guarantee truck availability or load levels. Pricing is influenced by supply and demand.</w:t>
      </w:r>
    </w:p>
    <w:p w:rsidR="006013C2" w:rsidRPr="006013C2" w:rsidRDefault="006013C2" w:rsidP="006013C2">
      <w:pPr>
        <w:pStyle w:val="ListParagraph"/>
        <w:numPr>
          <w:ilvl w:val="0"/>
          <w:numId w:val="1"/>
        </w:numPr>
        <w:spacing w:after="66"/>
        <w:jc w:val="both"/>
        <w:rPr>
          <w:rFonts w:ascii="Arial" w:hAnsi="Arial" w:cs="Arial"/>
          <w:color w:val="000000"/>
          <w:sz w:val="18"/>
          <w:szCs w:val="18"/>
        </w:rPr>
      </w:pPr>
      <w:r w:rsidRPr="006013C2">
        <w:rPr>
          <w:rFonts w:ascii="Arial" w:hAnsi="Arial" w:cs="Arial"/>
          <w:color w:val="000000"/>
          <w:sz w:val="18"/>
          <w:szCs w:val="18"/>
        </w:rPr>
        <w:t>The trucking industry faces the following primary challenges, which we believe we are well-positioned to address, as discussed under "Our Competitive Strengths" and "Company Strategy," below:</w:t>
      </w:r>
    </w:p>
    <w:p w:rsidR="006013C2" w:rsidRPr="006013C2" w:rsidRDefault="006013C2" w:rsidP="006013C2">
      <w:pPr>
        <w:pStyle w:val="ListParagraph"/>
        <w:numPr>
          <w:ilvl w:val="0"/>
          <w:numId w:val="1"/>
        </w:numPr>
        <w:spacing w:after="66"/>
        <w:jc w:val="both"/>
        <w:rPr>
          <w:rFonts w:ascii="Arial" w:hAnsi="Arial" w:cs="Arial"/>
          <w:color w:val="000000"/>
          <w:sz w:val="18"/>
          <w:szCs w:val="18"/>
        </w:rPr>
      </w:pPr>
      <w:r w:rsidRPr="006013C2">
        <w:rPr>
          <w:rFonts w:ascii="Arial" w:hAnsi="Arial" w:cs="Arial"/>
          <w:color w:val="000000"/>
          <w:sz w:val="18"/>
          <w:szCs w:val="18"/>
        </w:rPr>
        <w:t>tightening industry capacity</w:t>
      </w:r>
    </w:p>
    <w:p w:rsidR="006013C2" w:rsidRPr="006013C2" w:rsidRDefault="006013C2" w:rsidP="006013C2">
      <w:pPr>
        <w:pStyle w:val="ListParagraph"/>
        <w:numPr>
          <w:ilvl w:val="0"/>
          <w:numId w:val="1"/>
        </w:numPr>
        <w:spacing w:after="66"/>
        <w:jc w:val="both"/>
        <w:rPr>
          <w:rFonts w:ascii="Arial" w:hAnsi="Arial" w:cs="Arial"/>
          <w:color w:val="000000"/>
          <w:sz w:val="18"/>
          <w:szCs w:val="18"/>
        </w:rPr>
      </w:pPr>
      <w:r w:rsidRPr="006013C2">
        <w:rPr>
          <w:rFonts w:ascii="Arial" w:hAnsi="Arial" w:cs="Arial"/>
          <w:color w:val="000000"/>
          <w:sz w:val="18"/>
          <w:szCs w:val="18"/>
        </w:rPr>
        <w:t>cumulative impacts of regulatory initiatives, such as ELDs, hours-of service limitations for drivers, and others</w:t>
      </w:r>
    </w:p>
    <w:p w:rsidR="006013C2" w:rsidRPr="006013C2" w:rsidRDefault="006013C2" w:rsidP="006013C2">
      <w:pPr>
        <w:pStyle w:val="ListParagraph"/>
        <w:numPr>
          <w:ilvl w:val="0"/>
          <w:numId w:val="1"/>
        </w:numPr>
        <w:spacing w:after="66"/>
        <w:jc w:val="both"/>
        <w:rPr>
          <w:rFonts w:ascii="Arial" w:hAnsi="Arial" w:cs="Arial"/>
          <w:color w:val="000000"/>
          <w:sz w:val="18"/>
          <w:szCs w:val="18"/>
        </w:rPr>
      </w:pPr>
      <w:r w:rsidRPr="006013C2">
        <w:rPr>
          <w:rFonts w:ascii="Arial" w:hAnsi="Arial" w:cs="Arial"/>
          <w:color w:val="000000"/>
          <w:sz w:val="18"/>
          <w:szCs w:val="18"/>
        </w:rPr>
        <w:t>uncertainty in the economic environment, including changing supply chain and consumer spending patterns</w:t>
      </w:r>
    </w:p>
    <w:p w:rsidR="006013C2" w:rsidRPr="006013C2" w:rsidRDefault="006013C2" w:rsidP="006013C2">
      <w:pPr>
        <w:pStyle w:val="ListParagraph"/>
        <w:numPr>
          <w:ilvl w:val="0"/>
          <w:numId w:val="1"/>
        </w:numPr>
        <w:spacing w:after="66"/>
        <w:jc w:val="both"/>
        <w:rPr>
          <w:rFonts w:ascii="Arial" w:hAnsi="Arial" w:cs="Arial"/>
          <w:color w:val="000000"/>
          <w:sz w:val="18"/>
          <w:szCs w:val="18"/>
        </w:rPr>
      </w:pPr>
      <w:r w:rsidRPr="006013C2">
        <w:rPr>
          <w:rFonts w:ascii="Arial" w:hAnsi="Arial" w:cs="Arial"/>
          <w:color w:val="000000"/>
          <w:sz w:val="18"/>
          <w:szCs w:val="18"/>
        </w:rPr>
        <w:t>driver shortages</w:t>
      </w:r>
    </w:p>
    <w:p w:rsidR="006013C2" w:rsidRPr="006013C2" w:rsidRDefault="006013C2" w:rsidP="006013C2">
      <w:pPr>
        <w:pStyle w:val="ListParagraph"/>
        <w:numPr>
          <w:ilvl w:val="0"/>
          <w:numId w:val="1"/>
        </w:numPr>
        <w:spacing w:after="66"/>
        <w:jc w:val="both"/>
        <w:rPr>
          <w:rFonts w:ascii="Arial" w:hAnsi="Arial" w:cs="Arial"/>
          <w:color w:val="000000"/>
          <w:sz w:val="18"/>
          <w:szCs w:val="18"/>
        </w:rPr>
      </w:pPr>
      <w:r w:rsidRPr="006013C2">
        <w:rPr>
          <w:rFonts w:ascii="Arial" w:hAnsi="Arial" w:cs="Arial"/>
          <w:color w:val="000000"/>
          <w:sz w:val="18"/>
          <w:szCs w:val="18"/>
        </w:rPr>
        <w:t xml:space="preserve">significant and rapid fluctuations in fuel prices; </w:t>
      </w:r>
    </w:p>
    <w:p w:rsidR="006013C2" w:rsidRPr="006013C2" w:rsidRDefault="006013C2" w:rsidP="006013C2">
      <w:pPr>
        <w:pStyle w:val="ListParagraph"/>
        <w:numPr>
          <w:ilvl w:val="0"/>
          <w:numId w:val="1"/>
        </w:numPr>
        <w:spacing w:after="66"/>
        <w:jc w:val="both"/>
        <w:rPr>
          <w:b/>
        </w:rPr>
      </w:pPr>
      <w:proofErr w:type="gramStart"/>
      <w:r w:rsidRPr="006013C2">
        <w:rPr>
          <w:rFonts w:ascii="Arial" w:hAnsi="Arial" w:cs="Arial"/>
          <w:color w:val="000000"/>
          <w:sz w:val="18"/>
          <w:szCs w:val="18"/>
        </w:rPr>
        <w:t>increased</w:t>
      </w:r>
      <w:proofErr w:type="gramEnd"/>
      <w:r w:rsidRPr="006013C2">
        <w:rPr>
          <w:rFonts w:ascii="Arial" w:hAnsi="Arial" w:cs="Arial"/>
          <w:color w:val="000000"/>
          <w:sz w:val="18"/>
          <w:szCs w:val="18"/>
        </w:rPr>
        <w:t xml:space="preserve"> prices for new revenue equipment, design changes of new engines, and volatility in the used equipment sales market.</w:t>
      </w:r>
    </w:p>
    <w:p w:rsidR="007B2D64" w:rsidRDefault="000E3B20" w:rsidP="000E3B20">
      <w:pPr>
        <w:pStyle w:val="Heading1"/>
        <w:rPr>
          <w:rStyle w:val="mw-headline"/>
          <w:b w:val="0"/>
        </w:rPr>
      </w:pPr>
      <w:bookmarkStart w:id="2" w:name="_Toc526330198"/>
      <w:r>
        <w:rPr>
          <w:rStyle w:val="mw-headline"/>
          <w:b w:val="0"/>
        </w:rPr>
        <w:t>Competitive Strengths</w:t>
      </w:r>
      <w:bookmarkEnd w:id="2"/>
      <w:r w:rsidR="006013C2" w:rsidRPr="006013C2">
        <w:rPr>
          <w:rStyle w:val="mw-headline"/>
          <w:b w:val="0"/>
        </w:rPr>
        <w:t xml:space="preserve"> </w:t>
      </w:r>
    </w:p>
    <w:p w:rsidR="006013C2" w:rsidRDefault="006013C2" w:rsidP="006013C2">
      <w:pPr>
        <w:spacing w:before="132" w:after="88"/>
        <w:jc w:val="both"/>
        <w:rPr>
          <w:rFonts w:ascii="Arial" w:hAnsi="Arial" w:cs="Arial"/>
          <w:color w:val="000000"/>
          <w:sz w:val="18"/>
          <w:szCs w:val="18"/>
        </w:rPr>
      </w:pPr>
      <w:r>
        <w:rPr>
          <w:rFonts w:ascii="Arial" w:hAnsi="Arial" w:cs="Arial"/>
          <w:color w:val="000000"/>
          <w:sz w:val="18"/>
          <w:szCs w:val="18"/>
        </w:rPr>
        <w:t>We believe that our principal competitive strengths are our regional presence, customer service (including our ability to provide multiple transportation solutions, and configuration of equipment that satisfies customers' needs), operating efficiency, cost control, and technological enhancements in our revenue equipment and supporting back-office functions.</w:t>
      </w:r>
    </w:p>
    <w:p w:rsidR="006013C2" w:rsidRDefault="006013C2" w:rsidP="006013C2">
      <w:pPr>
        <w:spacing w:before="22"/>
        <w:ind w:left="22" w:right="22"/>
        <w:rPr>
          <w:rFonts w:ascii="Arial" w:hAnsi="Arial" w:cs="Arial"/>
          <w:color w:val="000000"/>
          <w:sz w:val="18"/>
          <w:szCs w:val="18"/>
        </w:rPr>
      </w:pPr>
      <w:r>
        <w:rPr>
          <w:rFonts w:ascii="Arial" w:hAnsi="Arial" w:cs="Arial"/>
          <w:color w:val="000000"/>
          <w:sz w:val="18"/>
          <w:szCs w:val="18"/>
        </w:rPr>
        <w:t>We believe that regional operations, which have recently expanded with the merger between Knight and Swift, offer several advantages, including:</w:t>
      </w:r>
    </w:p>
    <w:p w:rsidR="006013C2" w:rsidRPr="006013C2" w:rsidRDefault="006013C2" w:rsidP="006013C2">
      <w:pPr>
        <w:spacing w:before="22"/>
        <w:ind w:left="22" w:right="22"/>
        <w:rPr>
          <w:rFonts w:ascii="Arial" w:hAnsi="Arial" w:cs="Arial"/>
          <w:b/>
          <w:color w:val="000000"/>
          <w:sz w:val="18"/>
          <w:szCs w:val="18"/>
          <w:u w:val="single"/>
        </w:rPr>
      </w:pPr>
      <w:r w:rsidRPr="006013C2">
        <w:rPr>
          <w:rFonts w:ascii="Arial" w:hAnsi="Arial" w:cs="Arial"/>
          <w:b/>
          <w:color w:val="000000"/>
          <w:sz w:val="18"/>
          <w:szCs w:val="18"/>
          <w:u w:val="single"/>
        </w:rPr>
        <w:t>Regional Presence</w:t>
      </w:r>
    </w:p>
    <w:p w:rsidR="006013C2" w:rsidRPr="006013C2" w:rsidRDefault="006013C2" w:rsidP="006013C2">
      <w:pPr>
        <w:pStyle w:val="ListParagraph"/>
        <w:numPr>
          <w:ilvl w:val="0"/>
          <w:numId w:val="2"/>
        </w:numPr>
        <w:ind w:right="22"/>
        <w:rPr>
          <w:rFonts w:ascii="Arial" w:hAnsi="Arial" w:cs="Arial"/>
          <w:color w:val="000000"/>
          <w:sz w:val="18"/>
          <w:szCs w:val="18"/>
        </w:rPr>
      </w:pPr>
      <w:r w:rsidRPr="006013C2">
        <w:rPr>
          <w:rFonts w:ascii="Arial" w:hAnsi="Arial" w:cs="Arial"/>
          <w:color w:val="000000"/>
          <w:sz w:val="18"/>
          <w:szCs w:val="18"/>
        </w:rPr>
        <w:t>obtaining greater freight volumes,</w:t>
      </w:r>
    </w:p>
    <w:p w:rsidR="006013C2" w:rsidRPr="006013C2" w:rsidRDefault="006013C2" w:rsidP="006013C2">
      <w:pPr>
        <w:pStyle w:val="ListParagraph"/>
        <w:numPr>
          <w:ilvl w:val="0"/>
          <w:numId w:val="2"/>
        </w:numPr>
        <w:ind w:right="22"/>
        <w:rPr>
          <w:rFonts w:ascii="Arial" w:hAnsi="Arial" w:cs="Arial"/>
          <w:color w:val="000000"/>
          <w:sz w:val="18"/>
          <w:szCs w:val="18"/>
        </w:rPr>
      </w:pPr>
      <w:r w:rsidRPr="006013C2">
        <w:rPr>
          <w:rFonts w:ascii="Arial" w:hAnsi="Arial" w:cs="Arial"/>
          <w:color w:val="000000"/>
          <w:sz w:val="18"/>
          <w:szCs w:val="18"/>
        </w:rPr>
        <w:t>achieving higher revenue per mile by focusing on high-density freight lanes to minimize non-revenue miles,</w:t>
      </w:r>
    </w:p>
    <w:p w:rsidR="006013C2" w:rsidRPr="006013C2" w:rsidRDefault="006013C2" w:rsidP="006013C2">
      <w:pPr>
        <w:pStyle w:val="ListParagraph"/>
        <w:numPr>
          <w:ilvl w:val="0"/>
          <w:numId w:val="2"/>
        </w:numPr>
        <w:ind w:right="22"/>
        <w:rPr>
          <w:rFonts w:ascii="Arial" w:hAnsi="Arial" w:cs="Arial"/>
          <w:color w:val="000000"/>
          <w:sz w:val="18"/>
          <w:szCs w:val="18"/>
        </w:rPr>
      </w:pPr>
      <w:r w:rsidRPr="006013C2">
        <w:rPr>
          <w:rFonts w:ascii="Arial" w:hAnsi="Arial" w:cs="Arial"/>
          <w:color w:val="000000"/>
          <w:sz w:val="18"/>
          <w:szCs w:val="18"/>
        </w:rPr>
        <w:t>enhancing our ability to recruit and train qualified driving associates,</w:t>
      </w:r>
    </w:p>
    <w:p w:rsidR="006013C2" w:rsidRPr="006013C2" w:rsidRDefault="006013C2" w:rsidP="006013C2">
      <w:pPr>
        <w:pStyle w:val="ListParagraph"/>
        <w:numPr>
          <w:ilvl w:val="0"/>
          <w:numId w:val="2"/>
        </w:numPr>
        <w:ind w:right="22"/>
        <w:rPr>
          <w:rFonts w:ascii="Arial" w:hAnsi="Arial" w:cs="Arial"/>
          <w:color w:val="000000"/>
          <w:sz w:val="18"/>
          <w:szCs w:val="18"/>
        </w:rPr>
      </w:pPr>
      <w:r w:rsidRPr="006013C2">
        <w:rPr>
          <w:rFonts w:ascii="Arial" w:hAnsi="Arial" w:cs="Arial"/>
          <w:color w:val="000000"/>
          <w:sz w:val="18"/>
          <w:szCs w:val="18"/>
        </w:rPr>
        <w:t>enhancing safety and driver development and retention,</w:t>
      </w:r>
    </w:p>
    <w:p w:rsidR="006013C2" w:rsidRPr="006013C2" w:rsidRDefault="006013C2" w:rsidP="006013C2">
      <w:pPr>
        <w:pStyle w:val="ListParagraph"/>
        <w:numPr>
          <w:ilvl w:val="0"/>
          <w:numId w:val="2"/>
        </w:numPr>
        <w:ind w:right="22"/>
        <w:rPr>
          <w:rFonts w:ascii="Arial" w:hAnsi="Arial" w:cs="Arial"/>
          <w:color w:val="000000"/>
          <w:sz w:val="18"/>
          <w:szCs w:val="18"/>
        </w:rPr>
      </w:pPr>
      <w:r w:rsidRPr="006013C2">
        <w:rPr>
          <w:rFonts w:ascii="Arial" w:hAnsi="Arial" w:cs="Arial"/>
          <w:color w:val="000000"/>
          <w:sz w:val="18"/>
          <w:szCs w:val="18"/>
        </w:rPr>
        <w:t>enhancing our ability to provide a high level of service and consistent capacity to our customers,</w:t>
      </w:r>
    </w:p>
    <w:p w:rsidR="006013C2" w:rsidRPr="006013C2" w:rsidRDefault="006013C2" w:rsidP="006013C2">
      <w:pPr>
        <w:pStyle w:val="ListParagraph"/>
        <w:numPr>
          <w:ilvl w:val="0"/>
          <w:numId w:val="2"/>
        </w:numPr>
        <w:ind w:right="22"/>
        <w:rPr>
          <w:rFonts w:ascii="Arial" w:hAnsi="Arial" w:cs="Arial"/>
          <w:color w:val="000000"/>
          <w:sz w:val="18"/>
          <w:szCs w:val="18"/>
        </w:rPr>
      </w:pPr>
      <w:r w:rsidRPr="006013C2">
        <w:rPr>
          <w:rFonts w:ascii="Arial" w:hAnsi="Arial" w:cs="Arial"/>
          <w:color w:val="000000"/>
          <w:sz w:val="18"/>
          <w:szCs w:val="18"/>
        </w:rPr>
        <w:t>enhancing accountability for performance and growth,</w:t>
      </w:r>
    </w:p>
    <w:p w:rsidR="006013C2" w:rsidRPr="006013C2" w:rsidRDefault="006013C2" w:rsidP="006013C2">
      <w:pPr>
        <w:pStyle w:val="ListParagraph"/>
        <w:numPr>
          <w:ilvl w:val="0"/>
          <w:numId w:val="2"/>
        </w:numPr>
        <w:ind w:right="22"/>
        <w:rPr>
          <w:rFonts w:ascii="Arial" w:hAnsi="Arial" w:cs="Arial"/>
          <w:color w:val="000000"/>
          <w:sz w:val="18"/>
          <w:szCs w:val="18"/>
        </w:rPr>
      </w:pPr>
      <w:r w:rsidRPr="006013C2">
        <w:rPr>
          <w:rFonts w:ascii="Arial" w:hAnsi="Arial" w:cs="Arial"/>
          <w:color w:val="000000"/>
          <w:sz w:val="18"/>
          <w:szCs w:val="18"/>
        </w:rPr>
        <w:t>furthering our trucking capabilities to provide various shipping solutions to our customers, and</w:t>
      </w:r>
    </w:p>
    <w:p w:rsidR="006013C2" w:rsidRPr="000E3B20" w:rsidRDefault="006013C2" w:rsidP="006013C2">
      <w:pPr>
        <w:pStyle w:val="ListParagraph"/>
        <w:numPr>
          <w:ilvl w:val="0"/>
          <w:numId w:val="2"/>
        </w:numPr>
        <w:spacing w:after="66"/>
        <w:jc w:val="both"/>
        <w:rPr>
          <w:b/>
        </w:rPr>
      </w:pPr>
      <w:proofErr w:type="gramStart"/>
      <w:r w:rsidRPr="006013C2">
        <w:rPr>
          <w:rFonts w:ascii="Arial" w:hAnsi="Arial" w:cs="Arial"/>
          <w:color w:val="000000"/>
          <w:sz w:val="18"/>
          <w:szCs w:val="18"/>
        </w:rPr>
        <w:t>furthering</w:t>
      </w:r>
      <w:proofErr w:type="gramEnd"/>
      <w:r w:rsidRPr="006013C2">
        <w:rPr>
          <w:rFonts w:ascii="Arial" w:hAnsi="Arial" w:cs="Arial"/>
          <w:color w:val="000000"/>
          <w:sz w:val="18"/>
          <w:szCs w:val="18"/>
        </w:rPr>
        <w:t xml:space="preserve"> our logistics capabilities to contract with more third-party capacity providers.</w:t>
      </w:r>
    </w:p>
    <w:p w:rsidR="000E3B20" w:rsidRPr="000E3B20" w:rsidRDefault="000E3B20" w:rsidP="000E3B20">
      <w:pPr>
        <w:spacing w:after="66"/>
        <w:jc w:val="both"/>
        <w:rPr>
          <w:b/>
        </w:rPr>
      </w:pPr>
    </w:p>
    <w:p w:rsidR="006013C2" w:rsidRDefault="006013C2" w:rsidP="006013C2">
      <w:pPr>
        <w:pStyle w:val="ListParagraph"/>
        <w:numPr>
          <w:ilvl w:val="0"/>
          <w:numId w:val="2"/>
        </w:numPr>
        <w:spacing w:before="176" w:after="22"/>
        <w:ind w:right="22"/>
        <w:rPr>
          <w:rFonts w:ascii="Arial" w:hAnsi="Arial" w:cs="Arial"/>
          <w:b/>
          <w:bCs w:val="0"/>
          <w:color w:val="FFFFFF"/>
          <w:sz w:val="18"/>
          <w:szCs w:val="18"/>
        </w:rPr>
      </w:pPr>
      <w:r w:rsidRPr="006013C2">
        <w:rPr>
          <w:rFonts w:ascii="Arial" w:hAnsi="Arial" w:cs="Arial"/>
          <w:b/>
          <w:bCs w:val="0"/>
          <w:color w:val="FFFFFF"/>
          <w:sz w:val="18"/>
          <w:szCs w:val="18"/>
        </w:rPr>
        <w:t>Operating Efficiency and Cost Control</w:t>
      </w:r>
    </w:p>
    <w:p w:rsidR="006013C2" w:rsidRPr="006013C2" w:rsidRDefault="006013C2" w:rsidP="006013C2">
      <w:pPr>
        <w:spacing w:before="176" w:after="22"/>
        <w:ind w:right="22"/>
        <w:rPr>
          <w:rFonts w:ascii="Arial" w:hAnsi="Arial" w:cs="Arial"/>
          <w:b/>
          <w:bCs w:val="0"/>
          <w:sz w:val="18"/>
          <w:szCs w:val="18"/>
          <w:u w:val="single"/>
        </w:rPr>
      </w:pPr>
      <w:r w:rsidRPr="006013C2">
        <w:rPr>
          <w:rFonts w:ascii="Arial" w:hAnsi="Arial" w:cs="Arial"/>
          <w:b/>
          <w:bCs w:val="0"/>
          <w:sz w:val="18"/>
          <w:szCs w:val="18"/>
          <w:u w:val="single"/>
        </w:rPr>
        <w:lastRenderedPageBreak/>
        <w:t>Operating Efficiency &amp; Cost Control</w:t>
      </w:r>
    </w:p>
    <w:p w:rsidR="006013C2" w:rsidRDefault="006013C2" w:rsidP="006013C2">
      <w:pPr>
        <w:spacing w:before="176" w:after="22"/>
        <w:ind w:right="22"/>
        <w:rPr>
          <w:rFonts w:ascii="Arial" w:hAnsi="Arial" w:cs="Arial"/>
          <w:color w:val="000000"/>
          <w:sz w:val="18"/>
          <w:szCs w:val="18"/>
        </w:rPr>
      </w:pPr>
      <w:r>
        <w:rPr>
          <w:rFonts w:ascii="Arial" w:hAnsi="Arial" w:cs="Arial"/>
          <w:color w:val="000000"/>
          <w:sz w:val="18"/>
          <w:szCs w:val="18"/>
        </w:rPr>
        <w:t>We expect to generate cost and revenue synergies as a result of the 2017 Merger through, among other things, increased operational efficiencies through the adoption of best practices and capabilities from each of Knight and Swift. We operate modern tractors and trailers in order to obtain operating efficiencies and attract and retain driving associates. We believe a generally compatible fleet of tractors and trailers simplifies our maintenance procedures and reduces parts, supplies, and maintenance costs. We regulate vehicle speed, which we believe will maximize fuel efficiency, reduce wear and tear, and enhance safety. We continue to update our fleet with more fuel-efficient post-2014 United States EPA emission compliant engines, install aerodynamic devices on our tractors, and equip our trailers with trailer blades, which have led to meaningful improvements in fuel efficiency. Our logistics and intermodal businesses focus on effectively optimizing and meeting the transportation and logistics requirements of our customers and providing customers with various sources and modes of transportation capacity across our nationwide service network. We invest in technology that enhances our ability to optimize our freight opportunities while maintaining a low cost per transaction.</w:t>
      </w:r>
    </w:p>
    <w:p w:rsidR="006013C2" w:rsidRPr="006013C2" w:rsidRDefault="006013C2" w:rsidP="006013C2">
      <w:pPr>
        <w:spacing w:before="176" w:after="22"/>
        <w:ind w:right="22"/>
        <w:rPr>
          <w:rFonts w:ascii="Arial" w:hAnsi="Arial" w:cs="Arial"/>
          <w:b/>
          <w:bCs w:val="0"/>
          <w:sz w:val="18"/>
          <w:szCs w:val="18"/>
          <w:u w:val="single"/>
        </w:rPr>
      </w:pPr>
      <w:r w:rsidRPr="006013C2">
        <w:rPr>
          <w:rFonts w:ascii="Arial" w:hAnsi="Arial" w:cs="Arial"/>
          <w:b/>
          <w:bCs w:val="0"/>
          <w:sz w:val="18"/>
          <w:szCs w:val="18"/>
          <w:u w:val="single"/>
        </w:rPr>
        <w:t>Customer Service</w:t>
      </w:r>
    </w:p>
    <w:p w:rsidR="006013C2" w:rsidRDefault="009D1461" w:rsidP="006013C2">
      <w:pPr>
        <w:spacing w:before="176" w:after="22"/>
        <w:ind w:right="22"/>
        <w:rPr>
          <w:rFonts w:ascii="Arial" w:hAnsi="Arial" w:cs="Arial"/>
          <w:color w:val="000000"/>
          <w:sz w:val="18"/>
          <w:szCs w:val="18"/>
        </w:rPr>
      </w:pPr>
      <w:r>
        <w:rPr>
          <w:rFonts w:ascii="Arial" w:hAnsi="Arial" w:cs="Arial"/>
          <w:color w:val="000000"/>
          <w:sz w:val="18"/>
          <w:szCs w:val="18"/>
        </w:rPr>
        <w:t>We strive to provide superior, on-time service at a meaningful value to our customers and seek to establish ourselves as a preferred truckload and logistics provider for our customers. We provide truckload capacity for customers in high-density lanes, where we can provide them with a high level of service, as well as flexible and customized logistics services on a nationwide basis. Our trucking services include dry van, refrigerated, and drayage, which also include dedicated and cross-border truckload services, customized according to customer needs. Our logistics and intermodal services include brokerage, intermodal, and certain logistics, freight management, and non-trucking services, which provide various shipping alternatives and transportation modes for customers by utilizing our expansive network of third-party capacity providers and rail partners. We price our trucking, logistics, and intermodal services commensurately with the level of service our customers require and market conditions. By providing customers a high level of service, we believe we avoid competing solely based on price.</w:t>
      </w:r>
    </w:p>
    <w:p w:rsidR="009D1461" w:rsidRPr="009D1461" w:rsidRDefault="009D1461" w:rsidP="006013C2">
      <w:pPr>
        <w:spacing w:before="176" w:after="22"/>
        <w:ind w:right="22"/>
        <w:rPr>
          <w:rFonts w:ascii="Arial" w:hAnsi="Arial" w:cs="Arial"/>
          <w:b/>
          <w:bCs w:val="0"/>
          <w:sz w:val="18"/>
          <w:szCs w:val="18"/>
          <w:u w:val="single"/>
        </w:rPr>
      </w:pPr>
      <w:r w:rsidRPr="009D1461">
        <w:rPr>
          <w:rFonts w:ascii="Arial" w:hAnsi="Arial" w:cs="Arial"/>
          <w:b/>
          <w:bCs w:val="0"/>
          <w:sz w:val="18"/>
          <w:szCs w:val="18"/>
          <w:u w:val="single"/>
        </w:rPr>
        <w:t>Using Technology that Advances Our Business</w:t>
      </w:r>
    </w:p>
    <w:p w:rsidR="009D1461" w:rsidRDefault="009D1461" w:rsidP="006013C2">
      <w:pPr>
        <w:spacing w:before="176" w:after="22"/>
        <w:ind w:right="22"/>
        <w:rPr>
          <w:rFonts w:ascii="Arial" w:hAnsi="Arial" w:cs="Arial"/>
          <w:color w:val="000000"/>
          <w:sz w:val="18"/>
          <w:szCs w:val="18"/>
        </w:rPr>
      </w:pPr>
      <w:r>
        <w:rPr>
          <w:rFonts w:ascii="Arial" w:hAnsi="Arial" w:cs="Arial"/>
          <w:color w:val="000000"/>
          <w:sz w:val="18"/>
          <w:szCs w:val="18"/>
        </w:rPr>
        <w:t>We purchase and deploy technology that we believe will allow us to operate more safely, securely, and efficiently. Substantially all of our company-owned tractors are equipped with in-cab communication devices that enable us to communicate with our driving associates, obtain load position updates, manage our fleets, and provide our customers with freight visibility, as well as with ELDs that automatically record our driving associates' hours-of-service. The majority of our trailers are equipped with trailer-tracking technology that allows us to better manage our trailers. We have purchased and developed software for our logistics businesses that provides greater visibility of the capacity of our third-party providers and enhances our ability to provide our customers with solutions that offer a superior level of service. We have automated many of our back-office functions, and we continue to invest in technology that we expect will allow us to better serve our customers and improve overall efficiency.</w:t>
      </w:r>
    </w:p>
    <w:p w:rsidR="009D1461" w:rsidRPr="009D1461" w:rsidRDefault="009D1461" w:rsidP="006013C2">
      <w:pPr>
        <w:spacing w:before="176" w:after="22"/>
        <w:ind w:right="22"/>
        <w:rPr>
          <w:rFonts w:ascii="Arial" w:hAnsi="Arial" w:cs="Arial"/>
          <w:b/>
          <w:bCs w:val="0"/>
          <w:sz w:val="18"/>
          <w:szCs w:val="18"/>
          <w:u w:val="single"/>
        </w:rPr>
      </w:pPr>
      <w:r w:rsidRPr="009D1461">
        <w:rPr>
          <w:rFonts w:ascii="Arial" w:hAnsi="Arial" w:cs="Arial"/>
          <w:b/>
          <w:bCs w:val="0"/>
          <w:sz w:val="18"/>
          <w:szCs w:val="18"/>
          <w:u w:val="single"/>
        </w:rPr>
        <w:t>Mission &amp; Strategy</w:t>
      </w:r>
    </w:p>
    <w:p w:rsidR="009D1461" w:rsidRDefault="009D1461" w:rsidP="009D1461">
      <w:pPr>
        <w:spacing w:before="154"/>
        <w:jc w:val="both"/>
        <w:rPr>
          <w:rFonts w:ascii="Arial" w:hAnsi="Arial" w:cs="Arial"/>
          <w:color w:val="000000"/>
          <w:sz w:val="18"/>
          <w:szCs w:val="18"/>
        </w:rPr>
      </w:pPr>
      <w:r>
        <w:rPr>
          <w:rFonts w:ascii="Arial" w:hAnsi="Arial" w:cs="Arial"/>
          <w:color w:val="000000"/>
          <w:sz w:val="18"/>
          <w:szCs w:val="18"/>
        </w:rPr>
        <w:t>Our mission is to operate truckload businesses that are industry leading in both margin and growth, while providing cost-effective solutions for our customers. Our success depends on our ability to efficiently and effectively manage our resources in providing transportation and logistics solutions to our customers, as well as our ability to leverage efficiencies and best practices between Knight and Swift. We evaluate growth opportunities based on customer demand and supply chain trends, availability of drivers and third-party capacity providers, expected returns on invested capital, expected net cash flows, and our company-specific capabilities.</w:t>
      </w:r>
    </w:p>
    <w:p w:rsidR="009D1461" w:rsidRDefault="009D1461" w:rsidP="000E3B20">
      <w:pPr>
        <w:pStyle w:val="Heading1"/>
      </w:pPr>
      <w:bookmarkStart w:id="3" w:name="_Toc526330199"/>
      <w:r>
        <w:t>Segment Operating Strategies</w:t>
      </w:r>
      <w:bookmarkEnd w:id="3"/>
    </w:p>
    <w:p w:rsidR="009D1461" w:rsidRDefault="009D1461" w:rsidP="009D1461">
      <w:pPr>
        <w:spacing w:before="154"/>
        <w:jc w:val="both"/>
        <w:rPr>
          <w:rFonts w:ascii="Arial" w:hAnsi="Arial" w:cs="Arial"/>
          <w:color w:val="000000"/>
          <w:sz w:val="18"/>
          <w:szCs w:val="18"/>
        </w:rPr>
      </w:pPr>
      <w:r>
        <w:rPr>
          <w:rFonts w:ascii="Arial" w:hAnsi="Arial" w:cs="Arial"/>
          <w:color w:val="000000"/>
          <w:sz w:val="18"/>
          <w:szCs w:val="18"/>
        </w:rPr>
        <w:t xml:space="preserve">Our operating strategy for our trucking segments, which includes Knight Trucking, Swift Truckload, Swift Dedicated, and Swift Refrigerated, is to achieve a high level of asset utilization within a highly disciplined operating system, while maintaining strict controls over our cost structure. We hope to achieve these goals by primarily operating in high-density, predictable freight lanes and attempting to develop and expand our customer base around each of our terminals by providing multiple truckload services for each customer. We believe this operating strategy allows us to take advantage of the large amount of freight transported in the markets we serve. Our terminals enable us to better serve our customers and work more closely with our driving associates. We operate a premium modern fleet that we </w:t>
      </w:r>
      <w:r>
        <w:rPr>
          <w:rFonts w:ascii="Arial" w:hAnsi="Arial" w:cs="Arial"/>
          <w:color w:val="000000"/>
          <w:sz w:val="18"/>
          <w:szCs w:val="18"/>
        </w:rPr>
        <w:lastRenderedPageBreak/>
        <w:t xml:space="preserve">believe appeals to driving associates and customers, </w:t>
      </w:r>
      <w:proofErr w:type="gramStart"/>
      <w:r>
        <w:rPr>
          <w:rFonts w:ascii="Arial" w:hAnsi="Arial" w:cs="Arial"/>
          <w:color w:val="000000"/>
          <w:sz w:val="18"/>
          <w:szCs w:val="18"/>
        </w:rPr>
        <w:t>reduces</w:t>
      </w:r>
      <w:proofErr w:type="gramEnd"/>
      <w:r>
        <w:rPr>
          <w:rFonts w:ascii="Arial" w:hAnsi="Arial" w:cs="Arial"/>
          <w:color w:val="000000"/>
          <w:sz w:val="18"/>
          <w:szCs w:val="18"/>
        </w:rPr>
        <w:t xml:space="preserve"> maintenance expenses and driving associate and equipment downtime, and enhances our fuel and other operating efficiencies. We employ technology in a cost-effective manner to assist us in controlling operating costs and enhancing revenue.</w:t>
      </w:r>
    </w:p>
    <w:p w:rsidR="009D1461" w:rsidRPr="009D1461" w:rsidRDefault="009D1461" w:rsidP="000E3B20">
      <w:pPr>
        <w:pStyle w:val="Heading2"/>
      </w:pPr>
      <w:bookmarkStart w:id="4" w:name="_Toc526330200"/>
      <w:r w:rsidRPr="009D1461">
        <w:t>Trucking Segments</w:t>
      </w:r>
      <w:bookmarkEnd w:id="4"/>
    </w:p>
    <w:p w:rsidR="009D1461" w:rsidRDefault="009D1461" w:rsidP="009D1461">
      <w:pPr>
        <w:spacing w:before="154"/>
        <w:jc w:val="both"/>
        <w:rPr>
          <w:rFonts w:ascii="Arial" w:hAnsi="Arial" w:cs="Arial"/>
          <w:color w:val="000000"/>
          <w:sz w:val="18"/>
          <w:szCs w:val="18"/>
        </w:rPr>
      </w:pPr>
      <w:r>
        <w:rPr>
          <w:rFonts w:ascii="Arial" w:hAnsi="Arial" w:cs="Arial"/>
          <w:color w:val="000000"/>
          <w:sz w:val="18"/>
          <w:szCs w:val="18"/>
        </w:rPr>
        <w:t xml:space="preserve">Our operating strategy for our trucking segments, which includes Knight Trucking, Swift Truckload, Swift Dedicated, and Swift Refrigerated, is to achieve a high level of asset utilization within a highly disciplined operating system, while maintaining strict controls over our cost structure. We hope to achieve these goals by primarily operating in high-density, predictable freight lanes and attempting to develop and expand our customer base around each of our terminals by providing multiple truckload services for each customer. We believe this operating strategy allows us to take advantage of the large amount of freight transported in the markets we serve. Our terminals enable us to better serve our customers and work more closely with our driving associates. We operate a premium modern fleet that we believe appeals to driving associates and customers, </w:t>
      </w:r>
      <w:proofErr w:type="gramStart"/>
      <w:r>
        <w:rPr>
          <w:rFonts w:ascii="Arial" w:hAnsi="Arial" w:cs="Arial"/>
          <w:color w:val="000000"/>
          <w:sz w:val="18"/>
          <w:szCs w:val="18"/>
        </w:rPr>
        <w:t>reduces</w:t>
      </w:r>
      <w:proofErr w:type="gramEnd"/>
      <w:r>
        <w:rPr>
          <w:rFonts w:ascii="Arial" w:hAnsi="Arial" w:cs="Arial"/>
          <w:color w:val="000000"/>
          <w:sz w:val="18"/>
          <w:szCs w:val="18"/>
        </w:rPr>
        <w:t xml:space="preserve"> maintenance expenses and driving associate and equipment downtime, and enhances our fuel and other operating efficiencies. We employ technology in a cost-effective manner to assist us in controlling operating costs and enhancing revenue.</w:t>
      </w:r>
    </w:p>
    <w:p w:rsidR="009D1461" w:rsidRPr="009D1461" w:rsidRDefault="009D1461" w:rsidP="000E3B20">
      <w:pPr>
        <w:pStyle w:val="Heading2"/>
      </w:pPr>
      <w:bookmarkStart w:id="5" w:name="_Toc526330201"/>
      <w:r w:rsidRPr="009D1461">
        <w:t>Logistics Business</w:t>
      </w:r>
      <w:bookmarkEnd w:id="5"/>
    </w:p>
    <w:p w:rsidR="009D1461" w:rsidRDefault="009D1461" w:rsidP="009D1461">
      <w:pPr>
        <w:spacing w:before="154"/>
        <w:jc w:val="both"/>
        <w:rPr>
          <w:rFonts w:ascii="Arial" w:hAnsi="Arial" w:cs="Arial"/>
          <w:color w:val="000000"/>
          <w:sz w:val="18"/>
          <w:szCs w:val="18"/>
        </w:rPr>
      </w:pPr>
      <w:r>
        <w:rPr>
          <w:rFonts w:ascii="Arial" w:hAnsi="Arial" w:cs="Arial"/>
          <w:color w:val="000000"/>
          <w:sz w:val="18"/>
          <w:szCs w:val="18"/>
        </w:rPr>
        <w:t>Our logistics operating strategy is to match the shipping needs of our customers with the capacity provided by our network of third-party carriers and our rail providers. Our goal is to increase our market presence, both in existing operating regions and in other areas where we believe the freight environment meets our operating strategy, while seeking to achieve industry-leading operating margins and returns on investment</w:t>
      </w:r>
    </w:p>
    <w:p w:rsidR="009D1461" w:rsidRPr="009D1461" w:rsidRDefault="009D1461" w:rsidP="000E3B20">
      <w:pPr>
        <w:pStyle w:val="Heading2"/>
      </w:pPr>
      <w:bookmarkStart w:id="6" w:name="_Toc526330202"/>
      <w:r w:rsidRPr="009D1461">
        <w:t>Growth Strategies</w:t>
      </w:r>
      <w:bookmarkEnd w:id="6"/>
    </w:p>
    <w:p w:rsidR="009D1461" w:rsidRDefault="009D1461" w:rsidP="009D1461">
      <w:pPr>
        <w:spacing w:before="154"/>
        <w:jc w:val="both"/>
        <w:rPr>
          <w:rFonts w:ascii="Arial" w:hAnsi="Arial" w:cs="Arial"/>
          <w:color w:val="000000"/>
          <w:sz w:val="18"/>
          <w:szCs w:val="18"/>
        </w:rPr>
      </w:pPr>
      <w:r>
        <w:rPr>
          <w:rFonts w:ascii="Arial" w:hAnsi="Arial" w:cs="Arial"/>
          <w:color w:val="000000"/>
          <w:sz w:val="18"/>
          <w:szCs w:val="18"/>
        </w:rPr>
        <w:t>We believe we have the terminal network, systems capability, and management capacity to support substantial growth. We have established a geographically diverse network that we believe can support a substantial increase in freight volumes, organic or acquired. Our network and business lines afford us the ability to provide multiple transportation solutions for our customers, and we maintain the flexibility within our network to adapt to freight market conditions. We believe our unique mix of regional management, together with our consistent efforts to centralize certain business functions to achieve collective economies of scale, allow us to develop future company leaders with relevant operating and industry experience, minimize the potential diseconomies of scale that can come with growth in size, take advantage of regional knowledge concerning capacity and customer shipping needs, and manage our overall business with a high level of performance accountability.</w:t>
      </w:r>
    </w:p>
    <w:p w:rsidR="009D1461" w:rsidRPr="009D1461" w:rsidRDefault="009D1461" w:rsidP="009D1461">
      <w:pPr>
        <w:pStyle w:val="ListParagraph"/>
        <w:numPr>
          <w:ilvl w:val="0"/>
          <w:numId w:val="3"/>
        </w:numPr>
        <w:spacing w:before="154"/>
        <w:jc w:val="both"/>
        <w:rPr>
          <w:rFonts w:ascii="Arial" w:hAnsi="Arial" w:cs="Arial"/>
          <w:color w:val="000000"/>
          <w:sz w:val="18"/>
          <w:szCs w:val="18"/>
        </w:rPr>
      </w:pPr>
      <w:r w:rsidRPr="009D1461">
        <w:rPr>
          <w:rFonts w:ascii="Arial" w:hAnsi="Arial" w:cs="Arial"/>
          <w:color w:val="000000"/>
          <w:sz w:val="18"/>
          <w:szCs w:val="18"/>
        </w:rPr>
        <w:t>Strengthening our customer relationships</w:t>
      </w:r>
    </w:p>
    <w:p w:rsidR="009D1461" w:rsidRPr="009D1461" w:rsidRDefault="009D1461" w:rsidP="009D1461">
      <w:pPr>
        <w:pStyle w:val="ListParagraph"/>
        <w:numPr>
          <w:ilvl w:val="0"/>
          <w:numId w:val="3"/>
        </w:numPr>
        <w:spacing w:before="154"/>
        <w:jc w:val="both"/>
        <w:rPr>
          <w:rFonts w:ascii="Arial" w:hAnsi="Arial" w:cs="Arial"/>
          <w:color w:val="000000"/>
          <w:sz w:val="18"/>
          <w:szCs w:val="18"/>
        </w:rPr>
      </w:pPr>
      <w:r w:rsidRPr="009D1461">
        <w:rPr>
          <w:rFonts w:ascii="Arial" w:hAnsi="Arial" w:cs="Arial"/>
          <w:color w:val="000000"/>
          <w:sz w:val="18"/>
          <w:szCs w:val="18"/>
        </w:rPr>
        <w:t xml:space="preserve">Improving asset productivity </w:t>
      </w:r>
    </w:p>
    <w:p w:rsidR="009D1461" w:rsidRPr="009D1461" w:rsidRDefault="009D1461" w:rsidP="009D1461">
      <w:pPr>
        <w:pStyle w:val="ListParagraph"/>
        <w:numPr>
          <w:ilvl w:val="0"/>
          <w:numId w:val="3"/>
        </w:numPr>
        <w:spacing w:before="154"/>
        <w:jc w:val="both"/>
        <w:rPr>
          <w:rFonts w:ascii="Arial" w:hAnsi="Arial" w:cs="Arial"/>
          <w:color w:val="000000"/>
          <w:sz w:val="18"/>
          <w:szCs w:val="18"/>
        </w:rPr>
      </w:pPr>
      <w:r w:rsidRPr="009D1461">
        <w:rPr>
          <w:rFonts w:ascii="Arial" w:hAnsi="Arial" w:cs="Arial"/>
          <w:color w:val="000000"/>
          <w:sz w:val="18"/>
          <w:szCs w:val="18"/>
        </w:rPr>
        <w:t xml:space="preserve">Acquiring and growing opportunistically </w:t>
      </w:r>
    </w:p>
    <w:p w:rsidR="009D1461" w:rsidRPr="009D1461" w:rsidRDefault="009D1461" w:rsidP="009D1461">
      <w:pPr>
        <w:pStyle w:val="ListParagraph"/>
        <w:numPr>
          <w:ilvl w:val="0"/>
          <w:numId w:val="3"/>
        </w:numPr>
        <w:spacing w:before="154"/>
        <w:jc w:val="both"/>
        <w:rPr>
          <w:rFonts w:ascii="Arial" w:hAnsi="Arial" w:cs="Arial"/>
          <w:color w:val="000000"/>
          <w:sz w:val="18"/>
          <w:szCs w:val="18"/>
        </w:rPr>
      </w:pPr>
      <w:r w:rsidRPr="009D1461">
        <w:rPr>
          <w:rFonts w:ascii="Arial" w:hAnsi="Arial" w:cs="Arial"/>
          <w:color w:val="000000"/>
          <w:sz w:val="18"/>
          <w:szCs w:val="18"/>
        </w:rPr>
        <w:t xml:space="preserve">Expanding existing terminals </w:t>
      </w:r>
    </w:p>
    <w:p w:rsidR="009D1461" w:rsidRPr="009D1461" w:rsidRDefault="009D1461" w:rsidP="009D1461">
      <w:pPr>
        <w:pStyle w:val="ListParagraph"/>
        <w:numPr>
          <w:ilvl w:val="0"/>
          <w:numId w:val="3"/>
        </w:numPr>
        <w:spacing w:before="154"/>
        <w:jc w:val="both"/>
        <w:rPr>
          <w:rFonts w:ascii="Arial" w:hAnsi="Arial" w:cs="Arial"/>
          <w:color w:val="000000"/>
          <w:sz w:val="18"/>
          <w:szCs w:val="18"/>
        </w:rPr>
      </w:pPr>
      <w:r w:rsidRPr="009D1461">
        <w:rPr>
          <w:rFonts w:ascii="Arial" w:hAnsi="Arial" w:cs="Arial"/>
          <w:color w:val="000000"/>
          <w:sz w:val="18"/>
          <w:szCs w:val="18"/>
        </w:rPr>
        <w:t>Diversifying our service offerings</w:t>
      </w:r>
    </w:p>
    <w:p w:rsidR="009D1461" w:rsidRDefault="009D1461" w:rsidP="000E3B20">
      <w:pPr>
        <w:pStyle w:val="Heading1"/>
      </w:pPr>
      <w:bookmarkStart w:id="7" w:name="_Toc526330203"/>
      <w:r>
        <w:t>Customers</w:t>
      </w:r>
      <w:bookmarkEnd w:id="7"/>
    </w:p>
    <w:p w:rsidR="009D1461" w:rsidRDefault="009D1461" w:rsidP="009D1461">
      <w:pPr>
        <w:spacing w:after="132"/>
        <w:jc w:val="both"/>
        <w:rPr>
          <w:rFonts w:ascii="Arial" w:hAnsi="Arial" w:cs="Arial"/>
          <w:color w:val="000000"/>
          <w:sz w:val="18"/>
          <w:szCs w:val="18"/>
        </w:rPr>
      </w:pPr>
      <w:r>
        <w:rPr>
          <w:rFonts w:ascii="Arial" w:hAnsi="Arial" w:cs="Arial"/>
          <w:color w:val="000000"/>
          <w:sz w:val="18"/>
          <w:szCs w:val="18"/>
        </w:rPr>
        <w:t>Our customers are typically large corporations in the retail (including discount and online retail), food and beverage, consumer products, paper products, transportation and logistics, housing and building, automotive, and manufacturing industries. Many of our customers have extensive operations, geographically distributed locations, and diverse shipping needs.</w:t>
      </w:r>
    </w:p>
    <w:p w:rsidR="009D1461" w:rsidRDefault="009D1461" w:rsidP="009D1461">
      <w:pPr>
        <w:spacing w:after="132"/>
        <w:jc w:val="both"/>
        <w:rPr>
          <w:rFonts w:ascii="Arial" w:hAnsi="Arial" w:cs="Arial"/>
          <w:color w:val="000000"/>
          <w:sz w:val="18"/>
          <w:szCs w:val="18"/>
        </w:rPr>
      </w:pPr>
      <w:r>
        <w:rPr>
          <w:rFonts w:ascii="Arial" w:hAnsi="Arial" w:cs="Arial"/>
          <w:color w:val="000000"/>
          <w:sz w:val="18"/>
          <w:szCs w:val="18"/>
        </w:rPr>
        <w:t>Consistent with industry practice, our typical customer contracts (other than dedicated contracts) do not guarantee shipment volumes by our customers or truck availability by us. This affords us and our customers some flexibility to negotiate rates in response to changes in freight demand and industry-wide truck capacity. Our dedicated services within the Swift Dedicated and Knight Trucking segments assign particular driving associates and revenue equipment to prescribed routes, pursuant to multi-year agreements. This provides individual customers with a guaranteed source of capacity, and allows our driving associates to have more predictable schedules and routes. Under our dedicated transportation services, we provide driving associates, equipment, maintenance, and, in some instances, transportation management services that supplement the customer's in-house transportation department.</w:t>
      </w:r>
    </w:p>
    <w:p w:rsidR="009D1461" w:rsidRDefault="009D1461" w:rsidP="009D1461">
      <w:pPr>
        <w:spacing w:after="88"/>
        <w:jc w:val="both"/>
        <w:rPr>
          <w:rFonts w:ascii="Arial" w:hAnsi="Arial" w:cs="Arial"/>
          <w:color w:val="000000"/>
          <w:sz w:val="18"/>
          <w:szCs w:val="18"/>
        </w:rPr>
      </w:pPr>
      <w:r>
        <w:rPr>
          <w:rFonts w:ascii="Arial" w:hAnsi="Arial" w:cs="Arial"/>
          <w:color w:val="000000"/>
          <w:sz w:val="18"/>
          <w:szCs w:val="18"/>
        </w:rPr>
        <w:lastRenderedPageBreak/>
        <w:t>Our terminals are linked to our corporate information technology system in our Phoenix headquarters. The capabilities of this system and its software enhance our operating efficiency by providing cost-effective access to detailed information concerning equipment location and availability, shipment tracking and on-time delivery status, and other specific customer requirements. The system also enables us to respond promptly and accurately to customer requests and assists us in geographically matching available equipment with customer loads. Additionally, our customers can track shipments and obtain copies of shipping documents via our website. We also provide electronic data interchange services to customers desiring these services.</w:t>
      </w:r>
    </w:p>
    <w:p w:rsidR="009D1461" w:rsidRDefault="009D1461" w:rsidP="009D1461">
      <w:pPr>
        <w:spacing w:after="132"/>
        <w:jc w:val="both"/>
        <w:rPr>
          <w:rFonts w:ascii="Arial" w:hAnsi="Arial" w:cs="Arial"/>
          <w:color w:val="000000"/>
          <w:sz w:val="18"/>
          <w:szCs w:val="18"/>
        </w:rPr>
      </w:pPr>
      <w:r>
        <w:rPr>
          <w:rFonts w:ascii="Arial" w:hAnsi="Arial" w:cs="Arial"/>
          <w:color w:val="000000"/>
          <w:sz w:val="18"/>
          <w:szCs w:val="18"/>
        </w:rPr>
        <w:t>We believe our fleet capacity, terminal network, customer service and breadth of services offer a competitive advantage to major shippers, particularly in times of rising freight volumes when shippers must quickly access capacity across multiple facilities and regions.</w:t>
      </w:r>
    </w:p>
    <w:p w:rsidR="009D1461" w:rsidRDefault="009D1461" w:rsidP="009D1461">
      <w:pPr>
        <w:spacing w:after="88"/>
        <w:jc w:val="both"/>
        <w:rPr>
          <w:rFonts w:ascii="Arial" w:hAnsi="Arial" w:cs="Arial"/>
          <w:color w:val="000000"/>
          <w:sz w:val="18"/>
          <w:szCs w:val="18"/>
        </w:rPr>
      </w:pPr>
      <w:r>
        <w:rPr>
          <w:rFonts w:ascii="Arial" w:hAnsi="Arial" w:cs="Arial"/>
          <w:color w:val="000000"/>
          <w:sz w:val="18"/>
          <w:szCs w:val="18"/>
        </w:rPr>
        <w:t>We strive to maintain a diversified customer base. Services provided to the Company's largest customer, Wal-Mart, generated 15.8%, 13.7%, and 12.4% of total revenue in 2017, 2016, and 2015, respectively. Revenue generated by Wal-Mart is reported in the Knight Trucking, Swift Truckload, Swift Dedicated, Swift Refrigerated, and Swift Intermodal operating segments. No other customer accounted for 10% or more of total revenue in 2017, 2016, or 2015.</w:t>
      </w:r>
    </w:p>
    <w:p w:rsidR="009D1461" w:rsidRDefault="009D1461" w:rsidP="009D1461">
      <w:pPr>
        <w:spacing w:after="66"/>
        <w:jc w:val="both"/>
        <w:rPr>
          <w:rFonts w:ascii="Arial" w:hAnsi="Arial" w:cs="Arial"/>
          <w:color w:val="000000"/>
          <w:sz w:val="18"/>
          <w:szCs w:val="18"/>
        </w:rPr>
      </w:pPr>
      <w:r>
        <w:rPr>
          <w:rFonts w:ascii="Arial" w:hAnsi="Arial" w:cs="Arial"/>
          <w:color w:val="000000"/>
          <w:sz w:val="18"/>
          <w:szCs w:val="18"/>
        </w:rPr>
        <w:t xml:space="preserve">Our top 25 customers drive a substantial portion of our total revenue, as follows (amounts reflect only Swift's result prior to the 2017 Merger </w:t>
      </w:r>
      <w:proofErr w:type="gramStart"/>
      <w:r>
        <w:rPr>
          <w:rFonts w:ascii="Arial" w:hAnsi="Arial" w:cs="Arial"/>
          <w:color w:val="000000"/>
          <w:sz w:val="18"/>
          <w:szCs w:val="18"/>
        </w:rPr>
        <w:t>date,</w:t>
      </w:r>
      <w:proofErr w:type="gramEnd"/>
      <w:r>
        <w:rPr>
          <w:rFonts w:ascii="Arial" w:hAnsi="Arial" w:cs="Arial"/>
          <w:color w:val="000000"/>
          <w:sz w:val="18"/>
          <w:szCs w:val="18"/>
        </w:rPr>
        <w:t xml:space="preserve"> and Knight-Swift's results after the 2017 Merger date):</w:t>
      </w:r>
    </w:p>
    <w:p w:rsidR="009D1461" w:rsidRPr="009D1461" w:rsidRDefault="009D1461" w:rsidP="009D1461">
      <w:pPr>
        <w:pStyle w:val="ListParagraph"/>
        <w:numPr>
          <w:ilvl w:val="0"/>
          <w:numId w:val="4"/>
        </w:numPr>
        <w:spacing w:after="66"/>
        <w:jc w:val="both"/>
        <w:rPr>
          <w:rFonts w:ascii="Arial" w:hAnsi="Arial" w:cs="Arial"/>
          <w:color w:val="000000"/>
          <w:sz w:val="18"/>
          <w:szCs w:val="18"/>
        </w:rPr>
      </w:pPr>
      <w:r w:rsidRPr="009D1461">
        <w:rPr>
          <w:rFonts w:ascii="Arial" w:hAnsi="Arial" w:cs="Arial"/>
          <w:color w:val="000000"/>
          <w:sz w:val="18"/>
          <w:szCs w:val="18"/>
        </w:rPr>
        <w:t xml:space="preserve">In 2017, our top 25, top 10, and top 5 customers accounted for 56.6%, 39.7%, and 31.7% of our total revenue, respectively. </w:t>
      </w:r>
    </w:p>
    <w:p w:rsidR="009D1461" w:rsidRPr="009D1461" w:rsidRDefault="009D1461" w:rsidP="009D1461">
      <w:pPr>
        <w:pStyle w:val="ListParagraph"/>
        <w:numPr>
          <w:ilvl w:val="0"/>
          <w:numId w:val="4"/>
        </w:numPr>
        <w:spacing w:after="66"/>
        <w:jc w:val="both"/>
        <w:rPr>
          <w:rFonts w:ascii="Arial" w:hAnsi="Arial" w:cs="Arial"/>
          <w:color w:val="000000"/>
          <w:sz w:val="18"/>
          <w:szCs w:val="18"/>
        </w:rPr>
      </w:pPr>
      <w:r w:rsidRPr="009D1461">
        <w:rPr>
          <w:rFonts w:ascii="Arial" w:hAnsi="Arial" w:cs="Arial"/>
          <w:color w:val="000000"/>
          <w:sz w:val="18"/>
          <w:szCs w:val="18"/>
        </w:rPr>
        <w:t xml:space="preserve">In 2016, our top 25, top 10, and top 5 customers accounted for 53.7%, 37.3%, and 27.7% of our total revenue, respectively. </w:t>
      </w:r>
    </w:p>
    <w:p w:rsidR="009D1461" w:rsidRDefault="009D1461" w:rsidP="009D1461">
      <w:pPr>
        <w:pStyle w:val="ListParagraph"/>
        <w:numPr>
          <w:ilvl w:val="0"/>
          <w:numId w:val="4"/>
        </w:numPr>
        <w:spacing w:after="66"/>
        <w:jc w:val="both"/>
        <w:rPr>
          <w:rFonts w:ascii="Arial" w:hAnsi="Arial" w:cs="Arial"/>
          <w:color w:val="000000"/>
          <w:sz w:val="18"/>
          <w:szCs w:val="18"/>
        </w:rPr>
      </w:pPr>
      <w:r w:rsidRPr="009D1461">
        <w:rPr>
          <w:rFonts w:ascii="Arial" w:hAnsi="Arial" w:cs="Arial"/>
          <w:color w:val="000000"/>
          <w:sz w:val="18"/>
          <w:szCs w:val="18"/>
        </w:rPr>
        <w:t>In 2015, our top 25, top 10, and top 5 customers accounted for 53.1%, 36.2%, and 26.2% of our total revenue, respectively.</w:t>
      </w:r>
    </w:p>
    <w:p w:rsidR="009D1461" w:rsidRDefault="009D1461" w:rsidP="009D1461">
      <w:pPr>
        <w:spacing w:after="66"/>
        <w:jc w:val="both"/>
        <w:rPr>
          <w:rFonts w:ascii="Arial" w:hAnsi="Arial" w:cs="Arial"/>
          <w:color w:val="000000"/>
          <w:sz w:val="18"/>
          <w:szCs w:val="18"/>
        </w:rPr>
      </w:pPr>
    </w:p>
    <w:p w:rsidR="009D1461" w:rsidRPr="00D50DFC" w:rsidRDefault="009D1461" w:rsidP="000E3B20">
      <w:pPr>
        <w:pStyle w:val="Heading1"/>
      </w:pPr>
      <w:bookmarkStart w:id="8" w:name="_Toc526330204"/>
      <w:r w:rsidRPr="00D50DFC">
        <w:t>Revenue Equipment</w:t>
      </w:r>
      <w:bookmarkEnd w:id="8"/>
    </w:p>
    <w:tbl>
      <w:tblPr>
        <w:tblW w:w="9810" w:type="dxa"/>
        <w:jc w:val="center"/>
        <w:tblInd w:w="990" w:type="dxa"/>
        <w:tblLayout w:type="fixed"/>
        <w:tblCellMar>
          <w:left w:w="0" w:type="dxa"/>
          <w:right w:w="0" w:type="dxa"/>
        </w:tblCellMar>
        <w:tblLook w:val="0000"/>
      </w:tblPr>
      <w:tblGrid>
        <w:gridCol w:w="6234"/>
        <w:gridCol w:w="106"/>
        <w:gridCol w:w="1369"/>
        <w:gridCol w:w="330"/>
        <w:gridCol w:w="106"/>
        <w:gridCol w:w="1364"/>
        <w:gridCol w:w="301"/>
      </w:tblGrid>
      <w:tr w:rsidR="009D1461" w:rsidTr="00D50DFC">
        <w:tblPrEx>
          <w:tblCellMar>
            <w:top w:w="0" w:type="dxa"/>
            <w:left w:w="0" w:type="dxa"/>
            <w:bottom w:w="0" w:type="dxa"/>
            <w:right w:w="0" w:type="dxa"/>
          </w:tblCellMar>
        </w:tblPrEx>
        <w:trPr>
          <w:trHeight w:val="66"/>
          <w:jc w:val="center"/>
        </w:trPr>
        <w:tc>
          <w:tcPr>
            <w:tcW w:w="6234" w:type="dxa"/>
            <w:tcBorders>
              <w:top w:val="nil"/>
              <w:left w:val="nil"/>
              <w:bottom w:val="nil"/>
              <w:right w:val="nil"/>
            </w:tcBorders>
            <w:vAlign w:val="center"/>
          </w:tcPr>
          <w:p w:rsidR="009D1461" w:rsidRDefault="009D1461" w:rsidP="0073298C">
            <w:pPr>
              <w:rPr>
                <w:sz w:val="16"/>
                <w:szCs w:val="16"/>
              </w:rPr>
            </w:pPr>
            <w:r>
              <w:rPr>
                <w:sz w:val="16"/>
                <w:szCs w:val="16"/>
              </w:rPr>
              <w:t> </w:t>
            </w:r>
          </w:p>
        </w:tc>
        <w:tc>
          <w:tcPr>
            <w:tcW w:w="106" w:type="dxa"/>
            <w:tcBorders>
              <w:top w:val="nil"/>
              <w:left w:val="nil"/>
              <w:bottom w:val="nil"/>
              <w:right w:val="nil"/>
            </w:tcBorders>
            <w:vAlign w:val="center"/>
          </w:tcPr>
          <w:p w:rsidR="009D1461" w:rsidRDefault="009D1461" w:rsidP="0073298C">
            <w:pPr>
              <w:rPr>
                <w:sz w:val="16"/>
                <w:szCs w:val="16"/>
              </w:rPr>
            </w:pPr>
            <w:r>
              <w:rPr>
                <w:sz w:val="16"/>
                <w:szCs w:val="16"/>
              </w:rPr>
              <w:t> </w:t>
            </w:r>
          </w:p>
        </w:tc>
        <w:tc>
          <w:tcPr>
            <w:tcW w:w="1369" w:type="dxa"/>
            <w:tcBorders>
              <w:top w:val="nil"/>
              <w:left w:val="nil"/>
              <w:bottom w:val="nil"/>
              <w:right w:val="nil"/>
            </w:tcBorders>
            <w:vAlign w:val="center"/>
          </w:tcPr>
          <w:p w:rsidR="009D1461" w:rsidRDefault="009D1461" w:rsidP="0073298C">
            <w:pPr>
              <w:rPr>
                <w:sz w:val="16"/>
                <w:szCs w:val="16"/>
              </w:rPr>
            </w:pPr>
            <w:r>
              <w:rPr>
                <w:sz w:val="16"/>
                <w:szCs w:val="16"/>
              </w:rPr>
              <w:t> </w:t>
            </w:r>
          </w:p>
        </w:tc>
        <w:tc>
          <w:tcPr>
            <w:tcW w:w="330" w:type="dxa"/>
            <w:tcBorders>
              <w:top w:val="nil"/>
              <w:left w:val="nil"/>
              <w:bottom w:val="nil"/>
              <w:right w:val="nil"/>
            </w:tcBorders>
            <w:vAlign w:val="center"/>
          </w:tcPr>
          <w:p w:rsidR="009D1461" w:rsidRDefault="009D1461" w:rsidP="0073298C">
            <w:pPr>
              <w:rPr>
                <w:sz w:val="16"/>
                <w:szCs w:val="16"/>
              </w:rPr>
            </w:pPr>
            <w:r>
              <w:rPr>
                <w:sz w:val="16"/>
                <w:szCs w:val="16"/>
              </w:rPr>
              <w:t> </w:t>
            </w:r>
          </w:p>
        </w:tc>
        <w:tc>
          <w:tcPr>
            <w:tcW w:w="106" w:type="dxa"/>
            <w:tcBorders>
              <w:top w:val="nil"/>
              <w:left w:val="nil"/>
              <w:bottom w:val="nil"/>
              <w:right w:val="nil"/>
            </w:tcBorders>
            <w:vAlign w:val="center"/>
          </w:tcPr>
          <w:p w:rsidR="009D1461" w:rsidRDefault="009D1461" w:rsidP="0073298C">
            <w:pPr>
              <w:rPr>
                <w:sz w:val="16"/>
                <w:szCs w:val="16"/>
              </w:rPr>
            </w:pPr>
            <w:r>
              <w:rPr>
                <w:sz w:val="16"/>
                <w:szCs w:val="16"/>
              </w:rPr>
              <w:t> </w:t>
            </w:r>
          </w:p>
        </w:tc>
        <w:tc>
          <w:tcPr>
            <w:tcW w:w="1364" w:type="dxa"/>
            <w:tcBorders>
              <w:top w:val="nil"/>
              <w:left w:val="nil"/>
              <w:bottom w:val="nil"/>
              <w:right w:val="nil"/>
            </w:tcBorders>
            <w:vAlign w:val="center"/>
          </w:tcPr>
          <w:p w:rsidR="009D1461" w:rsidRDefault="009D1461" w:rsidP="0073298C">
            <w:pPr>
              <w:rPr>
                <w:sz w:val="16"/>
                <w:szCs w:val="16"/>
              </w:rPr>
            </w:pPr>
            <w:r>
              <w:rPr>
                <w:sz w:val="16"/>
                <w:szCs w:val="16"/>
              </w:rPr>
              <w:t> </w:t>
            </w:r>
          </w:p>
        </w:tc>
        <w:tc>
          <w:tcPr>
            <w:tcW w:w="301" w:type="dxa"/>
            <w:tcBorders>
              <w:top w:val="nil"/>
              <w:left w:val="nil"/>
              <w:bottom w:val="nil"/>
              <w:right w:val="nil"/>
            </w:tcBorders>
            <w:vAlign w:val="center"/>
          </w:tcPr>
          <w:p w:rsidR="009D1461" w:rsidRDefault="009D1461" w:rsidP="0073298C">
            <w:pPr>
              <w:rPr>
                <w:sz w:val="16"/>
                <w:szCs w:val="16"/>
              </w:rPr>
            </w:pPr>
            <w:r>
              <w:rPr>
                <w:sz w:val="16"/>
                <w:szCs w:val="16"/>
              </w:rPr>
              <w:t> </w:t>
            </w:r>
          </w:p>
        </w:tc>
      </w:tr>
      <w:tr w:rsidR="009D1461" w:rsidTr="00D50DFC">
        <w:tblPrEx>
          <w:tblCellMar>
            <w:top w:w="0" w:type="dxa"/>
            <w:left w:w="0" w:type="dxa"/>
            <w:bottom w:w="0" w:type="dxa"/>
            <w:right w:w="0" w:type="dxa"/>
          </w:tblCellMar>
        </w:tblPrEx>
        <w:trPr>
          <w:trHeight w:val="298"/>
          <w:jc w:val="center"/>
        </w:trPr>
        <w:tc>
          <w:tcPr>
            <w:tcW w:w="6234" w:type="dxa"/>
            <w:tcBorders>
              <w:top w:val="single" w:sz="6" w:space="0" w:color="00467E"/>
              <w:left w:val="single" w:sz="6" w:space="0" w:color="00467E"/>
              <w:bottom w:val="single" w:sz="6" w:space="0" w:color="000000"/>
              <w:right w:val="nil"/>
            </w:tcBorders>
            <w:vAlign w:val="bottom"/>
          </w:tcPr>
          <w:p w:rsidR="009D1461" w:rsidRDefault="009D1461" w:rsidP="0073298C">
            <w:pPr>
              <w:spacing w:before="22" w:after="22"/>
              <w:ind w:left="22" w:right="22"/>
              <w:rPr>
                <w:rFonts w:ascii="Arial" w:hAnsi="Arial" w:cs="Arial"/>
                <w:b/>
                <w:bCs w:val="0"/>
                <w:color w:val="000000"/>
                <w:sz w:val="16"/>
                <w:szCs w:val="16"/>
              </w:rPr>
            </w:pPr>
            <w:r>
              <w:rPr>
                <w:rFonts w:ascii="Arial" w:hAnsi="Arial" w:cs="Arial"/>
                <w:b/>
                <w:bCs w:val="0"/>
                <w:color w:val="000000"/>
                <w:sz w:val="16"/>
                <w:szCs w:val="16"/>
              </w:rPr>
              <w:t>Model Year</w:t>
            </w:r>
          </w:p>
        </w:tc>
        <w:tc>
          <w:tcPr>
            <w:tcW w:w="106" w:type="dxa"/>
            <w:tcBorders>
              <w:top w:val="single" w:sz="6" w:space="0" w:color="00467E"/>
              <w:left w:val="nil"/>
              <w:bottom w:val="nil"/>
              <w:right w:val="nil"/>
            </w:tcBorders>
            <w:vAlign w:val="bottom"/>
          </w:tcPr>
          <w:p w:rsidR="009D1461" w:rsidRDefault="009D1461" w:rsidP="0073298C">
            <w:pPr>
              <w:spacing w:before="22" w:after="22"/>
              <w:ind w:left="22" w:right="22"/>
              <w:rPr>
                <w:color w:val="000000"/>
              </w:rPr>
            </w:pPr>
            <w:r>
              <w:rPr>
                <w:color w:val="000000"/>
              </w:rPr>
              <w:t> </w:t>
            </w:r>
          </w:p>
        </w:tc>
        <w:tc>
          <w:tcPr>
            <w:tcW w:w="1699" w:type="dxa"/>
            <w:gridSpan w:val="2"/>
            <w:tcBorders>
              <w:top w:val="single" w:sz="6" w:space="0" w:color="00467E"/>
              <w:left w:val="nil"/>
              <w:bottom w:val="single" w:sz="6" w:space="0" w:color="000000"/>
              <w:right w:val="nil"/>
            </w:tcBorders>
            <w:vAlign w:val="bottom"/>
          </w:tcPr>
          <w:p w:rsidR="009D1461" w:rsidRDefault="009D1461" w:rsidP="0073298C">
            <w:pPr>
              <w:spacing w:before="22" w:after="22"/>
              <w:ind w:left="22" w:right="22"/>
              <w:jc w:val="center"/>
              <w:rPr>
                <w:rFonts w:ascii="Arial" w:hAnsi="Arial" w:cs="Arial"/>
                <w:b/>
                <w:bCs w:val="0"/>
                <w:color w:val="000000"/>
                <w:sz w:val="14"/>
                <w:szCs w:val="14"/>
                <w:vertAlign w:val="superscript"/>
              </w:rPr>
            </w:pPr>
            <w:r>
              <w:rPr>
                <w:rFonts w:ascii="Arial" w:hAnsi="Arial" w:cs="Arial"/>
                <w:b/>
                <w:bCs w:val="0"/>
                <w:color w:val="000000"/>
                <w:sz w:val="16"/>
                <w:szCs w:val="16"/>
              </w:rPr>
              <w:t xml:space="preserve">Tractors </w:t>
            </w:r>
            <w:r>
              <w:rPr>
                <w:rFonts w:ascii="Arial" w:hAnsi="Arial" w:cs="Arial"/>
                <w:b/>
                <w:bCs w:val="0"/>
                <w:color w:val="000000"/>
                <w:sz w:val="14"/>
                <w:szCs w:val="14"/>
                <w:vertAlign w:val="superscript"/>
              </w:rPr>
              <w:t>(1)</w:t>
            </w:r>
          </w:p>
        </w:tc>
        <w:tc>
          <w:tcPr>
            <w:tcW w:w="106" w:type="dxa"/>
            <w:tcBorders>
              <w:top w:val="single" w:sz="6" w:space="0" w:color="00467E"/>
              <w:left w:val="nil"/>
              <w:bottom w:val="nil"/>
              <w:right w:val="nil"/>
            </w:tcBorders>
            <w:vAlign w:val="bottom"/>
          </w:tcPr>
          <w:p w:rsidR="009D1461" w:rsidRDefault="009D1461" w:rsidP="0073298C">
            <w:pPr>
              <w:spacing w:before="22" w:after="22"/>
              <w:ind w:left="22" w:right="22"/>
              <w:rPr>
                <w:color w:val="000000"/>
              </w:rPr>
            </w:pPr>
            <w:r>
              <w:rPr>
                <w:color w:val="000000"/>
              </w:rPr>
              <w:t> </w:t>
            </w:r>
          </w:p>
        </w:tc>
        <w:tc>
          <w:tcPr>
            <w:tcW w:w="1665" w:type="dxa"/>
            <w:gridSpan w:val="2"/>
            <w:tcBorders>
              <w:top w:val="single" w:sz="6" w:space="0" w:color="00467E"/>
              <w:left w:val="nil"/>
              <w:bottom w:val="single" w:sz="6" w:space="0" w:color="000000"/>
              <w:right w:val="single" w:sz="6" w:space="0" w:color="00467E"/>
            </w:tcBorders>
            <w:vAlign w:val="bottom"/>
          </w:tcPr>
          <w:p w:rsidR="009D1461" w:rsidRDefault="009D1461" w:rsidP="0073298C">
            <w:pPr>
              <w:spacing w:before="22" w:after="22"/>
              <w:ind w:left="22" w:right="22"/>
              <w:jc w:val="center"/>
              <w:rPr>
                <w:rFonts w:ascii="Arial" w:hAnsi="Arial" w:cs="Arial"/>
                <w:b/>
                <w:bCs w:val="0"/>
                <w:color w:val="000000"/>
                <w:sz w:val="16"/>
                <w:szCs w:val="16"/>
              </w:rPr>
            </w:pPr>
            <w:r>
              <w:rPr>
                <w:rFonts w:ascii="Arial" w:hAnsi="Arial" w:cs="Arial"/>
                <w:b/>
                <w:bCs w:val="0"/>
                <w:color w:val="000000"/>
                <w:sz w:val="16"/>
                <w:szCs w:val="16"/>
              </w:rPr>
              <w:t>Trailers</w:t>
            </w:r>
          </w:p>
        </w:tc>
      </w:tr>
      <w:tr w:rsidR="009D1461" w:rsidTr="00D50DFC">
        <w:tblPrEx>
          <w:tblCellMar>
            <w:top w:w="0" w:type="dxa"/>
            <w:left w:w="0" w:type="dxa"/>
            <w:bottom w:w="0" w:type="dxa"/>
            <w:right w:w="0" w:type="dxa"/>
          </w:tblCellMar>
        </w:tblPrEx>
        <w:trPr>
          <w:trHeight w:val="281"/>
          <w:jc w:val="center"/>
        </w:trPr>
        <w:tc>
          <w:tcPr>
            <w:tcW w:w="6234" w:type="dxa"/>
            <w:tcBorders>
              <w:top w:val="nil"/>
              <w:left w:val="single" w:sz="6" w:space="0" w:color="00467E"/>
              <w:bottom w:val="nil"/>
              <w:right w:val="nil"/>
            </w:tcBorders>
            <w:shd w:val="clear" w:color="CFD4D8" w:fill="CFD4D8"/>
            <w:vAlign w:val="bottom"/>
          </w:tcPr>
          <w:p w:rsidR="009D1461" w:rsidRDefault="009D1461" w:rsidP="0073298C">
            <w:pPr>
              <w:spacing w:before="22" w:after="22"/>
              <w:ind w:left="22" w:right="22"/>
              <w:rPr>
                <w:rFonts w:ascii="Arial" w:hAnsi="Arial" w:cs="Arial"/>
                <w:b/>
                <w:bCs w:val="0"/>
                <w:i/>
                <w:iCs/>
                <w:color w:val="9D1B11"/>
                <w:sz w:val="18"/>
                <w:szCs w:val="18"/>
              </w:rPr>
            </w:pPr>
            <w:r>
              <w:rPr>
                <w:rFonts w:ascii="Arial" w:hAnsi="Arial" w:cs="Arial"/>
                <w:b/>
                <w:bCs w:val="0"/>
                <w:i/>
                <w:iCs/>
                <w:color w:val="9D1B11"/>
                <w:sz w:val="18"/>
                <w:szCs w:val="18"/>
              </w:rPr>
              <w:t>2019</w:t>
            </w:r>
          </w:p>
        </w:tc>
        <w:tc>
          <w:tcPr>
            <w:tcW w:w="106" w:type="dxa"/>
            <w:tcBorders>
              <w:top w:val="nil"/>
              <w:left w:val="nil"/>
              <w:bottom w:val="nil"/>
              <w:right w:val="nil"/>
            </w:tcBorders>
            <w:shd w:val="clear" w:color="CFD4D8" w:fill="CFD4D8"/>
            <w:vAlign w:val="bottom"/>
          </w:tcPr>
          <w:p w:rsidR="009D1461" w:rsidRDefault="009D1461" w:rsidP="0073298C">
            <w:pPr>
              <w:spacing w:before="22" w:after="22"/>
              <w:ind w:left="22" w:right="22"/>
              <w:rPr>
                <w:color w:val="000000"/>
              </w:rPr>
            </w:pPr>
            <w:r>
              <w:rPr>
                <w:color w:val="000000"/>
              </w:rPr>
              <w:t> </w:t>
            </w:r>
          </w:p>
        </w:tc>
        <w:tc>
          <w:tcPr>
            <w:tcW w:w="1369" w:type="dxa"/>
            <w:tcBorders>
              <w:top w:val="single" w:sz="6" w:space="0" w:color="000000"/>
              <w:left w:val="nil"/>
              <w:bottom w:val="nil"/>
              <w:right w:val="nil"/>
            </w:tcBorders>
            <w:shd w:val="clear" w:color="CFD4D8" w:fill="CFD4D8"/>
            <w:vAlign w:val="bottom"/>
          </w:tcPr>
          <w:p w:rsidR="009D1461" w:rsidRDefault="009D1461" w:rsidP="0073298C">
            <w:pPr>
              <w:spacing w:before="22" w:after="22"/>
              <w:ind w:left="22"/>
              <w:jc w:val="right"/>
              <w:rPr>
                <w:rFonts w:ascii="Arial" w:hAnsi="Arial" w:cs="Arial"/>
                <w:color w:val="000000"/>
                <w:sz w:val="18"/>
                <w:szCs w:val="18"/>
              </w:rPr>
            </w:pPr>
            <w:r>
              <w:rPr>
                <w:rFonts w:ascii="Arial" w:hAnsi="Arial" w:cs="Arial"/>
                <w:color w:val="000000"/>
                <w:sz w:val="18"/>
                <w:szCs w:val="18"/>
              </w:rPr>
              <w:t>—</w:t>
            </w:r>
          </w:p>
        </w:tc>
        <w:tc>
          <w:tcPr>
            <w:tcW w:w="330" w:type="dxa"/>
            <w:tcBorders>
              <w:top w:val="single" w:sz="6" w:space="0" w:color="000000"/>
              <w:left w:val="nil"/>
              <w:bottom w:val="nil"/>
              <w:right w:val="nil"/>
            </w:tcBorders>
            <w:shd w:val="clear" w:color="CFD4D8" w:fill="CFD4D8"/>
            <w:vAlign w:val="bottom"/>
          </w:tcPr>
          <w:p w:rsidR="009D1461" w:rsidRDefault="009D1461" w:rsidP="0073298C">
            <w:pPr>
              <w:spacing w:before="22" w:after="22"/>
              <w:ind w:left="22"/>
              <w:jc w:val="right"/>
              <w:rPr>
                <w:rFonts w:ascii="Arial" w:hAnsi="Arial" w:cs="Arial"/>
                <w:color w:val="000000"/>
                <w:sz w:val="18"/>
                <w:szCs w:val="18"/>
              </w:rPr>
            </w:pPr>
          </w:p>
          <w:p w:rsidR="009D1461" w:rsidRDefault="009D1461" w:rsidP="0073298C">
            <w:pPr>
              <w:rPr>
                <w:sz w:val="16"/>
                <w:szCs w:val="16"/>
              </w:rPr>
            </w:pPr>
            <w:r>
              <w:rPr>
                <w:sz w:val="16"/>
                <w:szCs w:val="16"/>
              </w:rPr>
              <w:t> </w:t>
            </w:r>
          </w:p>
        </w:tc>
        <w:tc>
          <w:tcPr>
            <w:tcW w:w="106" w:type="dxa"/>
            <w:tcBorders>
              <w:top w:val="nil"/>
              <w:left w:val="nil"/>
              <w:bottom w:val="nil"/>
              <w:right w:val="nil"/>
            </w:tcBorders>
            <w:shd w:val="clear" w:color="CFD4D8" w:fill="CFD4D8"/>
            <w:vAlign w:val="bottom"/>
          </w:tcPr>
          <w:p w:rsidR="009D1461" w:rsidRDefault="009D1461" w:rsidP="0073298C">
            <w:pPr>
              <w:spacing w:before="22" w:after="22"/>
              <w:ind w:left="22" w:right="22"/>
              <w:rPr>
                <w:color w:val="000000"/>
              </w:rPr>
            </w:pPr>
            <w:r>
              <w:rPr>
                <w:color w:val="000000"/>
              </w:rPr>
              <w:t> </w:t>
            </w:r>
          </w:p>
        </w:tc>
        <w:tc>
          <w:tcPr>
            <w:tcW w:w="1364" w:type="dxa"/>
            <w:tcBorders>
              <w:top w:val="single" w:sz="6" w:space="0" w:color="000000"/>
              <w:left w:val="nil"/>
              <w:bottom w:val="nil"/>
              <w:right w:val="nil"/>
            </w:tcBorders>
            <w:shd w:val="clear" w:color="CFD4D8" w:fill="CFD4D8"/>
            <w:vAlign w:val="bottom"/>
          </w:tcPr>
          <w:p w:rsidR="009D1461" w:rsidRDefault="009D1461" w:rsidP="0073298C">
            <w:pPr>
              <w:spacing w:before="22" w:after="22"/>
              <w:ind w:left="22"/>
              <w:jc w:val="right"/>
              <w:rPr>
                <w:rFonts w:ascii="Arial" w:hAnsi="Arial" w:cs="Arial"/>
                <w:color w:val="000000"/>
                <w:sz w:val="18"/>
                <w:szCs w:val="18"/>
              </w:rPr>
            </w:pPr>
            <w:r>
              <w:rPr>
                <w:rFonts w:ascii="Arial" w:hAnsi="Arial" w:cs="Arial"/>
                <w:color w:val="000000"/>
                <w:sz w:val="18"/>
                <w:szCs w:val="18"/>
              </w:rPr>
              <w:t>9</w:t>
            </w:r>
          </w:p>
        </w:tc>
        <w:tc>
          <w:tcPr>
            <w:tcW w:w="301" w:type="dxa"/>
            <w:tcBorders>
              <w:top w:val="single" w:sz="6" w:space="0" w:color="000000"/>
              <w:left w:val="nil"/>
              <w:bottom w:val="nil"/>
              <w:right w:val="single" w:sz="6" w:space="0" w:color="00467E"/>
            </w:tcBorders>
            <w:shd w:val="clear" w:color="CFD4D8" w:fill="CFD4D8"/>
            <w:vAlign w:val="bottom"/>
          </w:tcPr>
          <w:p w:rsidR="009D1461" w:rsidRDefault="009D1461" w:rsidP="0073298C">
            <w:pPr>
              <w:spacing w:before="22" w:after="22"/>
              <w:ind w:left="22"/>
              <w:jc w:val="right"/>
              <w:rPr>
                <w:rFonts w:ascii="Arial" w:hAnsi="Arial" w:cs="Arial"/>
                <w:color w:val="000000"/>
                <w:sz w:val="18"/>
                <w:szCs w:val="18"/>
              </w:rPr>
            </w:pPr>
          </w:p>
          <w:p w:rsidR="009D1461" w:rsidRDefault="009D1461" w:rsidP="0073298C">
            <w:pPr>
              <w:rPr>
                <w:sz w:val="16"/>
                <w:szCs w:val="16"/>
              </w:rPr>
            </w:pPr>
            <w:r>
              <w:rPr>
                <w:sz w:val="16"/>
                <w:szCs w:val="16"/>
              </w:rPr>
              <w:t> </w:t>
            </w:r>
          </w:p>
        </w:tc>
      </w:tr>
      <w:tr w:rsidR="009D1461" w:rsidTr="00D50DFC">
        <w:tblPrEx>
          <w:tblCellMar>
            <w:top w:w="0" w:type="dxa"/>
            <w:left w:w="0" w:type="dxa"/>
            <w:bottom w:w="0" w:type="dxa"/>
            <w:right w:w="0" w:type="dxa"/>
          </w:tblCellMar>
        </w:tblPrEx>
        <w:trPr>
          <w:trHeight w:val="281"/>
          <w:jc w:val="center"/>
        </w:trPr>
        <w:tc>
          <w:tcPr>
            <w:tcW w:w="6234" w:type="dxa"/>
            <w:tcBorders>
              <w:top w:val="nil"/>
              <w:left w:val="single" w:sz="6" w:space="0" w:color="00467E"/>
              <w:bottom w:val="nil"/>
              <w:right w:val="nil"/>
            </w:tcBorders>
            <w:vAlign w:val="bottom"/>
          </w:tcPr>
          <w:p w:rsidR="009D1461" w:rsidRDefault="009D1461" w:rsidP="0073298C">
            <w:pPr>
              <w:spacing w:before="22" w:after="22"/>
              <w:ind w:left="22" w:right="22"/>
              <w:rPr>
                <w:rFonts w:ascii="Arial" w:hAnsi="Arial" w:cs="Arial"/>
                <w:b/>
                <w:bCs w:val="0"/>
                <w:i/>
                <w:iCs/>
                <w:color w:val="9D1B11"/>
                <w:sz w:val="18"/>
                <w:szCs w:val="18"/>
              </w:rPr>
            </w:pPr>
            <w:r>
              <w:rPr>
                <w:rFonts w:ascii="Arial" w:hAnsi="Arial" w:cs="Arial"/>
                <w:b/>
                <w:bCs w:val="0"/>
                <w:i/>
                <w:iCs/>
                <w:color w:val="9D1B11"/>
                <w:sz w:val="18"/>
                <w:szCs w:val="18"/>
              </w:rPr>
              <w:t>2018</w:t>
            </w:r>
          </w:p>
        </w:tc>
        <w:tc>
          <w:tcPr>
            <w:tcW w:w="106" w:type="dxa"/>
            <w:tcBorders>
              <w:top w:val="nil"/>
              <w:left w:val="nil"/>
              <w:bottom w:val="nil"/>
              <w:right w:val="nil"/>
            </w:tcBorders>
            <w:vAlign w:val="bottom"/>
          </w:tcPr>
          <w:p w:rsidR="009D1461" w:rsidRDefault="009D1461" w:rsidP="0073298C">
            <w:pPr>
              <w:spacing w:before="22" w:after="22"/>
              <w:ind w:left="22" w:right="22"/>
              <w:rPr>
                <w:color w:val="000000"/>
              </w:rPr>
            </w:pPr>
            <w:r>
              <w:rPr>
                <w:color w:val="000000"/>
              </w:rPr>
              <w:t> </w:t>
            </w:r>
          </w:p>
        </w:tc>
        <w:tc>
          <w:tcPr>
            <w:tcW w:w="1369" w:type="dxa"/>
            <w:tcBorders>
              <w:top w:val="nil"/>
              <w:left w:val="nil"/>
              <w:bottom w:val="nil"/>
              <w:right w:val="nil"/>
            </w:tcBorders>
            <w:vAlign w:val="bottom"/>
          </w:tcPr>
          <w:p w:rsidR="009D1461" w:rsidRDefault="009D1461" w:rsidP="0073298C">
            <w:pPr>
              <w:spacing w:before="22" w:after="22"/>
              <w:ind w:left="22"/>
              <w:jc w:val="right"/>
              <w:rPr>
                <w:rFonts w:ascii="Arial" w:hAnsi="Arial" w:cs="Arial"/>
                <w:color w:val="000000"/>
                <w:sz w:val="18"/>
                <w:szCs w:val="18"/>
              </w:rPr>
            </w:pPr>
            <w:r>
              <w:rPr>
                <w:rFonts w:ascii="Arial" w:hAnsi="Arial" w:cs="Arial"/>
                <w:color w:val="000000"/>
                <w:sz w:val="18"/>
                <w:szCs w:val="18"/>
              </w:rPr>
              <w:t>2,798</w:t>
            </w:r>
          </w:p>
        </w:tc>
        <w:tc>
          <w:tcPr>
            <w:tcW w:w="330" w:type="dxa"/>
            <w:tcBorders>
              <w:top w:val="nil"/>
              <w:left w:val="nil"/>
              <w:bottom w:val="nil"/>
              <w:right w:val="nil"/>
            </w:tcBorders>
            <w:vAlign w:val="bottom"/>
          </w:tcPr>
          <w:p w:rsidR="009D1461" w:rsidRDefault="009D1461" w:rsidP="0073298C">
            <w:pPr>
              <w:spacing w:before="22" w:after="22"/>
              <w:ind w:left="22"/>
              <w:jc w:val="right"/>
              <w:rPr>
                <w:rFonts w:ascii="Arial" w:hAnsi="Arial" w:cs="Arial"/>
                <w:color w:val="000000"/>
                <w:sz w:val="18"/>
                <w:szCs w:val="18"/>
              </w:rPr>
            </w:pPr>
          </w:p>
          <w:p w:rsidR="009D1461" w:rsidRDefault="009D1461" w:rsidP="0073298C">
            <w:pPr>
              <w:rPr>
                <w:sz w:val="16"/>
                <w:szCs w:val="16"/>
              </w:rPr>
            </w:pPr>
            <w:r>
              <w:rPr>
                <w:sz w:val="16"/>
                <w:szCs w:val="16"/>
              </w:rPr>
              <w:t> </w:t>
            </w:r>
          </w:p>
        </w:tc>
        <w:tc>
          <w:tcPr>
            <w:tcW w:w="106" w:type="dxa"/>
            <w:tcBorders>
              <w:top w:val="nil"/>
              <w:left w:val="nil"/>
              <w:bottom w:val="nil"/>
              <w:right w:val="nil"/>
            </w:tcBorders>
            <w:vAlign w:val="bottom"/>
          </w:tcPr>
          <w:p w:rsidR="009D1461" w:rsidRDefault="009D1461" w:rsidP="0073298C">
            <w:pPr>
              <w:spacing w:before="22" w:after="22"/>
              <w:ind w:left="22" w:right="22"/>
              <w:rPr>
                <w:color w:val="000000"/>
              </w:rPr>
            </w:pPr>
            <w:r>
              <w:rPr>
                <w:color w:val="000000"/>
              </w:rPr>
              <w:t> </w:t>
            </w:r>
          </w:p>
        </w:tc>
        <w:tc>
          <w:tcPr>
            <w:tcW w:w="1364" w:type="dxa"/>
            <w:tcBorders>
              <w:top w:val="nil"/>
              <w:left w:val="nil"/>
              <w:bottom w:val="nil"/>
              <w:right w:val="nil"/>
            </w:tcBorders>
            <w:vAlign w:val="bottom"/>
          </w:tcPr>
          <w:p w:rsidR="009D1461" w:rsidRDefault="009D1461" w:rsidP="0073298C">
            <w:pPr>
              <w:spacing w:before="22" w:after="22"/>
              <w:ind w:left="22"/>
              <w:jc w:val="right"/>
              <w:rPr>
                <w:rFonts w:ascii="Arial" w:hAnsi="Arial" w:cs="Arial"/>
                <w:color w:val="000000"/>
                <w:sz w:val="18"/>
                <w:szCs w:val="18"/>
              </w:rPr>
            </w:pPr>
            <w:r>
              <w:rPr>
                <w:rFonts w:ascii="Arial" w:hAnsi="Arial" w:cs="Arial"/>
                <w:color w:val="000000"/>
                <w:sz w:val="18"/>
                <w:szCs w:val="18"/>
              </w:rPr>
              <w:t>3,968</w:t>
            </w:r>
          </w:p>
        </w:tc>
        <w:tc>
          <w:tcPr>
            <w:tcW w:w="301" w:type="dxa"/>
            <w:tcBorders>
              <w:top w:val="nil"/>
              <w:left w:val="nil"/>
              <w:bottom w:val="nil"/>
              <w:right w:val="single" w:sz="6" w:space="0" w:color="00467E"/>
            </w:tcBorders>
            <w:vAlign w:val="bottom"/>
          </w:tcPr>
          <w:p w:rsidR="009D1461" w:rsidRDefault="009D1461" w:rsidP="0073298C">
            <w:pPr>
              <w:spacing w:before="22" w:after="22"/>
              <w:ind w:left="22"/>
              <w:jc w:val="right"/>
              <w:rPr>
                <w:rFonts w:ascii="Arial" w:hAnsi="Arial" w:cs="Arial"/>
                <w:color w:val="000000"/>
                <w:sz w:val="18"/>
                <w:szCs w:val="18"/>
              </w:rPr>
            </w:pPr>
          </w:p>
          <w:p w:rsidR="009D1461" w:rsidRDefault="009D1461" w:rsidP="0073298C">
            <w:pPr>
              <w:rPr>
                <w:sz w:val="16"/>
                <w:szCs w:val="16"/>
              </w:rPr>
            </w:pPr>
            <w:r>
              <w:rPr>
                <w:sz w:val="16"/>
                <w:szCs w:val="16"/>
              </w:rPr>
              <w:t> </w:t>
            </w:r>
          </w:p>
        </w:tc>
      </w:tr>
      <w:tr w:rsidR="009D1461" w:rsidTr="00D50DFC">
        <w:tblPrEx>
          <w:tblCellMar>
            <w:top w:w="0" w:type="dxa"/>
            <w:left w:w="0" w:type="dxa"/>
            <w:bottom w:w="0" w:type="dxa"/>
            <w:right w:w="0" w:type="dxa"/>
          </w:tblCellMar>
        </w:tblPrEx>
        <w:trPr>
          <w:trHeight w:val="281"/>
          <w:jc w:val="center"/>
        </w:trPr>
        <w:tc>
          <w:tcPr>
            <w:tcW w:w="6234" w:type="dxa"/>
            <w:tcBorders>
              <w:top w:val="nil"/>
              <w:left w:val="single" w:sz="6" w:space="0" w:color="00467E"/>
              <w:bottom w:val="nil"/>
              <w:right w:val="nil"/>
            </w:tcBorders>
            <w:shd w:val="clear" w:color="CFD4D8" w:fill="CFD4D8"/>
            <w:vAlign w:val="bottom"/>
          </w:tcPr>
          <w:p w:rsidR="009D1461" w:rsidRDefault="009D1461" w:rsidP="0073298C">
            <w:pPr>
              <w:spacing w:before="22" w:after="22"/>
              <w:ind w:left="22" w:right="22"/>
              <w:rPr>
                <w:rFonts w:ascii="Arial" w:hAnsi="Arial" w:cs="Arial"/>
                <w:b/>
                <w:bCs w:val="0"/>
                <w:i/>
                <w:iCs/>
                <w:color w:val="9D1B11"/>
                <w:sz w:val="18"/>
                <w:szCs w:val="18"/>
              </w:rPr>
            </w:pPr>
            <w:r>
              <w:rPr>
                <w:rFonts w:ascii="Arial" w:hAnsi="Arial" w:cs="Arial"/>
                <w:b/>
                <w:bCs w:val="0"/>
                <w:i/>
                <w:iCs/>
                <w:color w:val="9D1B11"/>
                <w:sz w:val="18"/>
                <w:szCs w:val="18"/>
              </w:rPr>
              <w:t>2017</w:t>
            </w:r>
          </w:p>
        </w:tc>
        <w:tc>
          <w:tcPr>
            <w:tcW w:w="106" w:type="dxa"/>
            <w:tcBorders>
              <w:top w:val="nil"/>
              <w:left w:val="nil"/>
              <w:bottom w:val="nil"/>
              <w:right w:val="nil"/>
            </w:tcBorders>
            <w:shd w:val="clear" w:color="CFD4D8" w:fill="CFD4D8"/>
            <w:vAlign w:val="bottom"/>
          </w:tcPr>
          <w:p w:rsidR="009D1461" w:rsidRDefault="009D1461" w:rsidP="0073298C">
            <w:pPr>
              <w:spacing w:before="22" w:after="22"/>
              <w:ind w:left="22" w:right="22"/>
              <w:rPr>
                <w:color w:val="000000"/>
              </w:rPr>
            </w:pPr>
            <w:r>
              <w:rPr>
                <w:color w:val="000000"/>
              </w:rPr>
              <w:t> </w:t>
            </w:r>
          </w:p>
        </w:tc>
        <w:tc>
          <w:tcPr>
            <w:tcW w:w="1369" w:type="dxa"/>
            <w:tcBorders>
              <w:top w:val="nil"/>
              <w:left w:val="nil"/>
              <w:bottom w:val="nil"/>
              <w:right w:val="nil"/>
            </w:tcBorders>
            <w:shd w:val="clear" w:color="CFD4D8" w:fill="CFD4D8"/>
            <w:vAlign w:val="bottom"/>
          </w:tcPr>
          <w:p w:rsidR="009D1461" w:rsidRDefault="009D1461" w:rsidP="0073298C">
            <w:pPr>
              <w:spacing w:before="22" w:after="22"/>
              <w:ind w:left="22"/>
              <w:jc w:val="right"/>
              <w:rPr>
                <w:rFonts w:ascii="Arial" w:hAnsi="Arial" w:cs="Arial"/>
                <w:color w:val="000000"/>
                <w:sz w:val="18"/>
                <w:szCs w:val="18"/>
              </w:rPr>
            </w:pPr>
            <w:r>
              <w:rPr>
                <w:rFonts w:ascii="Arial" w:hAnsi="Arial" w:cs="Arial"/>
                <w:color w:val="000000"/>
                <w:sz w:val="18"/>
                <w:szCs w:val="18"/>
              </w:rPr>
              <w:t>2,232</w:t>
            </w:r>
          </w:p>
        </w:tc>
        <w:tc>
          <w:tcPr>
            <w:tcW w:w="330" w:type="dxa"/>
            <w:tcBorders>
              <w:top w:val="nil"/>
              <w:left w:val="nil"/>
              <w:bottom w:val="nil"/>
              <w:right w:val="nil"/>
            </w:tcBorders>
            <w:shd w:val="clear" w:color="CFD4D8" w:fill="CFD4D8"/>
            <w:vAlign w:val="bottom"/>
          </w:tcPr>
          <w:p w:rsidR="009D1461" w:rsidRDefault="009D1461" w:rsidP="0073298C">
            <w:pPr>
              <w:spacing w:before="22" w:after="22"/>
              <w:ind w:left="22"/>
              <w:jc w:val="right"/>
              <w:rPr>
                <w:rFonts w:ascii="Arial" w:hAnsi="Arial" w:cs="Arial"/>
                <w:color w:val="000000"/>
                <w:sz w:val="18"/>
                <w:szCs w:val="18"/>
              </w:rPr>
            </w:pPr>
          </w:p>
          <w:p w:rsidR="009D1461" w:rsidRDefault="009D1461" w:rsidP="0073298C">
            <w:pPr>
              <w:rPr>
                <w:sz w:val="16"/>
                <w:szCs w:val="16"/>
              </w:rPr>
            </w:pPr>
            <w:r>
              <w:rPr>
                <w:sz w:val="16"/>
                <w:szCs w:val="16"/>
              </w:rPr>
              <w:t> </w:t>
            </w:r>
          </w:p>
        </w:tc>
        <w:tc>
          <w:tcPr>
            <w:tcW w:w="106" w:type="dxa"/>
            <w:tcBorders>
              <w:top w:val="nil"/>
              <w:left w:val="nil"/>
              <w:bottom w:val="nil"/>
              <w:right w:val="nil"/>
            </w:tcBorders>
            <w:shd w:val="clear" w:color="CFD4D8" w:fill="CFD4D8"/>
            <w:vAlign w:val="bottom"/>
          </w:tcPr>
          <w:p w:rsidR="009D1461" w:rsidRDefault="009D1461" w:rsidP="0073298C">
            <w:pPr>
              <w:spacing w:before="22" w:after="22"/>
              <w:ind w:left="22" w:right="22"/>
              <w:rPr>
                <w:color w:val="000000"/>
              </w:rPr>
            </w:pPr>
            <w:r>
              <w:rPr>
                <w:color w:val="000000"/>
              </w:rPr>
              <w:t> </w:t>
            </w:r>
          </w:p>
        </w:tc>
        <w:tc>
          <w:tcPr>
            <w:tcW w:w="1364" w:type="dxa"/>
            <w:tcBorders>
              <w:top w:val="nil"/>
              <w:left w:val="nil"/>
              <w:bottom w:val="nil"/>
              <w:right w:val="nil"/>
            </w:tcBorders>
            <w:shd w:val="clear" w:color="CFD4D8" w:fill="CFD4D8"/>
            <w:vAlign w:val="bottom"/>
          </w:tcPr>
          <w:p w:rsidR="009D1461" w:rsidRDefault="009D1461" w:rsidP="0073298C">
            <w:pPr>
              <w:spacing w:before="22" w:after="22"/>
              <w:ind w:left="22"/>
              <w:jc w:val="right"/>
              <w:rPr>
                <w:rFonts w:ascii="Arial" w:hAnsi="Arial" w:cs="Arial"/>
                <w:color w:val="000000"/>
                <w:sz w:val="18"/>
                <w:szCs w:val="18"/>
              </w:rPr>
            </w:pPr>
            <w:r>
              <w:rPr>
                <w:rFonts w:ascii="Arial" w:hAnsi="Arial" w:cs="Arial"/>
                <w:color w:val="000000"/>
                <w:sz w:val="18"/>
                <w:szCs w:val="18"/>
              </w:rPr>
              <w:t>8,835</w:t>
            </w:r>
          </w:p>
        </w:tc>
        <w:tc>
          <w:tcPr>
            <w:tcW w:w="301" w:type="dxa"/>
            <w:tcBorders>
              <w:top w:val="nil"/>
              <w:left w:val="nil"/>
              <w:bottom w:val="nil"/>
              <w:right w:val="single" w:sz="6" w:space="0" w:color="00467E"/>
            </w:tcBorders>
            <w:shd w:val="clear" w:color="CFD4D8" w:fill="CFD4D8"/>
            <w:vAlign w:val="bottom"/>
          </w:tcPr>
          <w:p w:rsidR="009D1461" w:rsidRDefault="009D1461" w:rsidP="0073298C">
            <w:pPr>
              <w:spacing w:before="22" w:after="22"/>
              <w:ind w:left="22"/>
              <w:jc w:val="right"/>
              <w:rPr>
                <w:rFonts w:ascii="Arial" w:hAnsi="Arial" w:cs="Arial"/>
                <w:color w:val="000000"/>
                <w:sz w:val="18"/>
                <w:szCs w:val="18"/>
              </w:rPr>
            </w:pPr>
          </w:p>
          <w:p w:rsidR="009D1461" w:rsidRDefault="009D1461" w:rsidP="0073298C">
            <w:pPr>
              <w:rPr>
                <w:sz w:val="16"/>
                <w:szCs w:val="16"/>
              </w:rPr>
            </w:pPr>
            <w:r>
              <w:rPr>
                <w:sz w:val="16"/>
                <w:szCs w:val="16"/>
              </w:rPr>
              <w:t> </w:t>
            </w:r>
          </w:p>
        </w:tc>
      </w:tr>
      <w:tr w:rsidR="009D1461" w:rsidTr="00D50DFC">
        <w:tblPrEx>
          <w:tblCellMar>
            <w:top w:w="0" w:type="dxa"/>
            <w:left w:w="0" w:type="dxa"/>
            <w:bottom w:w="0" w:type="dxa"/>
            <w:right w:w="0" w:type="dxa"/>
          </w:tblCellMar>
        </w:tblPrEx>
        <w:trPr>
          <w:trHeight w:val="281"/>
          <w:jc w:val="center"/>
        </w:trPr>
        <w:tc>
          <w:tcPr>
            <w:tcW w:w="6234" w:type="dxa"/>
            <w:tcBorders>
              <w:top w:val="nil"/>
              <w:left w:val="single" w:sz="6" w:space="0" w:color="00467E"/>
              <w:bottom w:val="nil"/>
              <w:right w:val="nil"/>
            </w:tcBorders>
            <w:vAlign w:val="bottom"/>
          </w:tcPr>
          <w:p w:rsidR="009D1461" w:rsidRDefault="009D1461" w:rsidP="0073298C">
            <w:pPr>
              <w:spacing w:before="22" w:after="22"/>
              <w:ind w:left="22" w:right="22"/>
              <w:rPr>
                <w:rFonts w:ascii="Arial" w:hAnsi="Arial" w:cs="Arial"/>
                <w:b/>
                <w:bCs w:val="0"/>
                <w:i/>
                <w:iCs/>
                <w:color w:val="9D1B11"/>
                <w:sz w:val="18"/>
                <w:szCs w:val="18"/>
              </w:rPr>
            </w:pPr>
            <w:r>
              <w:rPr>
                <w:rFonts w:ascii="Arial" w:hAnsi="Arial" w:cs="Arial"/>
                <w:b/>
                <w:bCs w:val="0"/>
                <w:i/>
                <w:iCs/>
                <w:color w:val="9D1B11"/>
                <w:sz w:val="18"/>
                <w:szCs w:val="18"/>
              </w:rPr>
              <w:t>2016</w:t>
            </w:r>
          </w:p>
        </w:tc>
        <w:tc>
          <w:tcPr>
            <w:tcW w:w="106" w:type="dxa"/>
            <w:tcBorders>
              <w:top w:val="nil"/>
              <w:left w:val="nil"/>
              <w:bottom w:val="nil"/>
              <w:right w:val="nil"/>
            </w:tcBorders>
            <w:vAlign w:val="bottom"/>
          </w:tcPr>
          <w:p w:rsidR="009D1461" w:rsidRDefault="009D1461" w:rsidP="0073298C">
            <w:pPr>
              <w:spacing w:before="22" w:after="22"/>
              <w:ind w:left="22" w:right="22"/>
              <w:rPr>
                <w:color w:val="000000"/>
              </w:rPr>
            </w:pPr>
            <w:r>
              <w:rPr>
                <w:color w:val="000000"/>
              </w:rPr>
              <w:t> </w:t>
            </w:r>
          </w:p>
        </w:tc>
        <w:tc>
          <w:tcPr>
            <w:tcW w:w="1369" w:type="dxa"/>
            <w:tcBorders>
              <w:top w:val="nil"/>
              <w:left w:val="nil"/>
              <w:bottom w:val="nil"/>
              <w:right w:val="nil"/>
            </w:tcBorders>
            <w:vAlign w:val="bottom"/>
          </w:tcPr>
          <w:p w:rsidR="009D1461" w:rsidRDefault="009D1461" w:rsidP="0073298C">
            <w:pPr>
              <w:spacing w:before="22" w:after="22"/>
              <w:ind w:left="22"/>
              <w:jc w:val="right"/>
              <w:rPr>
                <w:rFonts w:ascii="Arial" w:hAnsi="Arial" w:cs="Arial"/>
                <w:color w:val="000000"/>
                <w:sz w:val="18"/>
                <w:szCs w:val="18"/>
              </w:rPr>
            </w:pPr>
            <w:r>
              <w:rPr>
                <w:rFonts w:ascii="Arial" w:hAnsi="Arial" w:cs="Arial"/>
                <w:color w:val="000000"/>
                <w:sz w:val="18"/>
                <w:szCs w:val="18"/>
              </w:rPr>
              <w:t>5,185</w:t>
            </w:r>
          </w:p>
        </w:tc>
        <w:tc>
          <w:tcPr>
            <w:tcW w:w="330" w:type="dxa"/>
            <w:tcBorders>
              <w:top w:val="nil"/>
              <w:left w:val="nil"/>
              <w:bottom w:val="nil"/>
              <w:right w:val="nil"/>
            </w:tcBorders>
            <w:vAlign w:val="bottom"/>
          </w:tcPr>
          <w:p w:rsidR="009D1461" w:rsidRDefault="009D1461" w:rsidP="0073298C">
            <w:pPr>
              <w:spacing w:before="22" w:after="22"/>
              <w:ind w:left="22"/>
              <w:jc w:val="right"/>
              <w:rPr>
                <w:rFonts w:ascii="Arial" w:hAnsi="Arial" w:cs="Arial"/>
                <w:color w:val="000000"/>
                <w:sz w:val="18"/>
                <w:szCs w:val="18"/>
              </w:rPr>
            </w:pPr>
          </w:p>
          <w:p w:rsidR="009D1461" w:rsidRDefault="009D1461" w:rsidP="0073298C">
            <w:pPr>
              <w:rPr>
                <w:sz w:val="16"/>
                <w:szCs w:val="16"/>
              </w:rPr>
            </w:pPr>
            <w:r>
              <w:rPr>
                <w:sz w:val="16"/>
                <w:szCs w:val="16"/>
              </w:rPr>
              <w:t> </w:t>
            </w:r>
          </w:p>
        </w:tc>
        <w:tc>
          <w:tcPr>
            <w:tcW w:w="106" w:type="dxa"/>
            <w:tcBorders>
              <w:top w:val="nil"/>
              <w:left w:val="nil"/>
              <w:bottom w:val="nil"/>
              <w:right w:val="nil"/>
            </w:tcBorders>
            <w:vAlign w:val="bottom"/>
          </w:tcPr>
          <w:p w:rsidR="009D1461" w:rsidRDefault="009D1461" w:rsidP="0073298C">
            <w:pPr>
              <w:spacing w:before="22" w:after="22"/>
              <w:ind w:left="22" w:right="22"/>
              <w:rPr>
                <w:color w:val="000000"/>
              </w:rPr>
            </w:pPr>
            <w:r>
              <w:rPr>
                <w:color w:val="000000"/>
              </w:rPr>
              <w:t> </w:t>
            </w:r>
          </w:p>
        </w:tc>
        <w:tc>
          <w:tcPr>
            <w:tcW w:w="1364" w:type="dxa"/>
            <w:tcBorders>
              <w:top w:val="nil"/>
              <w:left w:val="nil"/>
              <w:bottom w:val="nil"/>
              <w:right w:val="nil"/>
            </w:tcBorders>
            <w:vAlign w:val="bottom"/>
          </w:tcPr>
          <w:p w:rsidR="009D1461" w:rsidRDefault="009D1461" w:rsidP="0073298C">
            <w:pPr>
              <w:spacing w:before="22" w:after="22"/>
              <w:ind w:left="22"/>
              <w:jc w:val="right"/>
              <w:rPr>
                <w:rFonts w:ascii="Arial" w:hAnsi="Arial" w:cs="Arial"/>
                <w:color w:val="000000"/>
                <w:sz w:val="18"/>
                <w:szCs w:val="18"/>
              </w:rPr>
            </w:pPr>
            <w:r>
              <w:rPr>
                <w:rFonts w:ascii="Arial" w:hAnsi="Arial" w:cs="Arial"/>
                <w:color w:val="000000"/>
                <w:sz w:val="18"/>
                <w:szCs w:val="18"/>
              </w:rPr>
              <w:t>6,913</w:t>
            </w:r>
          </w:p>
        </w:tc>
        <w:tc>
          <w:tcPr>
            <w:tcW w:w="301" w:type="dxa"/>
            <w:tcBorders>
              <w:top w:val="nil"/>
              <w:left w:val="nil"/>
              <w:bottom w:val="nil"/>
              <w:right w:val="single" w:sz="6" w:space="0" w:color="00467E"/>
            </w:tcBorders>
            <w:vAlign w:val="bottom"/>
          </w:tcPr>
          <w:p w:rsidR="009D1461" w:rsidRDefault="009D1461" w:rsidP="0073298C">
            <w:pPr>
              <w:spacing w:before="22" w:after="22"/>
              <w:ind w:left="22"/>
              <w:jc w:val="right"/>
              <w:rPr>
                <w:rFonts w:ascii="Arial" w:hAnsi="Arial" w:cs="Arial"/>
                <w:color w:val="000000"/>
                <w:sz w:val="18"/>
                <w:szCs w:val="18"/>
              </w:rPr>
            </w:pPr>
          </w:p>
          <w:p w:rsidR="009D1461" w:rsidRDefault="009D1461" w:rsidP="0073298C">
            <w:pPr>
              <w:rPr>
                <w:sz w:val="16"/>
                <w:szCs w:val="16"/>
              </w:rPr>
            </w:pPr>
            <w:r>
              <w:rPr>
                <w:sz w:val="16"/>
                <w:szCs w:val="16"/>
              </w:rPr>
              <w:t> </w:t>
            </w:r>
          </w:p>
        </w:tc>
      </w:tr>
      <w:tr w:rsidR="009D1461" w:rsidTr="00D50DFC">
        <w:tblPrEx>
          <w:tblCellMar>
            <w:top w:w="0" w:type="dxa"/>
            <w:left w:w="0" w:type="dxa"/>
            <w:bottom w:w="0" w:type="dxa"/>
            <w:right w:w="0" w:type="dxa"/>
          </w:tblCellMar>
        </w:tblPrEx>
        <w:trPr>
          <w:trHeight w:val="281"/>
          <w:jc w:val="center"/>
        </w:trPr>
        <w:tc>
          <w:tcPr>
            <w:tcW w:w="6234" w:type="dxa"/>
            <w:tcBorders>
              <w:top w:val="nil"/>
              <w:left w:val="single" w:sz="6" w:space="0" w:color="00467E"/>
              <w:bottom w:val="nil"/>
              <w:right w:val="nil"/>
            </w:tcBorders>
            <w:shd w:val="clear" w:color="CFD4D8" w:fill="CFD4D8"/>
            <w:vAlign w:val="bottom"/>
          </w:tcPr>
          <w:p w:rsidR="009D1461" w:rsidRDefault="009D1461" w:rsidP="0073298C">
            <w:pPr>
              <w:spacing w:before="22" w:after="22"/>
              <w:ind w:left="22" w:right="22"/>
              <w:rPr>
                <w:rFonts w:ascii="Arial" w:hAnsi="Arial" w:cs="Arial"/>
                <w:b/>
                <w:bCs w:val="0"/>
                <w:i/>
                <w:iCs/>
                <w:color w:val="9D1B11"/>
                <w:sz w:val="18"/>
                <w:szCs w:val="18"/>
              </w:rPr>
            </w:pPr>
            <w:r>
              <w:rPr>
                <w:rFonts w:ascii="Arial" w:hAnsi="Arial" w:cs="Arial"/>
                <w:b/>
                <w:bCs w:val="0"/>
                <w:i/>
                <w:iCs/>
                <w:color w:val="9D1B11"/>
                <w:sz w:val="18"/>
                <w:szCs w:val="18"/>
              </w:rPr>
              <w:t>2015</w:t>
            </w:r>
          </w:p>
        </w:tc>
        <w:tc>
          <w:tcPr>
            <w:tcW w:w="106" w:type="dxa"/>
            <w:tcBorders>
              <w:top w:val="nil"/>
              <w:left w:val="nil"/>
              <w:bottom w:val="nil"/>
              <w:right w:val="nil"/>
            </w:tcBorders>
            <w:shd w:val="clear" w:color="CFD4D8" w:fill="CFD4D8"/>
            <w:vAlign w:val="bottom"/>
          </w:tcPr>
          <w:p w:rsidR="009D1461" w:rsidRDefault="009D1461" w:rsidP="0073298C">
            <w:pPr>
              <w:spacing w:before="22" w:after="22"/>
              <w:ind w:left="22" w:right="22"/>
              <w:rPr>
                <w:color w:val="000000"/>
              </w:rPr>
            </w:pPr>
            <w:r>
              <w:rPr>
                <w:color w:val="000000"/>
              </w:rPr>
              <w:t> </w:t>
            </w:r>
          </w:p>
        </w:tc>
        <w:tc>
          <w:tcPr>
            <w:tcW w:w="1369" w:type="dxa"/>
            <w:tcBorders>
              <w:top w:val="nil"/>
              <w:left w:val="nil"/>
              <w:bottom w:val="nil"/>
              <w:right w:val="nil"/>
            </w:tcBorders>
            <w:shd w:val="clear" w:color="CFD4D8" w:fill="CFD4D8"/>
            <w:vAlign w:val="bottom"/>
          </w:tcPr>
          <w:p w:rsidR="009D1461" w:rsidRDefault="009D1461" w:rsidP="0073298C">
            <w:pPr>
              <w:spacing w:before="22" w:after="22"/>
              <w:ind w:left="22"/>
              <w:jc w:val="right"/>
              <w:rPr>
                <w:rFonts w:ascii="Arial" w:hAnsi="Arial" w:cs="Arial"/>
                <w:color w:val="000000"/>
                <w:sz w:val="18"/>
                <w:szCs w:val="18"/>
              </w:rPr>
            </w:pPr>
            <w:r>
              <w:rPr>
                <w:rFonts w:ascii="Arial" w:hAnsi="Arial" w:cs="Arial"/>
                <w:color w:val="000000"/>
                <w:sz w:val="18"/>
                <w:szCs w:val="18"/>
              </w:rPr>
              <w:t>4,968</w:t>
            </w:r>
          </w:p>
        </w:tc>
        <w:tc>
          <w:tcPr>
            <w:tcW w:w="330" w:type="dxa"/>
            <w:tcBorders>
              <w:top w:val="nil"/>
              <w:left w:val="nil"/>
              <w:bottom w:val="nil"/>
              <w:right w:val="nil"/>
            </w:tcBorders>
            <w:shd w:val="clear" w:color="CFD4D8" w:fill="CFD4D8"/>
            <w:vAlign w:val="bottom"/>
          </w:tcPr>
          <w:p w:rsidR="009D1461" w:rsidRDefault="009D1461" w:rsidP="0073298C">
            <w:pPr>
              <w:spacing w:before="22" w:after="22"/>
              <w:ind w:left="22"/>
              <w:jc w:val="right"/>
              <w:rPr>
                <w:rFonts w:ascii="Arial" w:hAnsi="Arial" w:cs="Arial"/>
                <w:color w:val="000000"/>
                <w:sz w:val="18"/>
                <w:szCs w:val="18"/>
              </w:rPr>
            </w:pPr>
          </w:p>
          <w:p w:rsidR="009D1461" w:rsidRDefault="009D1461" w:rsidP="0073298C">
            <w:pPr>
              <w:rPr>
                <w:sz w:val="16"/>
                <w:szCs w:val="16"/>
              </w:rPr>
            </w:pPr>
            <w:r>
              <w:rPr>
                <w:sz w:val="16"/>
                <w:szCs w:val="16"/>
              </w:rPr>
              <w:t> </w:t>
            </w:r>
          </w:p>
        </w:tc>
        <w:tc>
          <w:tcPr>
            <w:tcW w:w="106" w:type="dxa"/>
            <w:tcBorders>
              <w:top w:val="nil"/>
              <w:left w:val="nil"/>
              <w:bottom w:val="nil"/>
              <w:right w:val="nil"/>
            </w:tcBorders>
            <w:shd w:val="clear" w:color="CFD4D8" w:fill="CFD4D8"/>
            <w:vAlign w:val="bottom"/>
          </w:tcPr>
          <w:p w:rsidR="009D1461" w:rsidRDefault="009D1461" w:rsidP="0073298C">
            <w:pPr>
              <w:spacing w:before="22" w:after="22"/>
              <w:ind w:left="22" w:right="22"/>
              <w:rPr>
                <w:color w:val="000000"/>
              </w:rPr>
            </w:pPr>
            <w:r>
              <w:rPr>
                <w:color w:val="000000"/>
              </w:rPr>
              <w:t> </w:t>
            </w:r>
          </w:p>
        </w:tc>
        <w:tc>
          <w:tcPr>
            <w:tcW w:w="1364" w:type="dxa"/>
            <w:tcBorders>
              <w:top w:val="nil"/>
              <w:left w:val="nil"/>
              <w:bottom w:val="nil"/>
              <w:right w:val="nil"/>
            </w:tcBorders>
            <w:shd w:val="clear" w:color="CFD4D8" w:fill="CFD4D8"/>
            <w:vAlign w:val="bottom"/>
          </w:tcPr>
          <w:p w:rsidR="009D1461" w:rsidRDefault="009D1461" w:rsidP="0073298C">
            <w:pPr>
              <w:spacing w:before="22" w:after="22"/>
              <w:ind w:left="22"/>
              <w:jc w:val="right"/>
              <w:rPr>
                <w:rFonts w:ascii="Arial" w:hAnsi="Arial" w:cs="Arial"/>
                <w:color w:val="000000"/>
                <w:sz w:val="18"/>
                <w:szCs w:val="18"/>
              </w:rPr>
            </w:pPr>
            <w:r>
              <w:rPr>
                <w:rFonts w:ascii="Arial" w:hAnsi="Arial" w:cs="Arial"/>
                <w:color w:val="000000"/>
                <w:sz w:val="18"/>
                <w:szCs w:val="18"/>
              </w:rPr>
              <w:t>8,846</w:t>
            </w:r>
          </w:p>
        </w:tc>
        <w:tc>
          <w:tcPr>
            <w:tcW w:w="301" w:type="dxa"/>
            <w:tcBorders>
              <w:top w:val="nil"/>
              <w:left w:val="nil"/>
              <w:bottom w:val="nil"/>
              <w:right w:val="single" w:sz="6" w:space="0" w:color="00467E"/>
            </w:tcBorders>
            <w:shd w:val="clear" w:color="CFD4D8" w:fill="CFD4D8"/>
            <w:vAlign w:val="bottom"/>
          </w:tcPr>
          <w:p w:rsidR="009D1461" w:rsidRDefault="009D1461" w:rsidP="0073298C">
            <w:pPr>
              <w:spacing w:before="22" w:after="22"/>
              <w:ind w:left="22"/>
              <w:jc w:val="right"/>
              <w:rPr>
                <w:rFonts w:ascii="Arial" w:hAnsi="Arial" w:cs="Arial"/>
                <w:color w:val="000000"/>
                <w:sz w:val="18"/>
                <w:szCs w:val="18"/>
              </w:rPr>
            </w:pPr>
          </w:p>
          <w:p w:rsidR="009D1461" w:rsidRDefault="009D1461" w:rsidP="0073298C">
            <w:pPr>
              <w:rPr>
                <w:sz w:val="16"/>
                <w:szCs w:val="16"/>
              </w:rPr>
            </w:pPr>
            <w:r>
              <w:rPr>
                <w:sz w:val="16"/>
                <w:szCs w:val="16"/>
              </w:rPr>
              <w:t> </w:t>
            </w:r>
          </w:p>
        </w:tc>
      </w:tr>
      <w:tr w:rsidR="009D1461" w:rsidTr="00D50DFC">
        <w:tblPrEx>
          <w:tblCellMar>
            <w:top w:w="0" w:type="dxa"/>
            <w:left w:w="0" w:type="dxa"/>
            <w:bottom w:w="0" w:type="dxa"/>
            <w:right w:w="0" w:type="dxa"/>
          </w:tblCellMar>
        </w:tblPrEx>
        <w:trPr>
          <w:trHeight w:val="281"/>
          <w:jc w:val="center"/>
        </w:trPr>
        <w:tc>
          <w:tcPr>
            <w:tcW w:w="6234" w:type="dxa"/>
            <w:tcBorders>
              <w:top w:val="nil"/>
              <w:left w:val="single" w:sz="6" w:space="0" w:color="00467E"/>
              <w:bottom w:val="nil"/>
              <w:right w:val="nil"/>
            </w:tcBorders>
            <w:vAlign w:val="bottom"/>
          </w:tcPr>
          <w:p w:rsidR="009D1461" w:rsidRDefault="009D1461" w:rsidP="0073298C">
            <w:pPr>
              <w:spacing w:before="22" w:after="22"/>
              <w:ind w:left="22" w:right="22"/>
              <w:rPr>
                <w:rFonts w:ascii="Arial" w:hAnsi="Arial" w:cs="Arial"/>
                <w:b/>
                <w:bCs w:val="0"/>
                <w:i/>
                <w:iCs/>
                <w:color w:val="9D1B11"/>
                <w:sz w:val="18"/>
                <w:szCs w:val="18"/>
              </w:rPr>
            </w:pPr>
            <w:r>
              <w:rPr>
                <w:rFonts w:ascii="Arial" w:hAnsi="Arial" w:cs="Arial"/>
                <w:b/>
                <w:bCs w:val="0"/>
                <w:i/>
                <w:iCs/>
                <w:color w:val="9D1B11"/>
                <w:sz w:val="18"/>
                <w:szCs w:val="18"/>
              </w:rPr>
              <w:t>2014</w:t>
            </w:r>
          </w:p>
        </w:tc>
        <w:tc>
          <w:tcPr>
            <w:tcW w:w="106" w:type="dxa"/>
            <w:tcBorders>
              <w:top w:val="nil"/>
              <w:left w:val="nil"/>
              <w:bottom w:val="nil"/>
              <w:right w:val="nil"/>
            </w:tcBorders>
            <w:vAlign w:val="bottom"/>
          </w:tcPr>
          <w:p w:rsidR="009D1461" w:rsidRDefault="009D1461" w:rsidP="0073298C">
            <w:pPr>
              <w:spacing w:before="22" w:after="22"/>
              <w:ind w:left="22" w:right="22"/>
              <w:rPr>
                <w:color w:val="000000"/>
              </w:rPr>
            </w:pPr>
            <w:r>
              <w:rPr>
                <w:color w:val="000000"/>
              </w:rPr>
              <w:t> </w:t>
            </w:r>
          </w:p>
        </w:tc>
        <w:tc>
          <w:tcPr>
            <w:tcW w:w="1369" w:type="dxa"/>
            <w:tcBorders>
              <w:top w:val="nil"/>
              <w:left w:val="nil"/>
              <w:bottom w:val="nil"/>
              <w:right w:val="nil"/>
            </w:tcBorders>
            <w:vAlign w:val="bottom"/>
          </w:tcPr>
          <w:p w:rsidR="009D1461" w:rsidRDefault="009D1461" w:rsidP="0073298C">
            <w:pPr>
              <w:spacing w:before="22" w:after="22"/>
              <w:ind w:left="22"/>
              <w:jc w:val="right"/>
              <w:rPr>
                <w:rFonts w:ascii="Arial" w:hAnsi="Arial" w:cs="Arial"/>
                <w:color w:val="000000"/>
                <w:sz w:val="18"/>
                <w:szCs w:val="18"/>
              </w:rPr>
            </w:pPr>
            <w:r>
              <w:rPr>
                <w:rFonts w:ascii="Arial" w:hAnsi="Arial" w:cs="Arial"/>
                <w:color w:val="000000"/>
                <w:sz w:val="18"/>
                <w:szCs w:val="18"/>
              </w:rPr>
              <w:t>2,223</w:t>
            </w:r>
          </w:p>
        </w:tc>
        <w:tc>
          <w:tcPr>
            <w:tcW w:w="330" w:type="dxa"/>
            <w:tcBorders>
              <w:top w:val="nil"/>
              <w:left w:val="nil"/>
              <w:bottom w:val="nil"/>
              <w:right w:val="nil"/>
            </w:tcBorders>
            <w:vAlign w:val="bottom"/>
          </w:tcPr>
          <w:p w:rsidR="009D1461" w:rsidRDefault="009D1461" w:rsidP="0073298C">
            <w:pPr>
              <w:spacing w:before="22" w:after="22"/>
              <w:ind w:left="22"/>
              <w:jc w:val="right"/>
              <w:rPr>
                <w:rFonts w:ascii="Arial" w:hAnsi="Arial" w:cs="Arial"/>
                <w:color w:val="000000"/>
                <w:sz w:val="18"/>
                <w:szCs w:val="18"/>
              </w:rPr>
            </w:pPr>
          </w:p>
          <w:p w:rsidR="009D1461" w:rsidRDefault="009D1461" w:rsidP="0073298C">
            <w:pPr>
              <w:rPr>
                <w:sz w:val="16"/>
                <w:szCs w:val="16"/>
              </w:rPr>
            </w:pPr>
            <w:r>
              <w:rPr>
                <w:sz w:val="16"/>
                <w:szCs w:val="16"/>
              </w:rPr>
              <w:t> </w:t>
            </w:r>
          </w:p>
        </w:tc>
        <w:tc>
          <w:tcPr>
            <w:tcW w:w="106" w:type="dxa"/>
            <w:tcBorders>
              <w:top w:val="nil"/>
              <w:left w:val="nil"/>
              <w:bottom w:val="nil"/>
              <w:right w:val="nil"/>
            </w:tcBorders>
            <w:vAlign w:val="bottom"/>
          </w:tcPr>
          <w:p w:rsidR="009D1461" w:rsidRDefault="009D1461" w:rsidP="0073298C">
            <w:pPr>
              <w:spacing w:before="22" w:after="22"/>
              <w:ind w:left="22" w:right="22"/>
              <w:rPr>
                <w:color w:val="000000"/>
              </w:rPr>
            </w:pPr>
            <w:r>
              <w:rPr>
                <w:color w:val="000000"/>
              </w:rPr>
              <w:t> </w:t>
            </w:r>
          </w:p>
        </w:tc>
        <w:tc>
          <w:tcPr>
            <w:tcW w:w="1364" w:type="dxa"/>
            <w:tcBorders>
              <w:top w:val="nil"/>
              <w:left w:val="nil"/>
              <w:bottom w:val="nil"/>
              <w:right w:val="nil"/>
            </w:tcBorders>
            <w:vAlign w:val="bottom"/>
          </w:tcPr>
          <w:p w:rsidR="009D1461" w:rsidRDefault="009D1461" w:rsidP="0073298C">
            <w:pPr>
              <w:spacing w:before="22" w:after="22"/>
              <w:ind w:left="22"/>
              <w:jc w:val="right"/>
              <w:rPr>
                <w:rFonts w:ascii="Arial" w:hAnsi="Arial" w:cs="Arial"/>
                <w:color w:val="000000"/>
                <w:sz w:val="18"/>
                <w:szCs w:val="18"/>
              </w:rPr>
            </w:pPr>
            <w:r>
              <w:rPr>
                <w:rFonts w:ascii="Arial" w:hAnsi="Arial" w:cs="Arial"/>
                <w:color w:val="000000"/>
                <w:sz w:val="18"/>
                <w:szCs w:val="18"/>
              </w:rPr>
              <w:t>5,624</w:t>
            </w:r>
          </w:p>
        </w:tc>
        <w:tc>
          <w:tcPr>
            <w:tcW w:w="301" w:type="dxa"/>
            <w:tcBorders>
              <w:top w:val="nil"/>
              <w:left w:val="nil"/>
              <w:bottom w:val="nil"/>
              <w:right w:val="single" w:sz="6" w:space="0" w:color="00467E"/>
            </w:tcBorders>
            <w:vAlign w:val="bottom"/>
          </w:tcPr>
          <w:p w:rsidR="009D1461" w:rsidRDefault="009D1461" w:rsidP="0073298C">
            <w:pPr>
              <w:spacing w:before="22" w:after="22"/>
              <w:ind w:left="22"/>
              <w:jc w:val="right"/>
              <w:rPr>
                <w:rFonts w:ascii="Arial" w:hAnsi="Arial" w:cs="Arial"/>
                <w:color w:val="000000"/>
                <w:sz w:val="18"/>
                <w:szCs w:val="18"/>
              </w:rPr>
            </w:pPr>
          </w:p>
          <w:p w:rsidR="009D1461" w:rsidRDefault="009D1461" w:rsidP="0073298C">
            <w:pPr>
              <w:rPr>
                <w:sz w:val="16"/>
                <w:szCs w:val="16"/>
              </w:rPr>
            </w:pPr>
            <w:r>
              <w:rPr>
                <w:sz w:val="16"/>
                <w:szCs w:val="16"/>
              </w:rPr>
              <w:t> </w:t>
            </w:r>
          </w:p>
        </w:tc>
      </w:tr>
      <w:tr w:rsidR="009D1461" w:rsidTr="00D50DFC">
        <w:tblPrEx>
          <w:tblCellMar>
            <w:top w:w="0" w:type="dxa"/>
            <w:left w:w="0" w:type="dxa"/>
            <w:bottom w:w="0" w:type="dxa"/>
            <w:right w:w="0" w:type="dxa"/>
          </w:tblCellMar>
        </w:tblPrEx>
        <w:trPr>
          <w:trHeight w:val="281"/>
          <w:jc w:val="center"/>
        </w:trPr>
        <w:tc>
          <w:tcPr>
            <w:tcW w:w="6234" w:type="dxa"/>
            <w:tcBorders>
              <w:top w:val="nil"/>
              <w:left w:val="single" w:sz="6" w:space="0" w:color="00467E"/>
              <w:bottom w:val="nil"/>
              <w:right w:val="nil"/>
            </w:tcBorders>
            <w:shd w:val="clear" w:color="CFD4D8" w:fill="CFD4D8"/>
            <w:vAlign w:val="bottom"/>
          </w:tcPr>
          <w:p w:rsidR="009D1461" w:rsidRDefault="009D1461" w:rsidP="0073298C">
            <w:pPr>
              <w:spacing w:before="22" w:after="22"/>
              <w:ind w:left="22" w:right="22"/>
              <w:rPr>
                <w:rFonts w:ascii="Arial" w:hAnsi="Arial" w:cs="Arial"/>
                <w:b/>
                <w:bCs w:val="0"/>
                <w:i/>
                <w:iCs/>
                <w:color w:val="9D1B11"/>
                <w:sz w:val="18"/>
                <w:szCs w:val="18"/>
              </w:rPr>
            </w:pPr>
            <w:r>
              <w:rPr>
                <w:rFonts w:ascii="Arial" w:hAnsi="Arial" w:cs="Arial"/>
                <w:b/>
                <w:bCs w:val="0"/>
                <w:i/>
                <w:iCs/>
                <w:color w:val="9D1B11"/>
                <w:sz w:val="18"/>
                <w:szCs w:val="18"/>
              </w:rPr>
              <w:t>2013</w:t>
            </w:r>
          </w:p>
        </w:tc>
        <w:tc>
          <w:tcPr>
            <w:tcW w:w="106" w:type="dxa"/>
            <w:tcBorders>
              <w:top w:val="nil"/>
              <w:left w:val="nil"/>
              <w:bottom w:val="nil"/>
              <w:right w:val="nil"/>
            </w:tcBorders>
            <w:shd w:val="clear" w:color="CFD4D8" w:fill="CFD4D8"/>
            <w:vAlign w:val="bottom"/>
          </w:tcPr>
          <w:p w:rsidR="009D1461" w:rsidRDefault="009D1461" w:rsidP="0073298C">
            <w:pPr>
              <w:spacing w:before="22" w:after="22"/>
              <w:ind w:left="22" w:right="22"/>
              <w:rPr>
                <w:color w:val="000000"/>
              </w:rPr>
            </w:pPr>
            <w:r>
              <w:rPr>
                <w:color w:val="000000"/>
              </w:rPr>
              <w:t> </w:t>
            </w:r>
          </w:p>
        </w:tc>
        <w:tc>
          <w:tcPr>
            <w:tcW w:w="1369" w:type="dxa"/>
            <w:tcBorders>
              <w:top w:val="nil"/>
              <w:left w:val="nil"/>
              <w:bottom w:val="nil"/>
              <w:right w:val="nil"/>
            </w:tcBorders>
            <w:shd w:val="clear" w:color="CFD4D8" w:fill="CFD4D8"/>
            <w:vAlign w:val="bottom"/>
          </w:tcPr>
          <w:p w:rsidR="009D1461" w:rsidRDefault="009D1461" w:rsidP="0073298C">
            <w:pPr>
              <w:spacing w:before="22" w:after="22"/>
              <w:ind w:left="22"/>
              <w:jc w:val="right"/>
              <w:rPr>
                <w:rFonts w:ascii="Arial" w:hAnsi="Arial" w:cs="Arial"/>
                <w:color w:val="000000"/>
                <w:sz w:val="18"/>
                <w:szCs w:val="18"/>
              </w:rPr>
            </w:pPr>
            <w:r>
              <w:rPr>
                <w:rFonts w:ascii="Arial" w:hAnsi="Arial" w:cs="Arial"/>
                <w:color w:val="000000"/>
                <w:sz w:val="18"/>
                <w:szCs w:val="18"/>
              </w:rPr>
              <w:t>374</w:t>
            </w:r>
          </w:p>
        </w:tc>
        <w:tc>
          <w:tcPr>
            <w:tcW w:w="330" w:type="dxa"/>
            <w:tcBorders>
              <w:top w:val="nil"/>
              <w:left w:val="nil"/>
              <w:bottom w:val="nil"/>
              <w:right w:val="nil"/>
            </w:tcBorders>
            <w:shd w:val="clear" w:color="CFD4D8" w:fill="CFD4D8"/>
            <w:vAlign w:val="bottom"/>
          </w:tcPr>
          <w:p w:rsidR="009D1461" w:rsidRDefault="009D1461" w:rsidP="0073298C">
            <w:pPr>
              <w:spacing w:before="22" w:after="22"/>
              <w:ind w:left="22"/>
              <w:jc w:val="right"/>
              <w:rPr>
                <w:rFonts w:ascii="Arial" w:hAnsi="Arial" w:cs="Arial"/>
                <w:color w:val="000000"/>
                <w:sz w:val="18"/>
                <w:szCs w:val="18"/>
              </w:rPr>
            </w:pPr>
          </w:p>
          <w:p w:rsidR="009D1461" w:rsidRDefault="009D1461" w:rsidP="0073298C">
            <w:pPr>
              <w:rPr>
                <w:sz w:val="16"/>
                <w:szCs w:val="16"/>
              </w:rPr>
            </w:pPr>
            <w:r>
              <w:rPr>
                <w:sz w:val="16"/>
                <w:szCs w:val="16"/>
              </w:rPr>
              <w:t> </w:t>
            </w:r>
          </w:p>
        </w:tc>
        <w:tc>
          <w:tcPr>
            <w:tcW w:w="106" w:type="dxa"/>
            <w:tcBorders>
              <w:top w:val="nil"/>
              <w:left w:val="nil"/>
              <w:bottom w:val="nil"/>
              <w:right w:val="nil"/>
            </w:tcBorders>
            <w:shd w:val="clear" w:color="CFD4D8" w:fill="CFD4D8"/>
            <w:vAlign w:val="bottom"/>
          </w:tcPr>
          <w:p w:rsidR="009D1461" w:rsidRDefault="009D1461" w:rsidP="0073298C">
            <w:pPr>
              <w:spacing w:before="22" w:after="22"/>
              <w:ind w:left="22" w:right="22"/>
              <w:rPr>
                <w:color w:val="000000"/>
              </w:rPr>
            </w:pPr>
            <w:r>
              <w:rPr>
                <w:color w:val="000000"/>
              </w:rPr>
              <w:t> </w:t>
            </w:r>
          </w:p>
        </w:tc>
        <w:tc>
          <w:tcPr>
            <w:tcW w:w="1364" w:type="dxa"/>
            <w:tcBorders>
              <w:top w:val="nil"/>
              <w:left w:val="nil"/>
              <w:bottom w:val="nil"/>
              <w:right w:val="nil"/>
            </w:tcBorders>
            <w:shd w:val="clear" w:color="CFD4D8" w:fill="CFD4D8"/>
            <w:vAlign w:val="bottom"/>
          </w:tcPr>
          <w:p w:rsidR="009D1461" w:rsidRDefault="009D1461" w:rsidP="0073298C">
            <w:pPr>
              <w:spacing w:before="22" w:after="22"/>
              <w:ind w:left="22"/>
              <w:jc w:val="right"/>
              <w:rPr>
                <w:rFonts w:ascii="Arial" w:hAnsi="Arial" w:cs="Arial"/>
                <w:color w:val="000000"/>
                <w:sz w:val="18"/>
                <w:szCs w:val="18"/>
              </w:rPr>
            </w:pPr>
            <w:r>
              <w:rPr>
                <w:rFonts w:ascii="Arial" w:hAnsi="Arial" w:cs="Arial"/>
                <w:color w:val="000000"/>
                <w:sz w:val="18"/>
                <w:szCs w:val="18"/>
              </w:rPr>
              <w:t>5,666</w:t>
            </w:r>
          </w:p>
        </w:tc>
        <w:tc>
          <w:tcPr>
            <w:tcW w:w="301" w:type="dxa"/>
            <w:tcBorders>
              <w:top w:val="nil"/>
              <w:left w:val="nil"/>
              <w:bottom w:val="nil"/>
              <w:right w:val="single" w:sz="6" w:space="0" w:color="00467E"/>
            </w:tcBorders>
            <w:shd w:val="clear" w:color="CFD4D8" w:fill="CFD4D8"/>
            <w:vAlign w:val="bottom"/>
          </w:tcPr>
          <w:p w:rsidR="009D1461" w:rsidRDefault="009D1461" w:rsidP="0073298C">
            <w:pPr>
              <w:spacing w:before="22" w:after="22"/>
              <w:ind w:left="22"/>
              <w:jc w:val="right"/>
              <w:rPr>
                <w:rFonts w:ascii="Arial" w:hAnsi="Arial" w:cs="Arial"/>
                <w:color w:val="000000"/>
                <w:sz w:val="18"/>
                <w:szCs w:val="18"/>
              </w:rPr>
            </w:pPr>
          </w:p>
          <w:p w:rsidR="009D1461" w:rsidRDefault="009D1461" w:rsidP="0073298C">
            <w:pPr>
              <w:rPr>
                <w:sz w:val="16"/>
                <w:szCs w:val="16"/>
              </w:rPr>
            </w:pPr>
            <w:r>
              <w:rPr>
                <w:sz w:val="16"/>
                <w:szCs w:val="16"/>
              </w:rPr>
              <w:t> </w:t>
            </w:r>
          </w:p>
        </w:tc>
      </w:tr>
      <w:tr w:rsidR="009D1461" w:rsidTr="00D50DFC">
        <w:tblPrEx>
          <w:tblCellMar>
            <w:top w:w="0" w:type="dxa"/>
            <w:left w:w="0" w:type="dxa"/>
            <w:bottom w:w="0" w:type="dxa"/>
            <w:right w:w="0" w:type="dxa"/>
          </w:tblCellMar>
        </w:tblPrEx>
        <w:trPr>
          <w:trHeight w:val="281"/>
          <w:jc w:val="center"/>
        </w:trPr>
        <w:tc>
          <w:tcPr>
            <w:tcW w:w="6234" w:type="dxa"/>
            <w:tcBorders>
              <w:top w:val="nil"/>
              <w:left w:val="single" w:sz="6" w:space="0" w:color="00467E"/>
              <w:bottom w:val="nil"/>
              <w:right w:val="nil"/>
            </w:tcBorders>
            <w:vAlign w:val="bottom"/>
          </w:tcPr>
          <w:p w:rsidR="009D1461" w:rsidRDefault="009D1461" w:rsidP="0073298C">
            <w:pPr>
              <w:spacing w:before="22" w:after="22"/>
              <w:ind w:left="22" w:right="22"/>
              <w:rPr>
                <w:rFonts w:ascii="Arial" w:hAnsi="Arial" w:cs="Arial"/>
                <w:b/>
                <w:bCs w:val="0"/>
                <w:i/>
                <w:iCs/>
                <w:color w:val="9D1B11"/>
                <w:sz w:val="18"/>
                <w:szCs w:val="18"/>
              </w:rPr>
            </w:pPr>
            <w:r>
              <w:rPr>
                <w:rFonts w:ascii="Arial" w:hAnsi="Arial" w:cs="Arial"/>
                <w:b/>
                <w:bCs w:val="0"/>
                <w:i/>
                <w:iCs/>
                <w:color w:val="9D1B11"/>
                <w:sz w:val="18"/>
                <w:szCs w:val="18"/>
              </w:rPr>
              <w:t>2012</w:t>
            </w:r>
          </w:p>
        </w:tc>
        <w:tc>
          <w:tcPr>
            <w:tcW w:w="106" w:type="dxa"/>
            <w:tcBorders>
              <w:top w:val="nil"/>
              <w:left w:val="nil"/>
              <w:bottom w:val="nil"/>
              <w:right w:val="nil"/>
            </w:tcBorders>
            <w:vAlign w:val="bottom"/>
          </w:tcPr>
          <w:p w:rsidR="009D1461" w:rsidRDefault="009D1461" w:rsidP="0073298C">
            <w:pPr>
              <w:spacing w:before="22" w:after="22"/>
              <w:ind w:left="22" w:right="22"/>
              <w:rPr>
                <w:color w:val="000000"/>
              </w:rPr>
            </w:pPr>
            <w:r>
              <w:rPr>
                <w:color w:val="000000"/>
              </w:rPr>
              <w:t> </w:t>
            </w:r>
          </w:p>
        </w:tc>
        <w:tc>
          <w:tcPr>
            <w:tcW w:w="1369" w:type="dxa"/>
            <w:tcBorders>
              <w:top w:val="nil"/>
              <w:left w:val="nil"/>
              <w:bottom w:val="nil"/>
              <w:right w:val="nil"/>
            </w:tcBorders>
            <w:vAlign w:val="bottom"/>
          </w:tcPr>
          <w:p w:rsidR="009D1461" w:rsidRDefault="009D1461" w:rsidP="0073298C">
            <w:pPr>
              <w:spacing w:before="22" w:after="22"/>
              <w:ind w:left="22"/>
              <w:jc w:val="right"/>
              <w:rPr>
                <w:rFonts w:ascii="Arial" w:hAnsi="Arial" w:cs="Arial"/>
                <w:color w:val="000000"/>
                <w:sz w:val="18"/>
                <w:szCs w:val="18"/>
              </w:rPr>
            </w:pPr>
            <w:r>
              <w:rPr>
                <w:rFonts w:ascii="Arial" w:hAnsi="Arial" w:cs="Arial"/>
                <w:color w:val="000000"/>
                <w:sz w:val="18"/>
                <w:szCs w:val="18"/>
              </w:rPr>
              <w:t>123</w:t>
            </w:r>
          </w:p>
        </w:tc>
        <w:tc>
          <w:tcPr>
            <w:tcW w:w="330" w:type="dxa"/>
            <w:tcBorders>
              <w:top w:val="nil"/>
              <w:left w:val="nil"/>
              <w:bottom w:val="nil"/>
              <w:right w:val="nil"/>
            </w:tcBorders>
            <w:vAlign w:val="bottom"/>
          </w:tcPr>
          <w:p w:rsidR="009D1461" w:rsidRDefault="009D1461" w:rsidP="0073298C">
            <w:pPr>
              <w:spacing w:before="22" w:after="22"/>
              <w:ind w:left="22"/>
              <w:jc w:val="right"/>
              <w:rPr>
                <w:rFonts w:ascii="Arial" w:hAnsi="Arial" w:cs="Arial"/>
                <w:color w:val="000000"/>
                <w:sz w:val="18"/>
                <w:szCs w:val="18"/>
              </w:rPr>
            </w:pPr>
          </w:p>
          <w:p w:rsidR="009D1461" w:rsidRDefault="009D1461" w:rsidP="0073298C">
            <w:pPr>
              <w:rPr>
                <w:sz w:val="16"/>
                <w:szCs w:val="16"/>
              </w:rPr>
            </w:pPr>
            <w:r>
              <w:rPr>
                <w:sz w:val="16"/>
                <w:szCs w:val="16"/>
              </w:rPr>
              <w:t> </w:t>
            </w:r>
          </w:p>
        </w:tc>
        <w:tc>
          <w:tcPr>
            <w:tcW w:w="106" w:type="dxa"/>
            <w:tcBorders>
              <w:top w:val="nil"/>
              <w:left w:val="nil"/>
              <w:bottom w:val="nil"/>
              <w:right w:val="nil"/>
            </w:tcBorders>
            <w:vAlign w:val="bottom"/>
          </w:tcPr>
          <w:p w:rsidR="009D1461" w:rsidRDefault="009D1461" w:rsidP="0073298C">
            <w:pPr>
              <w:spacing w:before="22" w:after="22"/>
              <w:ind w:left="22" w:right="22"/>
              <w:rPr>
                <w:color w:val="000000"/>
              </w:rPr>
            </w:pPr>
            <w:r>
              <w:rPr>
                <w:color w:val="000000"/>
              </w:rPr>
              <w:t> </w:t>
            </w:r>
          </w:p>
        </w:tc>
        <w:tc>
          <w:tcPr>
            <w:tcW w:w="1364" w:type="dxa"/>
            <w:tcBorders>
              <w:top w:val="nil"/>
              <w:left w:val="nil"/>
              <w:bottom w:val="nil"/>
              <w:right w:val="nil"/>
            </w:tcBorders>
            <w:vAlign w:val="bottom"/>
          </w:tcPr>
          <w:p w:rsidR="009D1461" w:rsidRDefault="009D1461" w:rsidP="0073298C">
            <w:pPr>
              <w:spacing w:before="22" w:after="22"/>
              <w:ind w:left="22"/>
              <w:jc w:val="right"/>
              <w:rPr>
                <w:rFonts w:ascii="Arial" w:hAnsi="Arial" w:cs="Arial"/>
                <w:color w:val="000000"/>
                <w:sz w:val="18"/>
                <w:szCs w:val="18"/>
              </w:rPr>
            </w:pPr>
            <w:r>
              <w:rPr>
                <w:rFonts w:ascii="Arial" w:hAnsi="Arial" w:cs="Arial"/>
                <w:color w:val="000000"/>
                <w:sz w:val="18"/>
                <w:szCs w:val="18"/>
              </w:rPr>
              <w:t>4,470</w:t>
            </w:r>
          </w:p>
        </w:tc>
        <w:tc>
          <w:tcPr>
            <w:tcW w:w="301" w:type="dxa"/>
            <w:tcBorders>
              <w:top w:val="nil"/>
              <w:left w:val="nil"/>
              <w:bottom w:val="nil"/>
              <w:right w:val="single" w:sz="6" w:space="0" w:color="00467E"/>
            </w:tcBorders>
            <w:vAlign w:val="bottom"/>
          </w:tcPr>
          <w:p w:rsidR="009D1461" w:rsidRDefault="009D1461" w:rsidP="0073298C">
            <w:pPr>
              <w:spacing w:before="22" w:after="22"/>
              <w:ind w:left="22"/>
              <w:jc w:val="right"/>
              <w:rPr>
                <w:rFonts w:ascii="Arial" w:hAnsi="Arial" w:cs="Arial"/>
                <w:color w:val="000000"/>
                <w:sz w:val="18"/>
                <w:szCs w:val="18"/>
              </w:rPr>
            </w:pPr>
          </w:p>
          <w:p w:rsidR="009D1461" w:rsidRDefault="009D1461" w:rsidP="0073298C">
            <w:pPr>
              <w:rPr>
                <w:sz w:val="16"/>
                <w:szCs w:val="16"/>
              </w:rPr>
            </w:pPr>
            <w:r>
              <w:rPr>
                <w:sz w:val="16"/>
                <w:szCs w:val="16"/>
              </w:rPr>
              <w:t> </w:t>
            </w:r>
          </w:p>
        </w:tc>
      </w:tr>
      <w:tr w:rsidR="009D1461" w:rsidTr="00D50DFC">
        <w:tblPrEx>
          <w:tblCellMar>
            <w:top w:w="0" w:type="dxa"/>
            <w:left w:w="0" w:type="dxa"/>
            <w:bottom w:w="0" w:type="dxa"/>
            <w:right w:w="0" w:type="dxa"/>
          </w:tblCellMar>
        </w:tblPrEx>
        <w:trPr>
          <w:trHeight w:val="281"/>
          <w:jc w:val="center"/>
        </w:trPr>
        <w:tc>
          <w:tcPr>
            <w:tcW w:w="6234" w:type="dxa"/>
            <w:tcBorders>
              <w:top w:val="nil"/>
              <w:left w:val="single" w:sz="6" w:space="0" w:color="00467E"/>
              <w:bottom w:val="nil"/>
              <w:right w:val="nil"/>
            </w:tcBorders>
            <w:shd w:val="clear" w:color="CFD4D8" w:fill="CFD4D8"/>
            <w:vAlign w:val="bottom"/>
          </w:tcPr>
          <w:p w:rsidR="009D1461" w:rsidRDefault="009D1461" w:rsidP="0073298C">
            <w:pPr>
              <w:spacing w:before="22" w:after="22"/>
              <w:ind w:left="22" w:right="22"/>
              <w:rPr>
                <w:rFonts w:ascii="Arial" w:hAnsi="Arial" w:cs="Arial"/>
                <w:b/>
                <w:bCs w:val="0"/>
                <w:i/>
                <w:iCs/>
                <w:color w:val="9D1B11"/>
                <w:sz w:val="18"/>
                <w:szCs w:val="18"/>
              </w:rPr>
            </w:pPr>
            <w:r>
              <w:rPr>
                <w:rFonts w:ascii="Arial" w:hAnsi="Arial" w:cs="Arial"/>
                <w:b/>
                <w:bCs w:val="0"/>
                <w:i/>
                <w:iCs/>
                <w:color w:val="9D1B11"/>
                <w:sz w:val="18"/>
                <w:szCs w:val="18"/>
              </w:rPr>
              <w:lastRenderedPageBreak/>
              <w:t>2011 and prior</w:t>
            </w:r>
          </w:p>
        </w:tc>
        <w:tc>
          <w:tcPr>
            <w:tcW w:w="106" w:type="dxa"/>
            <w:tcBorders>
              <w:top w:val="nil"/>
              <w:left w:val="nil"/>
              <w:bottom w:val="nil"/>
              <w:right w:val="nil"/>
            </w:tcBorders>
            <w:shd w:val="clear" w:color="CFD4D8" w:fill="CFD4D8"/>
            <w:vAlign w:val="bottom"/>
          </w:tcPr>
          <w:p w:rsidR="009D1461" w:rsidRDefault="009D1461" w:rsidP="0073298C">
            <w:pPr>
              <w:spacing w:before="22" w:after="22"/>
              <w:ind w:left="22" w:right="22"/>
              <w:rPr>
                <w:color w:val="000000"/>
              </w:rPr>
            </w:pPr>
            <w:r>
              <w:rPr>
                <w:color w:val="000000"/>
              </w:rPr>
              <w:t> </w:t>
            </w:r>
          </w:p>
        </w:tc>
        <w:tc>
          <w:tcPr>
            <w:tcW w:w="1369" w:type="dxa"/>
            <w:tcBorders>
              <w:top w:val="nil"/>
              <w:left w:val="nil"/>
              <w:bottom w:val="nil"/>
              <w:right w:val="nil"/>
            </w:tcBorders>
            <w:shd w:val="clear" w:color="CFD4D8" w:fill="CFD4D8"/>
            <w:vAlign w:val="bottom"/>
          </w:tcPr>
          <w:p w:rsidR="009D1461" w:rsidRDefault="009D1461" w:rsidP="0073298C">
            <w:pPr>
              <w:spacing w:before="22" w:after="22"/>
              <w:ind w:left="22"/>
              <w:jc w:val="right"/>
              <w:rPr>
                <w:rFonts w:ascii="Arial" w:hAnsi="Arial" w:cs="Arial"/>
                <w:color w:val="000000"/>
                <w:sz w:val="18"/>
                <w:szCs w:val="18"/>
              </w:rPr>
            </w:pPr>
            <w:r>
              <w:rPr>
                <w:rFonts w:ascii="Arial" w:hAnsi="Arial" w:cs="Arial"/>
                <w:color w:val="000000"/>
                <w:sz w:val="18"/>
                <w:szCs w:val="18"/>
              </w:rPr>
              <w:t>478</w:t>
            </w:r>
          </w:p>
        </w:tc>
        <w:tc>
          <w:tcPr>
            <w:tcW w:w="330" w:type="dxa"/>
            <w:tcBorders>
              <w:top w:val="nil"/>
              <w:left w:val="nil"/>
              <w:bottom w:val="nil"/>
              <w:right w:val="nil"/>
            </w:tcBorders>
            <w:shd w:val="clear" w:color="CFD4D8" w:fill="CFD4D8"/>
            <w:vAlign w:val="bottom"/>
          </w:tcPr>
          <w:p w:rsidR="009D1461" w:rsidRDefault="009D1461" w:rsidP="0073298C">
            <w:pPr>
              <w:spacing w:before="22" w:after="22"/>
              <w:ind w:left="22"/>
              <w:jc w:val="right"/>
              <w:rPr>
                <w:rFonts w:ascii="Arial" w:hAnsi="Arial" w:cs="Arial"/>
                <w:color w:val="000000"/>
                <w:sz w:val="18"/>
                <w:szCs w:val="18"/>
              </w:rPr>
            </w:pPr>
          </w:p>
          <w:p w:rsidR="009D1461" w:rsidRDefault="009D1461" w:rsidP="0073298C">
            <w:pPr>
              <w:rPr>
                <w:sz w:val="16"/>
                <w:szCs w:val="16"/>
              </w:rPr>
            </w:pPr>
            <w:r>
              <w:rPr>
                <w:sz w:val="16"/>
                <w:szCs w:val="16"/>
              </w:rPr>
              <w:t> </w:t>
            </w:r>
          </w:p>
        </w:tc>
        <w:tc>
          <w:tcPr>
            <w:tcW w:w="106" w:type="dxa"/>
            <w:tcBorders>
              <w:top w:val="nil"/>
              <w:left w:val="nil"/>
              <w:bottom w:val="nil"/>
              <w:right w:val="nil"/>
            </w:tcBorders>
            <w:shd w:val="clear" w:color="CFD4D8" w:fill="CFD4D8"/>
            <w:vAlign w:val="bottom"/>
          </w:tcPr>
          <w:p w:rsidR="009D1461" w:rsidRDefault="009D1461" w:rsidP="0073298C">
            <w:pPr>
              <w:spacing w:before="22" w:after="22"/>
              <w:ind w:left="22" w:right="22"/>
              <w:rPr>
                <w:color w:val="000000"/>
              </w:rPr>
            </w:pPr>
            <w:r>
              <w:rPr>
                <w:color w:val="000000"/>
              </w:rPr>
              <w:t> </w:t>
            </w:r>
          </w:p>
        </w:tc>
        <w:tc>
          <w:tcPr>
            <w:tcW w:w="1364" w:type="dxa"/>
            <w:tcBorders>
              <w:top w:val="nil"/>
              <w:left w:val="nil"/>
              <w:bottom w:val="nil"/>
              <w:right w:val="nil"/>
            </w:tcBorders>
            <w:shd w:val="clear" w:color="CFD4D8" w:fill="CFD4D8"/>
            <w:vAlign w:val="bottom"/>
          </w:tcPr>
          <w:p w:rsidR="009D1461" w:rsidRDefault="009D1461" w:rsidP="0073298C">
            <w:pPr>
              <w:spacing w:before="22" w:after="22"/>
              <w:ind w:left="22"/>
              <w:jc w:val="right"/>
              <w:rPr>
                <w:rFonts w:ascii="Arial" w:hAnsi="Arial" w:cs="Arial"/>
                <w:color w:val="000000"/>
                <w:sz w:val="18"/>
                <w:szCs w:val="18"/>
              </w:rPr>
            </w:pPr>
            <w:r>
              <w:rPr>
                <w:rFonts w:ascii="Arial" w:hAnsi="Arial" w:cs="Arial"/>
                <w:color w:val="000000"/>
                <w:sz w:val="18"/>
                <w:szCs w:val="18"/>
              </w:rPr>
              <w:t>30,618</w:t>
            </w:r>
          </w:p>
        </w:tc>
        <w:tc>
          <w:tcPr>
            <w:tcW w:w="301" w:type="dxa"/>
            <w:tcBorders>
              <w:top w:val="nil"/>
              <w:left w:val="nil"/>
              <w:bottom w:val="nil"/>
              <w:right w:val="single" w:sz="6" w:space="0" w:color="00467E"/>
            </w:tcBorders>
            <w:shd w:val="clear" w:color="CFD4D8" w:fill="CFD4D8"/>
            <w:vAlign w:val="bottom"/>
          </w:tcPr>
          <w:p w:rsidR="009D1461" w:rsidRDefault="009D1461" w:rsidP="0073298C">
            <w:pPr>
              <w:spacing w:before="22" w:after="22"/>
              <w:ind w:left="22"/>
              <w:jc w:val="right"/>
              <w:rPr>
                <w:rFonts w:ascii="Arial" w:hAnsi="Arial" w:cs="Arial"/>
                <w:color w:val="000000"/>
                <w:sz w:val="18"/>
                <w:szCs w:val="18"/>
              </w:rPr>
            </w:pPr>
          </w:p>
          <w:p w:rsidR="009D1461" w:rsidRDefault="009D1461" w:rsidP="0073298C">
            <w:pPr>
              <w:rPr>
                <w:sz w:val="16"/>
                <w:szCs w:val="16"/>
              </w:rPr>
            </w:pPr>
            <w:r>
              <w:rPr>
                <w:sz w:val="16"/>
                <w:szCs w:val="16"/>
              </w:rPr>
              <w:t> </w:t>
            </w:r>
          </w:p>
        </w:tc>
      </w:tr>
      <w:tr w:rsidR="009D1461" w:rsidTr="00D50DFC">
        <w:tblPrEx>
          <w:tblCellMar>
            <w:top w:w="0" w:type="dxa"/>
            <w:left w:w="0" w:type="dxa"/>
            <w:bottom w:w="0" w:type="dxa"/>
            <w:right w:w="0" w:type="dxa"/>
          </w:tblCellMar>
        </w:tblPrEx>
        <w:trPr>
          <w:trHeight w:val="281"/>
          <w:jc w:val="center"/>
        </w:trPr>
        <w:tc>
          <w:tcPr>
            <w:tcW w:w="6234" w:type="dxa"/>
            <w:tcBorders>
              <w:top w:val="nil"/>
              <w:left w:val="single" w:sz="6" w:space="0" w:color="00467E"/>
              <w:bottom w:val="nil"/>
              <w:right w:val="nil"/>
            </w:tcBorders>
            <w:vAlign w:val="bottom"/>
          </w:tcPr>
          <w:p w:rsidR="009D1461" w:rsidRDefault="009D1461" w:rsidP="0073298C">
            <w:pPr>
              <w:spacing w:before="22" w:after="22"/>
              <w:ind w:left="330" w:right="22"/>
              <w:rPr>
                <w:rFonts w:ascii="Arial" w:hAnsi="Arial" w:cs="Arial"/>
                <w:color w:val="000000"/>
                <w:sz w:val="18"/>
                <w:szCs w:val="18"/>
              </w:rPr>
            </w:pPr>
            <w:r>
              <w:rPr>
                <w:rFonts w:ascii="Arial" w:hAnsi="Arial" w:cs="Arial"/>
                <w:color w:val="000000"/>
                <w:sz w:val="18"/>
                <w:szCs w:val="18"/>
              </w:rPr>
              <w:t>Total</w:t>
            </w:r>
          </w:p>
        </w:tc>
        <w:tc>
          <w:tcPr>
            <w:tcW w:w="106" w:type="dxa"/>
            <w:tcBorders>
              <w:top w:val="nil"/>
              <w:left w:val="nil"/>
              <w:bottom w:val="nil"/>
              <w:right w:val="nil"/>
            </w:tcBorders>
            <w:vAlign w:val="bottom"/>
          </w:tcPr>
          <w:p w:rsidR="009D1461" w:rsidRDefault="009D1461" w:rsidP="0073298C">
            <w:pPr>
              <w:spacing w:before="22" w:after="22"/>
              <w:ind w:left="22" w:right="22"/>
              <w:rPr>
                <w:color w:val="000000"/>
              </w:rPr>
            </w:pPr>
            <w:r>
              <w:rPr>
                <w:color w:val="000000"/>
              </w:rPr>
              <w:t> </w:t>
            </w:r>
          </w:p>
        </w:tc>
        <w:tc>
          <w:tcPr>
            <w:tcW w:w="1369" w:type="dxa"/>
            <w:tcBorders>
              <w:top w:val="single" w:sz="6" w:space="0" w:color="000000"/>
              <w:left w:val="nil"/>
              <w:bottom w:val="double" w:sz="6" w:space="0" w:color="000000"/>
              <w:right w:val="nil"/>
            </w:tcBorders>
            <w:vAlign w:val="bottom"/>
          </w:tcPr>
          <w:p w:rsidR="009D1461" w:rsidRDefault="009D1461" w:rsidP="0073298C">
            <w:pPr>
              <w:spacing w:before="22" w:after="22"/>
              <w:ind w:left="22"/>
              <w:jc w:val="right"/>
              <w:rPr>
                <w:rFonts w:ascii="Arial" w:hAnsi="Arial" w:cs="Arial"/>
                <w:color w:val="000000"/>
                <w:sz w:val="18"/>
                <w:szCs w:val="18"/>
              </w:rPr>
            </w:pPr>
            <w:r>
              <w:rPr>
                <w:rFonts w:ascii="Arial" w:hAnsi="Arial" w:cs="Arial"/>
                <w:color w:val="000000"/>
                <w:sz w:val="18"/>
                <w:szCs w:val="18"/>
              </w:rPr>
              <w:t>18,381</w:t>
            </w:r>
          </w:p>
        </w:tc>
        <w:tc>
          <w:tcPr>
            <w:tcW w:w="330" w:type="dxa"/>
            <w:tcBorders>
              <w:top w:val="single" w:sz="6" w:space="0" w:color="000000"/>
              <w:left w:val="nil"/>
              <w:bottom w:val="double" w:sz="6" w:space="0" w:color="000000"/>
              <w:right w:val="nil"/>
            </w:tcBorders>
            <w:vAlign w:val="bottom"/>
          </w:tcPr>
          <w:p w:rsidR="009D1461" w:rsidRDefault="009D1461" w:rsidP="0073298C">
            <w:pPr>
              <w:spacing w:before="22" w:after="22"/>
              <w:ind w:left="22"/>
              <w:jc w:val="right"/>
              <w:rPr>
                <w:rFonts w:ascii="Arial" w:hAnsi="Arial" w:cs="Arial"/>
                <w:color w:val="000000"/>
                <w:sz w:val="18"/>
                <w:szCs w:val="18"/>
              </w:rPr>
            </w:pPr>
          </w:p>
          <w:p w:rsidR="009D1461" w:rsidRDefault="009D1461" w:rsidP="0073298C">
            <w:pPr>
              <w:rPr>
                <w:sz w:val="16"/>
                <w:szCs w:val="16"/>
              </w:rPr>
            </w:pPr>
            <w:r>
              <w:rPr>
                <w:sz w:val="16"/>
                <w:szCs w:val="16"/>
              </w:rPr>
              <w:t> </w:t>
            </w:r>
          </w:p>
        </w:tc>
        <w:tc>
          <w:tcPr>
            <w:tcW w:w="106" w:type="dxa"/>
            <w:tcBorders>
              <w:top w:val="nil"/>
              <w:left w:val="nil"/>
              <w:bottom w:val="nil"/>
              <w:right w:val="nil"/>
            </w:tcBorders>
            <w:vAlign w:val="bottom"/>
          </w:tcPr>
          <w:p w:rsidR="009D1461" w:rsidRDefault="009D1461" w:rsidP="0073298C">
            <w:pPr>
              <w:spacing w:before="22" w:after="22"/>
              <w:ind w:left="22" w:right="22"/>
              <w:rPr>
                <w:color w:val="000000"/>
              </w:rPr>
            </w:pPr>
            <w:r>
              <w:rPr>
                <w:color w:val="000000"/>
              </w:rPr>
              <w:t> </w:t>
            </w:r>
          </w:p>
        </w:tc>
        <w:tc>
          <w:tcPr>
            <w:tcW w:w="1364" w:type="dxa"/>
            <w:tcBorders>
              <w:top w:val="single" w:sz="6" w:space="0" w:color="000000"/>
              <w:left w:val="nil"/>
              <w:bottom w:val="double" w:sz="6" w:space="0" w:color="000000"/>
              <w:right w:val="nil"/>
            </w:tcBorders>
            <w:vAlign w:val="bottom"/>
          </w:tcPr>
          <w:p w:rsidR="009D1461" w:rsidRDefault="009D1461" w:rsidP="0073298C">
            <w:pPr>
              <w:spacing w:before="22" w:after="22"/>
              <w:ind w:left="22"/>
              <w:jc w:val="right"/>
              <w:rPr>
                <w:rFonts w:ascii="Arial" w:hAnsi="Arial" w:cs="Arial"/>
                <w:color w:val="000000"/>
                <w:sz w:val="18"/>
                <w:szCs w:val="18"/>
              </w:rPr>
            </w:pPr>
            <w:r>
              <w:rPr>
                <w:rFonts w:ascii="Arial" w:hAnsi="Arial" w:cs="Arial"/>
                <w:color w:val="000000"/>
                <w:sz w:val="18"/>
                <w:szCs w:val="18"/>
              </w:rPr>
              <w:t>74,949</w:t>
            </w:r>
          </w:p>
        </w:tc>
        <w:tc>
          <w:tcPr>
            <w:tcW w:w="301" w:type="dxa"/>
            <w:tcBorders>
              <w:top w:val="single" w:sz="6" w:space="0" w:color="000000"/>
              <w:left w:val="nil"/>
              <w:bottom w:val="double" w:sz="6" w:space="0" w:color="000000"/>
              <w:right w:val="single" w:sz="6" w:space="0" w:color="00467E"/>
            </w:tcBorders>
            <w:vAlign w:val="bottom"/>
          </w:tcPr>
          <w:p w:rsidR="009D1461" w:rsidRDefault="009D1461" w:rsidP="0073298C">
            <w:pPr>
              <w:spacing w:before="22" w:after="22"/>
              <w:ind w:left="22"/>
              <w:jc w:val="right"/>
              <w:rPr>
                <w:rFonts w:ascii="Arial" w:hAnsi="Arial" w:cs="Arial"/>
                <w:color w:val="000000"/>
                <w:sz w:val="18"/>
                <w:szCs w:val="18"/>
              </w:rPr>
            </w:pPr>
          </w:p>
          <w:p w:rsidR="009D1461" w:rsidRDefault="009D1461" w:rsidP="0073298C">
            <w:pPr>
              <w:rPr>
                <w:sz w:val="16"/>
                <w:szCs w:val="16"/>
              </w:rPr>
            </w:pPr>
            <w:r>
              <w:rPr>
                <w:sz w:val="16"/>
                <w:szCs w:val="16"/>
              </w:rPr>
              <w:t> </w:t>
            </w:r>
          </w:p>
        </w:tc>
      </w:tr>
      <w:tr w:rsidR="009D1461" w:rsidTr="00D50DFC">
        <w:tblPrEx>
          <w:tblCellMar>
            <w:top w:w="0" w:type="dxa"/>
            <w:left w:w="0" w:type="dxa"/>
            <w:bottom w:w="0" w:type="dxa"/>
            <w:right w:w="0" w:type="dxa"/>
          </w:tblCellMar>
        </w:tblPrEx>
        <w:trPr>
          <w:trHeight w:val="281"/>
          <w:jc w:val="center"/>
        </w:trPr>
        <w:tc>
          <w:tcPr>
            <w:tcW w:w="6234" w:type="dxa"/>
            <w:tcBorders>
              <w:top w:val="nil"/>
              <w:left w:val="single" w:sz="6" w:space="0" w:color="00467E"/>
              <w:bottom w:val="single" w:sz="6" w:space="0" w:color="00467E"/>
              <w:right w:val="nil"/>
            </w:tcBorders>
            <w:shd w:val="clear" w:color="FFFFFF" w:fill="FFFFFF"/>
            <w:vAlign w:val="bottom"/>
          </w:tcPr>
          <w:p w:rsidR="009D1461" w:rsidRDefault="009D1461" w:rsidP="0073298C">
            <w:pPr>
              <w:spacing w:before="22" w:after="22"/>
              <w:ind w:left="22" w:right="22"/>
              <w:rPr>
                <w:color w:val="000000"/>
              </w:rPr>
            </w:pPr>
            <w:r>
              <w:rPr>
                <w:color w:val="000000"/>
              </w:rPr>
              <w:t> </w:t>
            </w:r>
          </w:p>
        </w:tc>
        <w:tc>
          <w:tcPr>
            <w:tcW w:w="106" w:type="dxa"/>
            <w:tcBorders>
              <w:top w:val="nil"/>
              <w:left w:val="nil"/>
              <w:bottom w:val="single" w:sz="6" w:space="0" w:color="00467E"/>
              <w:right w:val="nil"/>
            </w:tcBorders>
            <w:shd w:val="clear" w:color="FFFFFF" w:fill="FFFFFF"/>
            <w:vAlign w:val="bottom"/>
          </w:tcPr>
          <w:p w:rsidR="009D1461" w:rsidRDefault="009D1461" w:rsidP="0073298C">
            <w:pPr>
              <w:spacing w:before="22" w:after="22"/>
              <w:ind w:left="22" w:right="22"/>
              <w:rPr>
                <w:color w:val="000000"/>
              </w:rPr>
            </w:pPr>
            <w:r>
              <w:rPr>
                <w:color w:val="000000"/>
              </w:rPr>
              <w:t> </w:t>
            </w:r>
          </w:p>
        </w:tc>
        <w:tc>
          <w:tcPr>
            <w:tcW w:w="1699" w:type="dxa"/>
            <w:gridSpan w:val="2"/>
            <w:tcBorders>
              <w:top w:val="nil"/>
              <w:left w:val="nil"/>
              <w:bottom w:val="single" w:sz="6" w:space="0" w:color="00467E"/>
              <w:right w:val="nil"/>
            </w:tcBorders>
            <w:shd w:val="clear" w:color="FFFFFF" w:fill="FFFFFF"/>
            <w:vAlign w:val="bottom"/>
          </w:tcPr>
          <w:p w:rsidR="009D1461" w:rsidRDefault="009D1461" w:rsidP="0073298C">
            <w:pPr>
              <w:spacing w:before="22" w:after="22"/>
              <w:ind w:left="22" w:right="22"/>
              <w:rPr>
                <w:color w:val="000000"/>
              </w:rPr>
            </w:pPr>
            <w:r>
              <w:rPr>
                <w:color w:val="000000"/>
              </w:rPr>
              <w:t> </w:t>
            </w:r>
          </w:p>
        </w:tc>
        <w:tc>
          <w:tcPr>
            <w:tcW w:w="106" w:type="dxa"/>
            <w:tcBorders>
              <w:top w:val="nil"/>
              <w:left w:val="nil"/>
              <w:bottom w:val="single" w:sz="6" w:space="0" w:color="00467E"/>
              <w:right w:val="nil"/>
            </w:tcBorders>
            <w:shd w:val="clear" w:color="FFFFFF" w:fill="FFFFFF"/>
            <w:vAlign w:val="bottom"/>
          </w:tcPr>
          <w:p w:rsidR="009D1461" w:rsidRDefault="009D1461" w:rsidP="0073298C">
            <w:pPr>
              <w:spacing w:before="22" w:after="22"/>
              <w:ind w:left="22" w:right="22"/>
              <w:rPr>
                <w:color w:val="000000"/>
              </w:rPr>
            </w:pPr>
            <w:r>
              <w:rPr>
                <w:color w:val="000000"/>
              </w:rPr>
              <w:t> </w:t>
            </w:r>
          </w:p>
        </w:tc>
        <w:tc>
          <w:tcPr>
            <w:tcW w:w="1665" w:type="dxa"/>
            <w:gridSpan w:val="2"/>
            <w:tcBorders>
              <w:top w:val="nil"/>
              <w:left w:val="nil"/>
              <w:bottom w:val="single" w:sz="6" w:space="0" w:color="00467E"/>
              <w:right w:val="single" w:sz="6" w:space="0" w:color="00467E"/>
            </w:tcBorders>
            <w:shd w:val="clear" w:color="FFFFFF" w:fill="FFFFFF"/>
            <w:vAlign w:val="bottom"/>
          </w:tcPr>
          <w:p w:rsidR="009D1461" w:rsidRDefault="009D1461" w:rsidP="0073298C">
            <w:pPr>
              <w:spacing w:before="22" w:after="22"/>
              <w:ind w:left="22" w:right="22"/>
              <w:rPr>
                <w:color w:val="000000"/>
              </w:rPr>
            </w:pPr>
            <w:r>
              <w:rPr>
                <w:color w:val="000000"/>
              </w:rPr>
              <w:t> </w:t>
            </w:r>
          </w:p>
        </w:tc>
      </w:tr>
    </w:tbl>
    <w:p w:rsidR="00D50DFC" w:rsidRDefault="00D50DFC" w:rsidP="00D50DFC">
      <w:pPr>
        <w:spacing w:after="132"/>
        <w:jc w:val="both"/>
        <w:rPr>
          <w:rFonts w:ascii="Arial" w:hAnsi="Arial" w:cs="Arial"/>
          <w:color w:val="000000"/>
          <w:sz w:val="18"/>
          <w:szCs w:val="18"/>
        </w:rPr>
      </w:pPr>
    </w:p>
    <w:p w:rsidR="00D50DFC" w:rsidRDefault="00D50DFC" w:rsidP="00D50DFC">
      <w:pPr>
        <w:spacing w:after="132"/>
        <w:jc w:val="both"/>
        <w:rPr>
          <w:rFonts w:ascii="Arial" w:hAnsi="Arial" w:cs="Arial"/>
          <w:color w:val="000000"/>
          <w:sz w:val="18"/>
          <w:szCs w:val="18"/>
        </w:rPr>
      </w:pPr>
      <w:r>
        <w:rPr>
          <w:rFonts w:ascii="Arial" w:hAnsi="Arial" w:cs="Arial"/>
          <w:color w:val="000000"/>
          <w:sz w:val="18"/>
          <w:szCs w:val="18"/>
        </w:rPr>
        <w:t>We typically purchase or lease tractors and trailers manufactured to our specifications in order to meet a wide variety of customer needs. Growth of our tractor and trailer fleet is determined by market conditions and our experience and expectations regarding equipment utilization. In acquiring revenue equipment, we consider a number of factors, including economy, price, rate, economic environment, technology, warranty terms, manufacturer support, driving associate comfort, and resale value. We maintain strong relationships with our equipment vendors and have the financial flexibility to react as market conditions dictate.</w:t>
      </w:r>
    </w:p>
    <w:p w:rsidR="00D50DFC" w:rsidRDefault="00D50DFC" w:rsidP="00D50DFC">
      <w:pPr>
        <w:spacing w:after="132"/>
        <w:jc w:val="both"/>
        <w:rPr>
          <w:rFonts w:ascii="Arial" w:hAnsi="Arial" w:cs="Arial"/>
          <w:color w:val="000000"/>
          <w:sz w:val="18"/>
          <w:szCs w:val="18"/>
        </w:rPr>
      </w:pPr>
      <w:r>
        <w:rPr>
          <w:rFonts w:ascii="Arial" w:hAnsi="Arial" w:cs="Arial"/>
          <w:color w:val="000000"/>
          <w:sz w:val="18"/>
          <w:szCs w:val="18"/>
        </w:rPr>
        <w:t>Our current policy is to replace our tractors between 42 months and 60 months after purchase and to replace our trailers over a five- to ten-year period. Changes in the current market for used tractors and trailers, regulatory changes, and difficult market conditions faced by tractor and trailer manufacturers, may result in price increases that may affect the period of time for which we operate our equipment.</w:t>
      </w:r>
    </w:p>
    <w:p w:rsidR="009D1461" w:rsidRDefault="00D50DFC" w:rsidP="00D50DFC">
      <w:pPr>
        <w:spacing w:before="176" w:after="22"/>
        <w:ind w:right="22"/>
        <w:rPr>
          <w:rFonts w:ascii="Arial" w:hAnsi="Arial" w:cs="Arial"/>
          <w:color w:val="000000"/>
          <w:sz w:val="18"/>
          <w:szCs w:val="18"/>
        </w:rPr>
      </w:pPr>
      <w:r>
        <w:rPr>
          <w:rFonts w:ascii="Arial" w:hAnsi="Arial" w:cs="Arial"/>
          <w:color w:val="000000"/>
          <w:sz w:val="18"/>
          <w:szCs w:val="18"/>
        </w:rPr>
        <w:t>Our newer equipment has enhanced features, which we believe tends to lower the overall life cycle costs by reducing safety-related expenses, lowering repair and maintenance expenses, improving fuel economy, and improving driving associate satisfaction. In 2018 and beyond, we will continue to monitor the appropriateness of this relatively short tractor trade-in cycle against the lower capital expenditure and financing costs of a longer tractor trade-in cycle, based on current and future business needs</w:t>
      </w:r>
    </w:p>
    <w:p w:rsidR="00D50DFC" w:rsidRPr="00D50DFC" w:rsidRDefault="00D50DFC" w:rsidP="000E3B20">
      <w:pPr>
        <w:pStyle w:val="Heading1"/>
      </w:pPr>
      <w:bookmarkStart w:id="9" w:name="_Toc526330205"/>
      <w:r w:rsidRPr="00D50DFC">
        <w:t>Employees</w:t>
      </w:r>
      <w:bookmarkEnd w:id="9"/>
    </w:p>
    <w:tbl>
      <w:tblPr>
        <w:tblW w:w="9810" w:type="dxa"/>
        <w:jc w:val="center"/>
        <w:tblInd w:w="990" w:type="dxa"/>
        <w:tblLayout w:type="fixed"/>
        <w:tblCellMar>
          <w:left w:w="0" w:type="dxa"/>
          <w:right w:w="0" w:type="dxa"/>
        </w:tblCellMar>
        <w:tblLook w:val="0000"/>
      </w:tblPr>
      <w:tblGrid>
        <w:gridCol w:w="8190"/>
        <w:gridCol w:w="107"/>
        <w:gridCol w:w="1403"/>
        <w:gridCol w:w="110"/>
      </w:tblGrid>
      <w:tr w:rsidR="00D50DFC" w:rsidTr="00D50DFC">
        <w:tblPrEx>
          <w:tblCellMar>
            <w:top w:w="0" w:type="dxa"/>
            <w:left w:w="0" w:type="dxa"/>
            <w:bottom w:w="0" w:type="dxa"/>
            <w:right w:w="0" w:type="dxa"/>
          </w:tblCellMar>
        </w:tblPrEx>
        <w:trPr>
          <w:trHeight w:val="298"/>
          <w:jc w:val="center"/>
        </w:trPr>
        <w:tc>
          <w:tcPr>
            <w:tcW w:w="8190" w:type="dxa"/>
            <w:tcBorders>
              <w:top w:val="single" w:sz="6" w:space="0" w:color="00467E"/>
              <w:left w:val="single" w:sz="6" w:space="0" w:color="00467E"/>
              <w:bottom w:val="nil"/>
              <w:right w:val="nil"/>
            </w:tcBorders>
            <w:shd w:val="clear" w:color="CFD4D8" w:fill="CFD4D8"/>
            <w:vAlign w:val="bottom"/>
          </w:tcPr>
          <w:p w:rsidR="00D50DFC" w:rsidRDefault="00D50DFC" w:rsidP="0073298C">
            <w:pPr>
              <w:spacing w:before="22" w:after="22"/>
              <w:ind w:left="22" w:right="22"/>
              <w:rPr>
                <w:rFonts w:ascii="Arial" w:hAnsi="Arial" w:cs="Arial"/>
                <w:color w:val="000000"/>
                <w:sz w:val="18"/>
                <w:szCs w:val="18"/>
              </w:rPr>
            </w:pPr>
            <w:r>
              <w:rPr>
                <w:rFonts w:ascii="Arial" w:hAnsi="Arial" w:cs="Arial"/>
                <w:color w:val="000000"/>
                <w:sz w:val="18"/>
                <w:szCs w:val="18"/>
              </w:rPr>
              <w:t>Company driving associates (including driver trainees)</w:t>
            </w:r>
          </w:p>
        </w:tc>
        <w:tc>
          <w:tcPr>
            <w:tcW w:w="107" w:type="dxa"/>
            <w:tcBorders>
              <w:top w:val="single" w:sz="6" w:space="0" w:color="00467E"/>
              <w:left w:val="nil"/>
              <w:bottom w:val="nil"/>
              <w:right w:val="nil"/>
            </w:tcBorders>
            <w:shd w:val="clear" w:color="CFD4D8" w:fill="CFD4D8"/>
            <w:vAlign w:val="bottom"/>
          </w:tcPr>
          <w:p w:rsidR="00D50DFC" w:rsidRDefault="00D50DFC" w:rsidP="0073298C">
            <w:pPr>
              <w:spacing w:before="22" w:after="22"/>
              <w:ind w:left="22" w:right="22"/>
              <w:rPr>
                <w:color w:val="000000"/>
              </w:rPr>
            </w:pPr>
            <w:r>
              <w:rPr>
                <w:color w:val="000000"/>
              </w:rPr>
              <w:t> </w:t>
            </w:r>
          </w:p>
        </w:tc>
        <w:tc>
          <w:tcPr>
            <w:tcW w:w="1403" w:type="dxa"/>
            <w:tcBorders>
              <w:top w:val="single" w:sz="6" w:space="0" w:color="00467E"/>
              <w:left w:val="nil"/>
              <w:bottom w:val="nil"/>
              <w:right w:val="nil"/>
            </w:tcBorders>
            <w:shd w:val="clear" w:color="CFD4D8" w:fill="CFD4D8"/>
            <w:vAlign w:val="bottom"/>
          </w:tcPr>
          <w:p w:rsidR="00D50DFC" w:rsidRDefault="00D50DFC" w:rsidP="0073298C">
            <w:pPr>
              <w:spacing w:before="22" w:after="22"/>
              <w:ind w:left="22"/>
              <w:jc w:val="right"/>
              <w:rPr>
                <w:rFonts w:ascii="Arial" w:hAnsi="Arial" w:cs="Arial"/>
                <w:color w:val="000000"/>
                <w:sz w:val="18"/>
                <w:szCs w:val="18"/>
              </w:rPr>
            </w:pPr>
            <w:r>
              <w:rPr>
                <w:rFonts w:ascii="Arial" w:hAnsi="Arial" w:cs="Arial"/>
                <w:color w:val="000000"/>
                <w:sz w:val="18"/>
                <w:szCs w:val="18"/>
              </w:rPr>
              <w:t>19,200</w:t>
            </w:r>
          </w:p>
        </w:tc>
        <w:tc>
          <w:tcPr>
            <w:tcW w:w="110" w:type="dxa"/>
            <w:tcBorders>
              <w:top w:val="single" w:sz="6" w:space="0" w:color="00467E"/>
              <w:left w:val="nil"/>
              <w:bottom w:val="nil"/>
              <w:right w:val="single" w:sz="6" w:space="0" w:color="00467E"/>
            </w:tcBorders>
            <w:shd w:val="clear" w:color="CFD4D8" w:fill="CFD4D8"/>
            <w:vAlign w:val="bottom"/>
          </w:tcPr>
          <w:p w:rsidR="00D50DFC" w:rsidRDefault="00D50DFC" w:rsidP="0073298C">
            <w:pPr>
              <w:spacing w:before="22" w:after="22"/>
              <w:ind w:left="22"/>
              <w:jc w:val="right"/>
              <w:rPr>
                <w:rFonts w:ascii="Arial" w:hAnsi="Arial" w:cs="Arial"/>
                <w:color w:val="000000"/>
                <w:sz w:val="18"/>
                <w:szCs w:val="18"/>
              </w:rPr>
            </w:pPr>
          </w:p>
          <w:p w:rsidR="00D50DFC" w:rsidRDefault="00D50DFC" w:rsidP="0073298C">
            <w:pPr>
              <w:rPr>
                <w:sz w:val="16"/>
                <w:szCs w:val="16"/>
              </w:rPr>
            </w:pPr>
            <w:r>
              <w:rPr>
                <w:sz w:val="16"/>
                <w:szCs w:val="16"/>
              </w:rPr>
              <w:t> </w:t>
            </w:r>
          </w:p>
        </w:tc>
      </w:tr>
      <w:tr w:rsidR="00D50DFC" w:rsidTr="00D50DFC">
        <w:tblPrEx>
          <w:tblCellMar>
            <w:top w:w="0" w:type="dxa"/>
            <w:left w:w="0" w:type="dxa"/>
            <w:bottom w:w="0" w:type="dxa"/>
            <w:right w:w="0" w:type="dxa"/>
          </w:tblCellMar>
        </w:tblPrEx>
        <w:trPr>
          <w:trHeight w:val="281"/>
          <w:jc w:val="center"/>
        </w:trPr>
        <w:tc>
          <w:tcPr>
            <w:tcW w:w="8190" w:type="dxa"/>
            <w:tcBorders>
              <w:top w:val="nil"/>
              <w:left w:val="single" w:sz="6" w:space="0" w:color="00467E"/>
              <w:bottom w:val="nil"/>
              <w:right w:val="nil"/>
            </w:tcBorders>
            <w:vAlign w:val="bottom"/>
          </w:tcPr>
          <w:p w:rsidR="00D50DFC" w:rsidRDefault="00D50DFC" w:rsidP="0073298C">
            <w:pPr>
              <w:spacing w:before="22" w:after="22"/>
              <w:ind w:left="22" w:right="22"/>
              <w:rPr>
                <w:rFonts w:ascii="Arial" w:hAnsi="Arial" w:cs="Arial"/>
                <w:color w:val="000000"/>
                <w:sz w:val="18"/>
                <w:szCs w:val="18"/>
              </w:rPr>
            </w:pPr>
            <w:r>
              <w:rPr>
                <w:rFonts w:ascii="Arial" w:hAnsi="Arial" w:cs="Arial"/>
                <w:color w:val="000000"/>
                <w:sz w:val="18"/>
                <w:szCs w:val="18"/>
              </w:rPr>
              <w:t>Technicians and other equipment maintenance personnel</w:t>
            </w:r>
          </w:p>
        </w:tc>
        <w:tc>
          <w:tcPr>
            <w:tcW w:w="107" w:type="dxa"/>
            <w:tcBorders>
              <w:top w:val="nil"/>
              <w:left w:val="nil"/>
              <w:bottom w:val="nil"/>
              <w:right w:val="nil"/>
            </w:tcBorders>
            <w:vAlign w:val="bottom"/>
          </w:tcPr>
          <w:p w:rsidR="00D50DFC" w:rsidRDefault="00D50DFC" w:rsidP="0073298C">
            <w:pPr>
              <w:spacing w:before="22" w:after="22"/>
              <w:ind w:left="22" w:right="22"/>
              <w:rPr>
                <w:color w:val="000000"/>
              </w:rPr>
            </w:pPr>
            <w:r>
              <w:rPr>
                <w:color w:val="000000"/>
              </w:rPr>
              <w:t> </w:t>
            </w:r>
          </w:p>
        </w:tc>
        <w:tc>
          <w:tcPr>
            <w:tcW w:w="1403" w:type="dxa"/>
            <w:tcBorders>
              <w:top w:val="nil"/>
              <w:left w:val="nil"/>
              <w:bottom w:val="nil"/>
              <w:right w:val="nil"/>
            </w:tcBorders>
            <w:vAlign w:val="bottom"/>
          </w:tcPr>
          <w:p w:rsidR="00D50DFC" w:rsidRDefault="00D50DFC" w:rsidP="0073298C">
            <w:pPr>
              <w:spacing w:before="22" w:after="22"/>
              <w:ind w:left="22"/>
              <w:jc w:val="right"/>
              <w:rPr>
                <w:rFonts w:ascii="Arial" w:hAnsi="Arial" w:cs="Arial"/>
                <w:color w:val="000000"/>
                <w:sz w:val="18"/>
                <w:szCs w:val="18"/>
              </w:rPr>
            </w:pPr>
            <w:r>
              <w:rPr>
                <w:rFonts w:ascii="Arial" w:hAnsi="Arial" w:cs="Arial"/>
                <w:color w:val="000000"/>
                <w:sz w:val="18"/>
                <w:szCs w:val="18"/>
              </w:rPr>
              <w:t>1,400</w:t>
            </w:r>
          </w:p>
        </w:tc>
        <w:tc>
          <w:tcPr>
            <w:tcW w:w="110" w:type="dxa"/>
            <w:tcBorders>
              <w:top w:val="nil"/>
              <w:left w:val="nil"/>
              <w:bottom w:val="nil"/>
              <w:right w:val="single" w:sz="6" w:space="0" w:color="00467E"/>
            </w:tcBorders>
            <w:vAlign w:val="bottom"/>
          </w:tcPr>
          <w:p w:rsidR="00D50DFC" w:rsidRDefault="00D50DFC" w:rsidP="0073298C">
            <w:pPr>
              <w:spacing w:before="22" w:after="22"/>
              <w:ind w:left="22"/>
              <w:jc w:val="right"/>
              <w:rPr>
                <w:rFonts w:ascii="Arial" w:hAnsi="Arial" w:cs="Arial"/>
                <w:color w:val="000000"/>
                <w:sz w:val="18"/>
                <w:szCs w:val="18"/>
              </w:rPr>
            </w:pPr>
          </w:p>
          <w:p w:rsidR="00D50DFC" w:rsidRDefault="00D50DFC" w:rsidP="0073298C">
            <w:pPr>
              <w:rPr>
                <w:sz w:val="16"/>
                <w:szCs w:val="16"/>
              </w:rPr>
            </w:pPr>
            <w:r>
              <w:rPr>
                <w:sz w:val="16"/>
                <w:szCs w:val="16"/>
              </w:rPr>
              <w:t> </w:t>
            </w:r>
          </w:p>
        </w:tc>
      </w:tr>
      <w:tr w:rsidR="00D50DFC" w:rsidTr="00D50DFC">
        <w:tblPrEx>
          <w:tblCellMar>
            <w:top w:w="0" w:type="dxa"/>
            <w:left w:w="0" w:type="dxa"/>
            <w:bottom w:w="0" w:type="dxa"/>
            <w:right w:w="0" w:type="dxa"/>
          </w:tblCellMar>
        </w:tblPrEx>
        <w:trPr>
          <w:trHeight w:val="281"/>
          <w:jc w:val="center"/>
        </w:trPr>
        <w:tc>
          <w:tcPr>
            <w:tcW w:w="8190" w:type="dxa"/>
            <w:tcBorders>
              <w:top w:val="nil"/>
              <w:left w:val="single" w:sz="6" w:space="0" w:color="00467E"/>
              <w:bottom w:val="nil"/>
              <w:right w:val="nil"/>
            </w:tcBorders>
            <w:shd w:val="clear" w:color="CFD4D8" w:fill="CFD4D8"/>
            <w:vAlign w:val="bottom"/>
          </w:tcPr>
          <w:p w:rsidR="00D50DFC" w:rsidRDefault="00D50DFC" w:rsidP="0073298C">
            <w:pPr>
              <w:spacing w:before="22" w:after="22"/>
              <w:ind w:left="22" w:right="22"/>
              <w:rPr>
                <w:rFonts w:ascii="Arial" w:hAnsi="Arial" w:cs="Arial"/>
                <w:color w:val="000000"/>
                <w:sz w:val="18"/>
                <w:szCs w:val="18"/>
              </w:rPr>
            </w:pPr>
            <w:r>
              <w:rPr>
                <w:rFonts w:ascii="Arial" w:hAnsi="Arial" w:cs="Arial"/>
                <w:color w:val="000000"/>
                <w:sz w:val="18"/>
                <w:szCs w:val="18"/>
              </w:rPr>
              <w:t>Support personnel (such as corporate managers, sales, and administrative personnel)</w:t>
            </w:r>
          </w:p>
        </w:tc>
        <w:tc>
          <w:tcPr>
            <w:tcW w:w="107" w:type="dxa"/>
            <w:tcBorders>
              <w:top w:val="nil"/>
              <w:left w:val="nil"/>
              <w:bottom w:val="nil"/>
              <w:right w:val="nil"/>
            </w:tcBorders>
            <w:shd w:val="clear" w:color="CFD4D8" w:fill="CFD4D8"/>
            <w:vAlign w:val="bottom"/>
          </w:tcPr>
          <w:p w:rsidR="00D50DFC" w:rsidRDefault="00D50DFC" w:rsidP="0073298C">
            <w:pPr>
              <w:spacing w:before="22" w:after="22"/>
              <w:ind w:left="22" w:right="22"/>
              <w:rPr>
                <w:color w:val="000000"/>
              </w:rPr>
            </w:pPr>
            <w:r>
              <w:rPr>
                <w:color w:val="000000"/>
              </w:rPr>
              <w:t> </w:t>
            </w:r>
          </w:p>
        </w:tc>
        <w:tc>
          <w:tcPr>
            <w:tcW w:w="1403" w:type="dxa"/>
            <w:tcBorders>
              <w:top w:val="nil"/>
              <w:left w:val="nil"/>
              <w:bottom w:val="nil"/>
              <w:right w:val="nil"/>
            </w:tcBorders>
            <w:shd w:val="clear" w:color="CFD4D8" w:fill="CFD4D8"/>
            <w:vAlign w:val="bottom"/>
          </w:tcPr>
          <w:p w:rsidR="00D50DFC" w:rsidRDefault="00D50DFC" w:rsidP="0073298C">
            <w:pPr>
              <w:spacing w:before="22" w:after="22"/>
              <w:ind w:left="22"/>
              <w:jc w:val="right"/>
              <w:rPr>
                <w:rFonts w:ascii="Arial" w:hAnsi="Arial" w:cs="Arial"/>
                <w:color w:val="000000"/>
                <w:sz w:val="18"/>
                <w:szCs w:val="18"/>
              </w:rPr>
            </w:pPr>
            <w:r>
              <w:rPr>
                <w:rFonts w:ascii="Arial" w:hAnsi="Arial" w:cs="Arial"/>
                <w:color w:val="000000"/>
                <w:sz w:val="18"/>
                <w:szCs w:val="18"/>
              </w:rPr>
              <w:t>4,800</w:t>
            </w:r>
          </w:p>
        </w:tc>
        <w:tc>
          <w:tcPr>
            <w:tcW w:w="110" w:type="dxa"/>
            <w:tcBorders>
              <w:top w:val="nil"/>
              <w:left w:val="nil"/>
              <w:bottom w:val="nil"/>
              <w:right w:val="single" w:sz="6" w:space="0" w:color="00467E"/>
            </w:tcBorders>
            <w:shd w:val="clear" w:color="CFD4D8" w:fill="CFD4D8"/>
            <w:vAlign w:val="bottom"/>
          </w:tcPr>
          <w:p w:rsidR="00D50DFC" w:rsidRDefault="00D50DFC" w:rsidP="0073298C">
            <w:pPr>
              <w:spacing w:before="22" w:after="22"/>
              <w:ind w:left="22"/>
              <w:jc w:val="right"/>
              <w:rPr>
                <w:rFonts w:ascii="Arial" w:hAnsi="Arial" w:cs="Arial"/>
                <w:color w:val="000000"/>
                <w:sz w:val="18"/>
                <w:szCs w:val="18"/>
              </w:rPr>
            </w:pPr>
          </w:p>
          <w:p w:rsidR="00D50DFC" w:rsidRDefault="00D50DFC" w:rsidP="0073298C">
            <w:pPr>
              <w:rPr>
                <w:sz w:val="16"/>
                <w:szCs w:val="16"/>
              </w:rPr>
            </w:pPr>
            <w:r>
              <w:rPr>
                <w:sz w:val="16"/>
                <w:szCs w:val="16"/>
              </w:rPr>
              <w:t> </w:t>
            </w:r>
          </w:p>
        </w:tc>
      </w:tr>
      <w:tr w:rsidR="00D50DFC" w:rsidTr="00D50DFC">
        <w:tblPrEx>
          <w:tblCellMar>
            <w:top w:w="0" w:type="dxa"/>
            <w:left w:w="0" w:type="dxa"/>
            <w:bottom w:w="0" w:type="dxa"/>
            <w:right w:w="0" w:type="dxa"/>
          </w:tblCellMar>
        </w:tblPrEx>
        <w:trPr>
          <w:trHeight w:val="281"/>
          <w:jc w:val="center"/>
        </w:trPr>
        <w:tc>
          <w:tcPr>
            <w:tcW w:w="8190" w:type="dxa"/>
            <w:tcBorders>
              <w:top w:val="nil"/>
              <w:left w:val="single" w:sz="6" w:space="0" w:color="00467E"/>
              <w:bottom w:val="nil"/>
              <w:right w:val="nil"/>
            </w:tcBorders>
            <w:vAlign w:val="bottom"/>
          </w:tcPr>
          <w:p w:rsidR="00D50DFC" w:rsidRDefault="00D50DFC" w:rsidP="0073298C">
            <w:pPr>
              <w:spacing w:before="22" w:after="22"/>
              <w:ind w:left="330" w:right="22"/>
              <w:rPr>
                <w:rFonts w:ascii="Arial" w:hAnsi="Arial" w:cs="Arial"/>
                <w:color w:val="000000"/>
                <w:sz w:val="18"/>
                <w:szCs w:val="18"/>
              </w:rPr>
            </w:pPr>
            <w:r>
              <w:rPr>
                <w:rFonts w:ascii="Arial" w:hAnsi="Arial" w:cs="Arial"/>
                <w:color w:val="000000"/>
                <w:sz w:val="18"/>
                <w:szCs w:val="18"/>
              </w:rPr>
              <w:t>Total</w:t>
            </w:r>
          </w:p>
        </w:tc>
        <w:tc>
          <w:tcPr>
            <w:tcW w:w="107" w:type="dxa"/>
            <w:tcBorders>
              <w:top w:val="nil"/>
              <w:left w:val="nil"/>
              <w:bottom w:val="nil"/>
              <w:right w:val="nil"/>
            </w:tcBorders>
            <w:vAlign w:val="bottom"/>
          </w:tcPr>
          <w:p w:rsidR="00D50DFC" w:rsidRDefault="00D50DFC" w:rsidP="0073298C">
            <w:pPr>
              <w:spacing w:before="22" w:after="22"/>
              <w:ind w:left="22" w:right="22"/>
              <w:rPr>
                <w:color w:val="000000"/>
              </w:rPr>
            </w:pPr>
            <w:r>
              <w:rPr>
                <w:color w:val="000000"/>
              </w:rPr>
              <w:t> </w:t>
            </w:r>
          </w:p>
        </w:tc>
        <w:tc>
          <w:tcPr>
            <w:tcW w:w="1403" w:type="dxa"/>
            <w:tcBorders>
              <w:top w:val="single" w:sz="6" w:space="0" w:color="000000"/>
              <w:left w:val="nil"/>
              <w:bottom w:val="double" w:sz="6" w:space="0" w:color="000000"/>
              <w:right w:val="nil"/>
            </w:tcBorders>
            <w:vAlign w:val="bottom"/>
          </w:tcPr>
          <w:p w:rsidR="00D50DFC" w:rsidRDefault="00D50DFC" w:rsidP="0073298C">
            <w:pPr>
              <w:spacing w:before="22" w:after="22"/>
              <w:ind w:left="22"/>
              <w:jc w:val="right"/>
              <w:rPr>
                <w:rFonts w:ascii="Arial" w:hAnsi="Arial" w:cs="Arial"/>
                <w:color w:val="000000"/>
                <w:sz w:val="18"/>
                <w:szCs w:val="18"/>
              </w:rPr>
            </w:pPr>
            <w:r>
              <w:rPr>
                <w:rFonts w:ascii="Arial" w:hAnsi="Arial" w:cs="Arial"/>
                <w:color w:val="000000"/>
                <w:sz w:val="18"/>
                <w:szCs w:val="18"/>
              </w:rPr>
              <w:t>25,400</w:t>
            </w:r>
          </w:p>
        </w:tc>
        <w:tc>
          <w:tcPr>
            <w:tcW w:w="110" w:type="dxa"/>
            <w:tcBorders>
              <w:top w:val="single" w:sz="6" w:space="0" w:color="000000"/>
              <w:left w:val="nil"/>
              <w:bottom w:val="double" w:sz="6" w:space="0" w:color="000000"/>
              <w:right w:val="single" w:sz="6" w:space="0" w:color="00467E"/>
            </w:tcBorders>
            <w:vAlign w:val="bottom"/>
          </w:tcPr>
          <w:p w:rsidR="00D50DFC" w:rsidRDefault="00D50DFC" w:rsidP="0073298C">
            <w:pPr>
              <w:spacing w:before="22" w:after="22"/>
              <w:ind w:left="22"/>
              <w:jc w:val="right"/>
              <w:rPr>
                <w:rFonts w:ascii="Arial" w:hAnsi="Arial" w:cs="Arial"/>
                <w:color w:val="000000"/>
                <w:sz w:val="18"/>
                <w:szCs w:val="18"/>
              </w:rPr>
            </w:pPr>
          </w:p>
          <w:p w:rsidR="00D50DFC" w:rsidRDefault="00D50DFC" w:rsidP="0073298C">
            <w:pPr>
              <w:rPr>
                <w:sz w:val="16"/>
                <w:szCs w:val="16"/>
              </w:rPr>
            </w:pPr>
            <w:r>
              <w:rPr>
                <w:sz w:val="16"/>
                <w:szCs w:val="16"/>
              </w:rPr>
              <w:t> </w:t>
            </w:r>
          </w:p>
        </w:tc>
      </w:tr>
      <w:tr w:rsidR="00D50DFC" w:rsidTr="00D50DFC">
        <w:tblPrEx>
          <w:tblCellMar>
            <w:top w:w="0" w:type="dxa"/>
            <w:left w:w="0" w:type="dxa"/>
            <w:bottom w:w="0" w:type="dxa"/>
            <w:right w:w="0" w:type="dxa"/>
          </w:tblCellMar>
        </w:tblPrEx>
        <w:trPr>
          <w:trHeight w:val="281"/>
          <w:jc w:val="center"/>
        </w:trPr>
        <w:tc>
          <w:tcPr>
            <w:tcW w:w="8190" w:type="dxa"/>
            <w:tcBorders>
              <w:top w:val="nil"/>
              <w:left w:val="single" w:sz="6" w:space="0" w:color="00467E"/>
              <w:bottom w:val="single" w:sz="6" w:space="0" w:color="00467E"/>
              <w:right w:val="nil"/>
            </w:tcBorders>
            <w:vAlign w:val="bottom"/>
          </w:tcPr>
          <w:p w:rsidR="00D50DFC" w:rsidRDefault="00D50DFC" w:rsidP="0073298C">
            <w:pPr>
              <w:spacing w:before="22" w:after="22"/>
              <w:ind w:left="22" w:right="22"/>
              <w:rPr>
                <w:color w:val="000000"/>
              </w:rPr>
            </w:pPr>
            <w:r>
              <w:rPr>
                <w:color w:val="000000"/>
              </w:rPr>
              <w:t> </w:t>
            </w:r>
          </w:p>
        </w:tc>
        <w:tc>
          <w:tcPr>
            <w:tcW w:w="107" w:type="dxa"/>
            <w:tcBorders>
              <w:top w:val="nil"/>
              <w:left w:val="nil"/>
              <w:bottom w:val="single" w:sz="6" w:space="0" w:color="00467E"/>
              <w:right w:val="nil"/>
            </w:tcBorders>
            <w:vAlign w:val="bottom"/>
          </w:tcPr>
          <w:p w:rsidR="00D50DFC" w:rsidRDefault="00D50DFC" w:rsidP="0073298C">
            <w:pPr>
              <w:spacing w:before="22" w:after="22"/>
              <w:ind w:left="22" w:right="22"/>
              <w:rPr>
                <w:color w:val="000000"/>
              </w:rPr>
            </w:pPr>
            <w:r>
              <w:rPr>
                <w:color w:val="000000"/>
              </w:rPr>
              <w:t> </w:t>
            </w:r>
          </w:p>
        </w:tc>
        <w:tc>
          <w:tcPr>
            <w:tcW w:w="1513" w:type="dxa"/>
            <w:gridSpan w:val="2"/>
            <w:tcBorders>
              <w:top w:val="nil"/>
              <w:left w:val="nil"/>
              <w:bottom w:val="single" w:sz="6" w:space="0" w:color="00467E"/>
              <w:right w:val="single" w:sz="6" w:space="0" w:color="00467E"/>
            </w:tcBorders>
            <w:vAlign w:val="bottom"/>
          </w:tcPr>
          <w:p w:rsidR="00D50DFC" w:rsidRDefault="00D50DFC" w:rsidP="0073298C">
            <w:pPr>
              <w:spacing w:before="22" w:after="22"/>
              <w:ind w:left="22" w:right="22"/>
              <w:rPr>
                <w:color w:val="000000"/>
              </w:rPr>
            </w:pPr>
            <w:r>
              <w:rPr>
                <w:color w:val="000000"/>
              </w:rPr>
              <w:t> </w:t>
            </w:r>
          </w:p>
        </w:tc>
      </w:tr>
    </w:tbl>
    <w:p w:rsidR="00D50DFC" w:rsidRDefault="00D50DFC" w:rsidP="00D50DFC">
      <w:pPr>
        <w:spacing w:after="264"/>
        <w:jc w:val="both"/>
        <w:rPr>
          <w:rFonts w:ascii="Arial" w:hAnsi="Arial" w:cs="Arial"/>
          <w:color w:val="000000"/>
          <w:sz w:val="18"/>
          <w:szCs w:val="18"/>
        </w:rPr>
      </w:pPr>
      <w:r>
        <w:rPr>
          <w:rFonts w:ascii="Arial" w:hAnsi="Arial" w:cs="Arial"/>
          <w:color w:val="000000"/>
          <w:sz w:val="18"/>
          <w:szCs w:val="18"/>
        </w:rPr>
        <w:t>As of December 31, 2017, we had approximately 780 Trans-</w:t>
      </w:r>
      <w:proofErr w:type="spellStart"/>
      <w:r>
        <w:rPr>
          <w:rFonts w:ascii="Arial" w:hAnsi="Arial" w:cs="Arial"/>
          <w:color w:val="000000"/>
          <w:sz w:val="18"/>
          <w:szCs w:val="18"/>
        </w:rPr>
        <w:t>Mex</w:t>
      </w:r>
      <w:proofErr w:type="spellEnd"/>
      <w:r>
        <w:rPr>
          <w:rFonts w:ascii="Arial" w:hAnsi="Arial" w:cs="Arial"/>
          <w:color w:val="000000"/>
          <w:sz w:val="18"/>
          <w:szCs w:val="18"/>
        </w:rPr>
        <w:t xml:space="preserve"> driving associates in Mexico that were represented by a union.</w:t>
      </w:r>
    </w:p>
    <w:p w:rsidR="00D50DFC" w:rsidRPr="00D50DFC" w:rsidRDefault="00D50DFC" w:rsidP="000E3B20">
      <w:pPr>
        <w:pStyle w:val="Heading2"/>
      </w:pPr>
      <w:bookmarkStart w:id="10" w:name="_Toc526330206"/>
      <w:r w:rsidRPr="00D50DFC">
        <w:t>Safety</w:t>
      </w:r>
      <w:bookmarkEnd w:id="10"/>
    </w:p>
    <w:p w:rsidR="00D50DFC" w:rsidRDefault="00D50DFC" w:rsidP="00D50DFC">
      <w:pPr>
        <w:spacing w:before="132" w:after="88"/>
        <w:jc w:val="both"/>
        <w:rPr>
          <w:rFonts w:ascii="Arial" w:hAnsi="Arial" w:cs="Arial"/>
          <w:color w:val="000000"/>
          <w:sz w:val="18"/>
          <w:szCs w:val="18"/>
        </w:rPr>
      </w:pPr>
      <w:r>
        <w:rPr>
          <w:rFonts w:ascii="Arial" w:hAnsi="Arial" w:cs="Arial"/>
          <w:color w:val="000000"/>
          <w:sz w:val="18"/>
          <w:szCs w:val="18"/>
        </w:rPr>
        <w:t>We are committed to safe and secure operations. We conduct a mandatory intensive driver qualification process, including defensive driving training for all drivers, which includes our company driving associates. We require prospective drivers to meet higher qualification standards than those required by the DOT. We regularly communicate with drivers to promote safety and instill safe work habits through effective use of various media and safety review sessions. We dedicate personnel and resources designed to ensure safe operation and regulatory compliance. We employ technology to assist us in managing risks associated with our business. In addition, we have an innovative recognition program for driver safety performance and emphasize safety through our equipment specifications and maintenance programs. Our Corporate Directors of Safety review all accidents and report weekly to the Senior Director of Safety and Risk Management.</w:t>
      </w:r>
    </w:p>
    <w:p w:rsidR="00D50DFC" w:rsidRPr="00D50DFC" w:rsidRDefault="00D50DFC" w:rsidP="000E3B20">
      <w:pPr>
        <w:pStyle w:val="Heading2"/>
      </w:pPr>
      <w:bookmarkStart w:id="11" w:name="_Toc526330207"/>
      <w:r w:rsidRPr="00D50DFC">
        <w:lastRenderedPageBreak/>
        <w:t>Insurance</w:t>
      </w:r>
      <w:bookmarkEnd w:id="11"/>
    </w:p>
    <w:p w:rsidR="00D50DFC" w:rsidRDefault="00D50DFC" w:rsidP="00D50DFC">
      <w:pPr>
        <w:spacing w:before="176" w:after="22"/>
        <w:ind w:right="22"/>
        <w:rPr>
          <w:rFonts w:ascii="Arial" w:hAnsi="Arial" w:cs="Arial"/>
          <w:color w:val="000000"/>
          <w:sz w:val="18"/>
          <w:szCs w:val="18"/>
        </w:rPr>
      </w:pPr>
      <w:r>
        <w:rPr>
          <w:rFonts w:ascii="Arial" w:hAnsi="Arial" w:cs="Arial"/>
          <w:color w:val="000000"/>
          <w:sz w:val="18"/>
          <w:szCs w:val="18"/>
        </w:rPr>
        <w:t>The primary claims arising in our business consist of auto liability, including personal injury, property damage, physical damage, and cargo loss. We self-insure for a significant portion of our claims exposure and related expenses. We also maintain insurance that covers our directors and officers for losses and expenses arising out of claims, based on acts or omissions in their capacities as directors or officers. While under dispatch and the Company's operating authority, the independent contractors the Company contracts with are covered by the Company's liability coverage and self-insurance retention limits. However, each is responsible for physical damage to his or her own equipment, occupational accident coverage, and liability exposure while the truck is used for non-company purposes. Additionally, fleet operators are responsible for any applicable workers' compensation requirements for their employees</w:t>
      </w:r>
    </w:p>
    <w:p w:rsidR="00D50DFC" w:rsidRPr="00D50DFC" w:rsidRDefault="00D50DFC" w:rsidP="000E3B20">
      <w:pPr>
        <w:pStyle w:val="Heading2"/>
      </w:pPr>
      <w:bookmarkStart w:id="12" w:name="_Toc526330208"/>
      <w:r w:rsidRPr="00D50DFC">
        <w:t>Fuel</w:t>
      </w:r>
      <w:bookmarkEnd w:id="12"/>
    </w:p>
    <w:p w:rsidR="00D50DFC" w:rsidRDefault="00D50DFC" w:rsidP="00D50DFC">
      <w:pPr>
        <w:spacing w:after="264"/>
        <w:jc w:val="both"/>
        <w:rPr>
          <w:rFonts w:ascii="Arial" w:hAnsi="Arial" w:cs="Arial"/>
          <w:color w:val="000000"/>
          <w:sz w:val="18"/>
          <w:szCs w:val="18"/>
        </w:rPr>
      </w:pPr>
      <w:r>
        <w:rPr>
          <w:rFonts w:ascii="Arial" w:hAnsi="Arial" w:cs="Arial"/>
          <w:color w:val="000000"/>
          <w:sz w:val="18"/>
          <w:szCs w:val="18"/>
        </w:rPr>
        <w:t>We actively manage our fuel purchasing network in an effort to maintain adequate fuel supplies and reduce our fuel costs. Additionally, we utilize a fuel surcharge program to pass a majority of increases in fuel costs to our customers. In 2017, we purchased 14.8% of our fuel in bulk at our Swift, Knight, and dedicated customer locations across the United States and Mexico. We purchased substantially all of the remainder through a network of retail truck stops with which we have negotiated volume purchasing discounts. The volumes we purchase at terminals and through the fuel network vary based on procurement costs and other factors. We seek to reduce our fuel costs by routing our driving associates to truck stops when fuel prices at such stops are cheaper than the bulk rate paid for fuel at our terminals. We primarily store fuel in above-ground storage tanks at most of our other bulk fueling terminals. We believe that we are sufficiently in compliance with applicable environmental laws and regulations relating to the storage and dispensing of fuel.</w:t>
      </w:r>
    </w:p>
    <w:p w:rsidR="00D50DFC" w:rsidRPr="00D50DFC" w:rsidRDefault="00D50DFC" w:rsidP="000E3B20">
      <w:pPr>
        <w:pStyle w:val="Heading2"/>
      </w:pPr>
      <w:bookmarkStart w:id="13" w:name="_Toc526330209"/>
      <w:r w:rsidRPr="00D50DFC">
        <w:t>Seasonality</w:t>
      </w:r>
      <w:bookmarkEnd w:id="13"/>
    </w:p>
    <w:p w:rsidR="00D50DFC" w:rsidRDefault="00D50DFC" w:rsidP="00D50DFC">
      <w:pPr>
        <w:spacing w:after="264"/>
        <w:jc w:val="both"/>
        <w:rPr>
          <w:rFonts w:ascii="Arial" w:hAnsi="Arial" w:cs="Arial"/>
          <w:color w:val="000000"/>
          <w:sz w:val="18"/>
          <w:szCs w:val="18"/>
        </w:rPr>
      </w:pPr>
      <w:r>
        <w:rPr>
          <w:rFonts w:ascii="Arial" w:hAnsi="Arial" w:cs="Arial"/>
          <w:color w:val="000000"/>
          <w:sz w:val="18"/>
          <w:szCs w:val="18"/>
        </w:rPr>
        <w:t xml:space="preserve">In the transportation industry, results of operations generally follow a seasonal pattern. Freight volumes in the first quarter are typically lower due to less consumer demand, customers reducing shipments following the holiday season, and inclement weather impeding operations. At the same time, operating expenses generally increase, and tractor productivity of our fleet, independent contractors, and third-party </w:t>
      </w:r>
      <w:proofErr w:type="gramStart"/>
      <w:r>
        <w:rPr>
          <w:rFonts w:ascii="Arial" w:hAnsi="Arial" w:cs="Arial"/>
          <w:color w:val="000000"/>
          <w:sz w:val="18"/>
          <w:szCs w:val="18"/>
        </w:rPr>
        <w:t>carriers</w:t>
      </w:r>
      <w:proofErr w:type="gramEnd"/>
      <w:r>
        <w:rPr>
          <w:rFonts w:ascii="Arial" w:hAnsi="Arial" w:cs="Arial"/>
          <w:color w:val="000000"/>
          <w:sz w:val="18"/>
          <w:szCs w:val="18"/>
        </w:rPr>
        <w:t xml:space="preserve"> decreases during the winter months due to decreased fuel efficiency, increased cold-weather-related equipment maintenance and repairs, and increased insurance claims and costs attributed to higher accident frequency from harsh weather. During this period, the profitability of our operations is generally lower than during other parts of the year. Additionally, we have seen surges between Thanksgiving and Christmas resulting from holiday shopping trends toward delivery of gifts purchased over the Internet, as well as the impact of shorter holiday seasons (Thanksgiving holiday recently falling closer to Christmas).</w:t>
      </w:r>
    </w:p>
    <w:p w:rsidR="00D50DFC" w:rsidRPr="00D50DFC" w:rsidRDefault="00D50DFC" w:rsidP="00D50DFC">
      <w:pPr>
        <w:pStyle w:val="Heading1"/>
      </w:pPr>
      <w:bookmarkStart w:id="14" w:name="_Toc526330210"/>
      <w:r w:rsidRPr="00D50DFC">
        <w:t>Industry Regulation</w:t>
      </w:r>
      <w:bookmarkEnd w:id="14"/>
    </w:p>
    <w:p w:rsidR="00D50DFC" w:rsidRDefault="00D50DFC" w:rsidP="00D50DFC">
      <w:pPr>
        <w:spacing w:after="132"/>
        <w:jc w:val="both"/>
        <w:rPr>
          <w:rFonts w:ascii="Arial" w:hAnsi="Arial" w:cs="Arial"/>
          <w:color w:val="000000"/>
          <w:sz w:val="18"/>
          <w:szCs w:val="18"/>
        </w:rPr>
      </w:pPr>
      <w:r>
        <w:rPr>
          <w:rFonts w:ascii="Arial" w:hAnsi="Arial" w:cs="Arial"/>
          <w:color w:val="000000"/>
          <w:sz w:val="18"/>
          <w:szCs w:val="18"/>
        </w:rPr>
        <w:t>Our operations are regulated and licensed by various federal, state, and local government agencies in North America, including the DOT, the FMCSA, and the United States Department of Homeland Security, among others. Our company, as well as our driving associates and independent contractors, must comply with enacted governmental regulations regarding safety, equipment, and operating methods. Examples include regulation of equipment weight, equipment dimensions, driver hours-of-service, driver eligibility requirements, on-board reporting of operations, and ergonomics. The following discussion presents recently enacted federal, state, and local regulations that have an impact on our operations.</w:t>
      </w:r>
    </w:p>
    <w:p w:rsidR="00D50DFC" w:rsidRDefault="00D50DFC" w:rsidP="00D50DFC">
      <w:pPr>
        <w:pStyle w:val="Heading2"/>
      </w:pPr>
      <w:bookmarkStart w:id="15" w:name="_Toc526330211"/>
      <w:r>
        <w:t>Hours-of-service</w:t>
      </w:r>
      <w:bookmarkEnd w:id="15"/>
    </w:p>
    <w:p w:rsidR="00D50DFC" w:rsidRDefault="00D50DFC" w:rsidP="00D50DFC">
      <w:pPr>
        <w:jc w:val="both"/>
        <w:rPr>
          <w:rFonts w:ascii="Arial" w:hAnsi="Arial" w:cs="Arial"/>
          <w:color w:val="000000"/>
          <w:sz w:val="18"/>
          <w:szCs w:val="18"/>
        </w:rPr>
      </w:pPr>
      <w:r>
        <w:rPr>
          <w:rFonts w:ascii="Arial" w:hAnsi="Arial" w:cs="Arial"/>
          <w:color w:val="000000"/>
          <w:sz w:val="18"/>
          <w:szCs w:val="18"/>
        </w:rPr>
        <w:t>From time to time, the FMCSA proposes and implements changes to regulations impacting hours-of-service. Such changes can negatively impact our productivity and affect our operations and profitability by reducing the number of hours per day or week our drivers may operate and/or disrupting our network. No such changes are currently proposed. However, any future changes to hours-of-service regulations could materially and adversely affect our operations and profitability.</w:t>
      </w:r>
    </w:p>
    <w:p w:rsidR="00D50DFC" w:rsidRDefault="00D50DFC" w:rsidP="00D50DFC">
      <w:pPr>
        <w:pStyle w:val="Heading2"/>
      </w:pPr>
      <w:bookmarkStart w:id="16" w:name="_Toc526330212"/>
      <w:r>
        <w:t>Safety and Fitness Ratings</w:t>
      </w:r>
      <w:bookmarkEnd w:id="16"/>
    </w:p>
    <w:p w:rsidR="00D50DFC" w:rsidRDefault="00D50DFC" w:rsidP="00D50DFC">
      <w:pPr>
        <w:spacing w:after="132"/>
        <w:jc w:val="both"/>
        <w:rPr>
          <w:rFonts w:ascii="Arial" w:hAnsi="Arial" w:cs="Arial"/>
          <w:color w:val="000000"/>
          <w:sz w:val="18"/>
          <w:szCs w:val="18"/>
        </w:rPr>
      </w:pPr>
      <w:r>
        <w:rPr>
          <w:rFonts w:ascii="Arial" w:hAnsi="Arial" w:cs="Arial"/>
          <w:color w:val="000000"/>
          <w:sz w:val="18"/>
          <w:szCs w:val="18"/>
        </w:rPr>
        <w:t xml:space="preserve">There are currently two methods of evaluating the safety and fitness of carriers: CSA BASICS, which evaluates and ranks fleets on certain safety-related standards by analyzing data from recent safety events and investigation results, and DOT </w:t>
      </w:r>
      <w:proofErr w:type="spellStart"/>
      <w:r>
        <w:rPr>
          <w:rFonts w:ascii="Arial" w:hAnsi="Arial" w:cs="Arial"/>
          <w:color w:val="000000"/>
          <w:sz w:val="18"/>
          <w:szCs w:val="18"/>
        </w:rPr>
        <w:t>SafeStat</w:t>
      </w:r>
      <w:proofErr w:type="spellEnd"/>
      <w:r>
        <w:rPr>
          <w:rFonts w:ascii="Arial" w:hAnsi="Arial" w:cs="Arial"/>
          <w:color w:val="000000"/>
          <w:sz w:val="18"/>
          <w:szCs w:val="18"/>
        </w:rPr>
        <w:t xml:space="preserve">, which is based on an on-site investigation and affects a carrier's ability to operate in interstate </w:t>
      </w:r>
      <w:r>
        <w:rPr>
          <w:rFonts w:ascii="Arial" w:hAnsi="Arial" w:cs="Arial"/>
          <w:color w:val="000000"/>
          <w:sz w:val="18"/>
          <w:szCs w:val="18"/>
        </w:rPr>
        <w:lastRenderedPageBreak/>
        <w:t>commerce. Additionally, the FMCSA has proposed rules in the past that would change the methodologies used to determine carrier safety and fitness.</w:t>
      </w:r>
    </w:p>
    <w:p w:rsidR="00D50DFC" w:rsidRDefault="00D50DFC" w:rsidP="00D50DFC">
      <w:pPr>
        <w:spacing w:after="264"/>
        <w:jc w:val="both"/>
        <w:rPr>
          <w:rFonts w:ascii="Arial" w:hAnsi="Arial" w:cs="Arial"/>
          <w:color w:val="000000"/>
          <w:sz w:val="18"/>
          <w:szCs w:val="18"/>
        </w:rPr>
      </w:pPr>
      <w:r>
        <w:rPr>
          <w:rFonts w:ascii="Arial" w:hAnsi="Arial" w:cs="Arial"/>
          <w:b/>
          <w:bCs w:val="0"/>
          <w:i/>
          <w:iCs/>
          <w:color w:val="9D1B11"/>
          <w:sz w:val="18"/>
          <w:szCs w:val="18"/>
        </w:rPr>
        <w:t xml:space="preserve">DOT </w:t>
      </w:r>
      <w:proofErr w:type="spellStart"/>
      <w:r>
        <w:rPr>
          <w:rFonts w:ascii="Arial" w:hAnsi="Arial" w:cs="Arial"/>
          <w:b/>
          <w:bCs w:val="0"/>
          <w:i/>
          <w:iCs/>
          <w:color w:val="9D1B11"/>
          <w:sz w:val="18"/>
          <w:szCs w:val="18"/>
        </w:rPr>
        <w:t>SafeStat</w:t>
      </w:r>
      <w:proofErr w:type="spellEnd"/>
      <w:r>
        <w:rPr>
          <w:rFonts w:ascii="Arial" w:hAnsi="Arial" w:cs="Arial"/>
          <w:b/>
          <w:bCs w:val="0"/>
          <w:i/>
          <w:iCs/>
          <w:color w:val="9D1B11"/>
          <w:sz w:val="18"/>
          <w:szCs w:val="18"/>
        </w:rPr>
        <w:t xml:space="preserve"> —</w:t>
      </w:r>
      <w:r>
        <w:rPr>
          <w:rFonts w:ascii="Arial" w:hAnsi="Arial" w:cs="Arial"/>
          <w:color w:val="000000"/>
          <w:sz w:val="18"/>
          <w:szCs w:val="18"/>
        </w:rPr>
        <w:t xml:space="preserve"> </w:t>
      </w:r>
      <w:proofErr w:type="spellStart"/>
      <w:r>
        <w:rPr>
          <w:rFonts w:ascii="Arial" w:hAnsi="Arial" w:cs="Arial"/>
          <w:color w:val="000000"/>
          <w:sz w:val="18"/>
          <w:szCs w:val="18"/>
        </w:rPr>
        <w:t>SafeStat</w:t>
      </w:r>
      <w:proofErr w:type="spellEnd"/>
      <w:r>
        <w:rPr>
          <w:rFonts w:ascii="Arial" w:hAnsi="Arial" w:cs="Arial"/>
          <w:color w:val="000000"/>
          <w:sz w:val="18"/>
          <w:szCs w:val="18"/>
        </w:rPr>
        <w:t xml:space="preserve"> is currently the only safety measurement system in effect. Both Knight and Swift currently have a satisfactory </w:t>
      </w:r>
      <w:proofErr w:type="spellStart"/>
      <w:r>
        <w:rPr>
          <w:rFonts w:ascii="Arial" w:hAnsi="Arial" w:cs="Arial"/>
          <w:color w:val="000000"/>
          <w:sz w:val="18"/>
          <w:szCs w:val="18"/>
        </w:rPr>
        <w:t>SafeStat</w:t>
      </w:r>
      <w:proofErr w:type="spellEnd"/>
      <w:r>
        <w:rPr>
          <w:rFonts w:ascii="Arial" w:hAnsi="Arial" w:cs="Arial"/>
          <w:color w:val="000000"/>
          <w:sz w:val="18"/>
          <w:szCs w:val="18"/>
        </w:rPr>
        <w:t xml:space="preserve"> DOT rating, which is the best available rating under the current safety rating scale. If we were to receive a conditional or unsatisfactory DOT safety rating, it could adversely affect our business, as some of our existing customer contracts require a satisfactory DOT safety rating.</w:t>
      </w:r>
    </w:p>
    <w:p w:rsidR="00D50DFC" w:rsidRDefault="00D50DFC" w:rsidP="00D50DFC">
      <w:pPr>
        <w:spacing w:after="132"/>
        <w:jc w:val="both"/>
        <w:rPr>
          <w:rFonts w:ascii="Arial" w:hAnsi="Arial" w:cs="Arial"/>
          <w:color w:val="000000"/>
          <w:sz w:val="18"/>
          <w:szCs w:val="18"/>
        </w:rPr>
      </w:pPr>
      <w:r>
        <w:rPr>
          <w:rFonts w:ascii="Arial" w:hAnsi="Arial" w:cs="Arial"/>
          <w:b/>
          <w:bCs w:val="0"/>
          <w:i/>
          <w:iCs/>
          <w:color w:val="9D1B11"/>
          <w:sz w:val="18"/>
          <w:szCs w:val="18"/>
        </w:rPr>
        <w:t>CSA BASICs —</w:t>
      </w:r>
      <w:r>
        <w:rPr>
          <w:rFonts w:ascii="Arial" w:hAnsi="Arial" w:cs="Arial"/>
          <w:color w:val="000000"/>
          <w:sz w:val="18"/>
          <w:szCs w:val="18"/>
        </w:rPr>
        <w:t xml:space="preserve"> In December 2010, the FMCSA introduced an enforcement and compliance model that ranks on seven categories of safety-related data. The seven categories of safety-related data, known as BASICs, currently include Unsafe Driving, Fatigued Driving (hours-of-service), Driver Fitness, Controlled Substances/Alcohol, Vehicle Maintenance, Hazardous Materials Compliance, and Crash Indicator.  Carriers are grouped by category with other carriers that have a similar number of safety events (i.e. crashes, inspections, or violations) and carriers are ranked and assigned a rating percentile or score to prioritize them for interventions if they are above a certain threshold. </w:t>
      </w:r>
    </w:p>
    <w:p w:rsidR="00D50DFC" w:rsidRDefault="00D50DFC" w:rsidP="00D50DFC">
      <w:pPr>
        <w:spacing w:after="132"/>
        <w:jc w:val="both"/>
        <w:rPr>
          <w:rFonts w:ascii="Arial" w:hAnsi="Arial" w:cs="Arial"/>
          <w:color w:val="000000"/>
          <w:sz w:val="18"/>
          <w:szCs w:val="18"/>
        </w:rPr>
      </w:pPr>
      <w:r>
        <w:rPr>
          <w:rFonts w:ascii="Arial" w:hAnsi="Arial" w:cs="Arial"/>
          <w:color w:val="000000"/>
          <w:sz w:val="18"/>
          <w:szCs w:val="18"/>
        </w:rPr>
        <w:t>Certain CSA BASICs information was initially published and made available to carriers, as well as the general public. However, in December 2015, as part of the Fixing America's Surface Transportation ("FAST") Act, Congress mandated that the FMCSA remove all CSA scores from public view until a more comprehensive study regarding the effectiveness of CSA BASICs improving truck safety could be completed. During this period of review by the FMCSA, we will continue to have access to our own scores and will still be subject to intervention by the FMCSA when such scores are above the intervention thresholds. The study was conducted and delivered to the FMCSA in June 2017 with several recommendations to make the CSA program more fair, accurate, and reliable. The FMCSA is expected to provide its report to Congress in early 2018 outlining the changes it will make to the CSA program in response to the study.</w:t>
      </w:r>
    </w:p>
    <w:p w:rsidR="00D50DFC" w:rsidRDefault="00D50DFC" w:rsidP="00D50DFC">
      <w:pPr>
        <w:spacing w:after="132"/>
        <w:jc w:val="both"/>
        <w:rPr>
          <w:rFonts w:ascii="Arial" w:hAnsi="Arial" w:cs="Arial"/>
          <w:color w:val="000000"/>
          <w:sz w:val="18"/>
          <w:szCs w:val="18"/>
        </w:rPr>
      </w:pPr>
      <w:r>
        <w:rPr>
          <w:rFonts w:ascii="Arial" w:hAnsi="Arial" w:cs="Arial"/>
          <w:color w:val="000000"/>
          <w:sz w:val="18"/>
          <w:szCs w:val="18"/>
        </w:rPr>
        <w:t>It is unclear if, when, and to what extent any such changes will occur. However, any changes that increase the likelihood of us receiving unfavorable scores could adversely affect our results of operations and profitability.</w:t>
      </w:r>
    </w:p>
    <w:p w:rsidR="00D50DFC" w:rsidRDefault="00D50DFC" w:rsidP="00D50DFC">
      <w:pPr>
        <w:spacing w:after="264"/>
        <w:jc w:val="both"/>
        <w:rPr>
          <w:rFonts w:ascii="Arial" w:hAnsi="Arial" w:cs="Arial"/>
          <w:color w:val="000000"/>
          <w:sz w:val="18"/>
          <w:szCs w:val="18"/>
        </w:rPr>
      </w:pPr>
      <w:r>
        <w:rPr>
          <w:rFonts w:ascii="Arial" w:hAnsi="Arial" w:cs="Arial"/>
          <w:color w:val="000000"/>
          <w:sz w:val="18"/>
          <w:szCs w:val="18"/>
        </w:rPr>
        <w:t>CSA BASICS scores do not currently have a direct impact on a carrier's safety rating.  However, the occurrence of unfavorable scores in one or more categories may affect driving associate recruiting and retention by causing qualified driving associates to seek employment with other carriers, cause our customers to direct their business away from us and to carriers with higher fleet rankings, subjecting us to an increase in compliance reviews and roadside inspections, or causing us to incur greater than expected expenses in our attempts to improve unfavorable scores, any of which could adversely affect our results of operations and profitability.</w:t>
      </w:r>
    </w:p>
    <w:p w:rsidR="00D50DFC" w:rsidRDefault="00D50DFC" w:rsidP="00D50DFC">
      <w:pPr>
        <w:spacing w:after="66"/>
        <w:jc w:val="both"/>
        <w:rPr>
          <w:rFonts w:ascii="Arial" w:hAnsi="Arial" w:cs="Arial"/>
          <w:color w:val="000000"/>
          <w:sz w:val="18"/>
          <w:szCs w:val="18"/>
        </w:rPr>
      </w:pPr>
      <w:r>
        <w:rPr>
          <w:rFonts w:ascii="Arial" w:hAnsi="Arial" w:cs="Arial"/>
          <w:b/>
          <w:bCs w:val="0"/>
          <w:i/>
          <w:iCs/>
          <w:color w:val="9D1B11"/>
          <w:sz w:val="18"/>
          <w:szCs w:val="18"/>
        </w:rPr>
        <w:t>Safety Fitness Determination —</w:t>
      </w:r>
      <w:r>
        <w:rPr>
          <w:rFonts w:ascii="Arial" w:hAnsi="Arial" w:cs="Arial"/>
          <w:color w:val="000000"/>
          <w:sz w:val="18"/>
          <w:szCs w:val="18"/>
        </w:rPr>
        <w:t>In January 2016, the FMCSA published a Notice of Proposed Rulemaking ("NPRM") in the Federal Register, regarding carrier safety fitness determination. The NPRM proposed new methodologies that would have determined when a motor carrier was not fit to operate a commercial motor vehicle. Key proposed changes that were included in the NPRM are as follows:</w:t>
      </w:r>
    </w:p>
    <w:tbl>
      <w:tblPr>
        <w:tblW w:w="10800" w:type="dxa"/>
        <w:tblLayout w:type="fixed"/>
        <w:tblCellMar>
          <w:left w:w="0" w:type="dxa"/>
          <w:right w:w="0" w:type="dxa"/>
        </w:tblCellMar>
        <w:tblLook w:val="0000"/>
      </w:tblPr>
      <w:tblGrid>
        <w:gridCol w:w="670"/>
        <w:gridCol w:w="3171"/>
        <w:gridCol w:w="4697"/>
        <w:gridCol w:w="691"/>
        <w:gridCol w:w="1492"/>
        <w:gridCol w:w="79"/>
      </w:tblGrid>
      <w:tr w:rsidR="00D50DFC" w:rsidTr="000E3B20">
        <w:tblPrEx>
          <w:tblCellMar>
            <w:top w:w="0" w:type="dxa"/>
            <w:left w:w="0" w:type="dxa"/>
            <w:bottom w:w="0" w:type="dxa"/>
            <w:right w:w="0" w:type="dxa"/>
          </w:tblCellMar>
        </w:tblPrEx>
        <w:trPr>
          <w:trHeight w:val="66"/>
        </w:trPr>
        <w:tc>
          <w:tcPr>
            <w:tcW w:w="670" w:type="dxa"/>
            <w:tcBorders>
              <w:top w:val="nil"/>
              <w:left w:val="nil"/>
              <w:bottom w:val="nil"/>
              <w:right w:val="nil"/>
            </w:tcBorders>
            <w:vAlign w:val="center"/>
          </w:tcPr>
          <w:p w:rsidR="00D50DFC" w:rsidRDefault="00D50DFC" w:rsidP="0073298C">
            <w:pPr>
              <w:rPr>
                <w:sz w:val="16"/>
                <w:szCs w:val="16"/>
              </w:rPr>
            </w:pPr>
            <w:r>
              <w:rPr>
                <w:sz w:val="16"/>
                <w:szCs w:val="16"/>
              </w:rPr>
              <w:t> </w:t>
            </w:r>
          </w:p>
        </w:tc>
        <w:tc>
          <w:tcPr>
            <w:tcW w:w="10130" w:type="dxa"/>
            <w:gridSpan w:val="5"/>
            <w:tcBorders>
              <w:top w:val="nil"/>
              <w:left w:val="nil"/>
              <w:bottom w:val="nil"/>
              <w:right w:val="nil"/>
            </w:tcBorders>
            <w:vAlign w:val="center"/>
          </w:tcPr>
          <w:p w:rsidR="00D50DFC" w:rsidRDefault="00D50DFC" w:rsidP="0073298C">
            <w:pPr>
              <w:rPr>
                <w:sz w:val="16"/>
                <w:szCs w:val="16"/>
              </w:rPr>
            </w:pPr>
            <w:r>
              <w:rPr>
                <w:sz w:val="16"/>
                <w:szCs w:val="16"/>
              </w:rPr>
              <w:t> </w:t>
            </w:r>
          </w:p>
        </w:tc>
      </w:tr>
      <w:tr w:rsidR="00D50DFC" w:rsidTr="000E3B20">
        <w:tblPrEx>
          <w:tblCellMar>
            <w:top w:w="0" w:type="dxa"/>
            <w:left w:w="0" w:type="dxa"/>
            <w:bottom w:w="0" w:type="dxa"/>
            <w:right w:w="0" w:type="dxa"/>
          </w:tblCellMar>
        </w:tblPrEx>
        <w:trPr>
          <w:trHeight w:val="513"/>
        </w:trPr>
        <w:tc>
          <w:tcPr>
            <w:tcW w:w="670" w:type="dxa"/>
            <w:tcBorders>
              <w:top w:val="nil"/>
              <w:left w:val="nil"/>
              <w:bottom w:val="nil"/>
              <w:right w:val="nil"/>
            </w:tcBorders>
          </w:tcPr>
          <w:p w:rsidR="00D50DFC" w:rsidRDefault="00D50DFC" w:rsidP="0073298C">
            <w:pPr>
              <w:rPr>
                <w:rFonts w:ascii="Arial" w:hAnsi="Arial" w:cs="Arial"/>
                <w:color w:val="000000"/>
                <w:sz w:val="18"/>
                <w:szCs w:val="18"/>
              </w:rPr>
            </w:pPr>
            <w:r>
              <w:rPr>
                <w:rFonts w:ascii="Arial" w:hAnsi="Arial" w:cs="Arial"/>
                <w:color w:val="000000"/>
                <w:sz w:val="18"/>
                <w:szCs w:val="18"/>
              </w:rPr>
              <w:t>•</w:t>
            </w:r>
          </w:p>
        </w:tc>
        <w:tc>
          <w:tcPr>
            <w:tcW w:w="10130" w:type="dxa"/>
            <w:gridSpan w:val="5"/>
            <w:tcBorders>
              <w:top w:val="nil"/>
              <w:left w:val="nil"/>
              <w:bottom w:val="nil"/>
              <w:right w:val="nil"/>
            </w:tcBorders>
          </w:tcPr>
          <w:p w:rsidR="00D50DFC" w:rsidRDefault="00D50DFC" w:rsidP="0073298C">
            <w:pPr>
              <w:jc w:val="both"/>
              <w:rPr>
                <w:rFonts w:ascii="Arial" w:hAnsi="Arial" w:cs="Arial"/>
                <w:color w:val="000000"/>
                <w:sz w:val="18"/>
                <w:szCs w:val="18"/>
              </w:rPr>
            </w:pPr>
            <w:r>
              <w:rPr>
                <w:rFonts w:ascii="Arial" w:hAnsi="Arial" w:cs="Arial"/>
                <w:color w:val="000000"/>
                <w:sz w:val="18"/>
                <w:szCs w:val="18"/>
              </w:rPr>
              <w:t>There would be only one safety rating of "unfit," as compared to the current rules, which have three safety ratings (satisfactory, conditional, and unsatisfactory).</w:t>
            </w:r>
          </w:p>
        </w:tc>
      </w:tr>
      <w:tr w:rsidR="00D50DFC" w:rsidTr="000E3B20">
        <w:tblPrEx>
          <w:tblCellMar>
            <w:top w:w="0" w:type="dxa"/>
            <w:left w:w="0" w:type="dxa"/>
            <w:bottom w:w="0" w:type="dxa"/>
            <w:right w:w="0" w:type="dxa"/>
          </w:tblCellMar>
        </w:tblPrEx>
        <w:trPr>
          <w:gridAfter w:val="1"/>
          <w:wAfter w:w="79" w:type="dxa"/>
          <w:trHeight w:val="290"/>
        </w:trPr>
        <w:tc>
          <w:tcPr>
            <w:tcW w:w="670" w:type="dxa"/>
            <w:tcBorders>
              <w:top w:val="nil"/>
              <w:left w:val="nil"/>
              <w:bottom w:val="nil"/>
              <w:right w:val="nil"/>
            </w:tcBorders>
          </w:tcPr>
          <w:p w:rsidR="00D50DFC" w:rsidRDefault="00D50DFC" w:rsidP="0073298C">
            <w:pPr>
              <w:rPr>
                <w:rFonts w:ascii="Arial" w:hAnsi="Arial" w:cs="Arial"/>
                <w:color w:val="000000"/>
                <w:sz w:val="18"/>
                <w:szCs w:val="18"/>
              </w:rPr>
            </w:pPr>
            <w:r>
              <w:rPr>
                <w:rFonts w:ascii="Arial" w:hAnsi="Arial" w:cs="Arial"/>
                <w:color w:val="000000"/>
                <w:sz w:val="18"/>
                <w:szCs w:val="18"/>
              </w:rPr>
              <w:t>•</w:t>
            </w:r>
          </w:p>
        </w:tc>
        <w:tc>
          <w:tcPr>
            <w:tcW w:w="10051" w:type="dxa"/>
            <w:gridSpan w:val="4"/>
            <w:tcBorders>
              <w:top w:val="nil"/>
              <w:left w:val="nil"/>
              <w:bottom w:val="nil"/>
              <w:right w:val="nil"/>
            </w:tcBorders>
          </w:tcPr>
          <w:p w:rsidR="00D50DFC" w:rsidRDefault="00D50DFC" w:rsidP="0073298C">
            <w:pPr>
              <w:jc w:val="both"/>
              <w:rPr>
                <w:rFonts w:ascii="Arial" w:hAnsi="Arial" w:cs="Arial"/>
                <w:color w:val="000000"/>
                <w:sz w:val="18"/>
                <w:szCs w:val="18"/>
              </w:rPr>
            </w:pPr>
            <w:r>
              <w:rPr>
                <w:rFonts w:ascii="Arial" w:hAnsi="Arial" w:cs="Arial"/>
                <w:color w:val="000000"/>
                <w:sz w:val="18"/>
                <w:szCs w:val="18"/>
              </w:rPr>
              <w:t>Carriers could be determined "unfit" by failing two or more BASICs, investigation results, or a combination of the two.</w:t>
            </w:r>
          </w:p>
        </w:tc>
      </w:tr>
      <w:tr w:rsidR="00D50DFC" w:rsidTr="000E3B20">
        <w:tblPrEx>
          <w:tblCellMar>
            <w:top w:w="0" w:type="dxa"/>
            <w:left w:w="0" w:type="dxa"/>
            <w:bottom w:w="0" w:type="dxa"/>
            <w:right w:w="0" w:type="dxa"/>
          </w:tblCellMar>
        </w:tblPrEx>
        <w:trPr>
          <w:trHeight w:val="513"/>
        </w:trPr>
        <w:tc>
          <w:tcPr>
            <w:tcW w:w="670" w:type="dxa"/>
            <w:tcBorders>
              <w:top w:val="nil"/>
              <w:left w:val="nil"/>
              <w:bottom w:val="nil"/>
              <w:right w:val="nil"/>
            </w:tcBorders>
          </w:tcPr>
          <w:p w:rsidR="00D50DFC" w:rsidRDefault="00D50DFC" w:rsidP="0073298C">
            <w:pPr>
              <w:rPr>
                <w:rFonts w:ascii="Arial" w:hAnsi="Arial" w:cs="Arial"/>
                <w:color w:val="000000"/>
                <w:sz w:val="18"/>
                <w:szCs w:val="18"/>
              </w:rPr>
            </w:pPr>
            <w:r>
              <w:rPr>
                <w:rFonts w:ascii="Arial" w:hAnsi="Arial" w:cs="Arial"/>
                <w:color w:val="000000"/>
                <w:sz w:val="18"/>
                <w:szCs w:val="18"/>
              </w:rPr>
              <w:t>•</w:t>
            </w:r>
          </w:p>
        </w:tc>
        <w:tc>
          <w:tcPr>
            <w:tcW w:w="10130" w:type="dxa"/>
            <w:gridSpan w:val="5"/>
            <w:tcBorders>
              <w:top w:val="nil"/>
              <w:left w:val="nil"/>
              <w:bottom w:val="nil"/>
              <w:right w:val="nil"/>
            </w:tcBorders>
          </w:tcPr>
          <w:p w:rsidR="00D50DFC" w:rsidRDefault="00D50DFC" w:rsidP="0073298C">
            <w:pPr>
              <w:jc w:val="both"/>
              <w:rPr>
                <w:rFonts w:ascii="Arial" w:hAnsi="Arial" w:cs="Arial"/>
                <w:color w:val="000000"/>
                <w:sz w:val="18"/>
                <w:szCs w:val="18"/>
              </w:rPr>
            </w:pPr>
            <w:r>
              <w:rPr>
                <w:rFonts w:ascii="Arial" w:hAnsi="Arial" w:cs="Arial"/>
                <w:color w:val="000000"/>
                <w:sz w:val="18"/>
                <w:szCs w:val="18"/>
              </w:rPr>
              <w:t>Stricter standards would be used for BASICs with a higher correlation to crash risk (Unsafe Driving and Hours-of-Service Compliance).</w:t>
            </w:r>
          </w:p>
        </w:tc>
      </w:tr>
      <w:tr w:rsidR="00D50DFC" w:rsidTr="000E3B20">
        <w:tblPrEx>
          <w:tblCellMar>
            <w:top w:w="0" w:type="dxa"/>
            <w:left w:w="0" w:type="dxa"/>
            <w:bottom w:w="0" w:type="dxa"/>
            <w:right w:w="0" w:type="dxa"/>
          </w:tblCellMar>
        </w:tblPrEx>
        <w:trPr>
          <w:gridAfter w:val="3"/>
          <w:wAfter w:w="2262" w:type="dxa"/>
          <w:trHeight w:val="513"/>
        </w:trPr>
        <w:tc>
          <w:tcPr>
            <w:tcW w:w="670" w:type="dxa"/>
            <w:tcBorders>
              <w:top w:val="nil"/>
              <w:left w:val="nil"/>
              <w:bottom w:val="nil"/>
              <w:right w:val="nil"/>
            </w:tcBorders>
          </w:tcPr>
          <w:p w:rsidR="00D50DFC" w:rsidRDefault="00D50DFC" w:rsidP="0073298C">
            <w:pPr>
              <w:rPr>
                <w:rFonts w:ascii="Arial" w:hAnsi="Arial" w:cs="Arial"/>
                <w:color w:val="000000"/>
                <w:sz w:val="18"/>
                <w:szCs w:val="18"/>
              </w:rPr>
            </w:pPr>
            <w:r>
              <w:rPr>
                <w:rFonts w:ascii="Arial" w:hAnsi="Arial" w:cs="Arial"/>
                <w:color w:val="000000"/>
                <w:sz w:val="18"/>
                <w:szCs w:val="18"/>
              </w:rPr>
              <w:t>•</w:t>
            </w:r>
          </w:p>
        </w:tc>
        <w:tc>
          <w:tcPr>
            <w:tcW w:w="7868" w:type="dxa"/>
            <w:gridSpan w:val="2"/>
            <w:tcBorders>
              <w:top w:val="nil"/>
              <w:left w:val="nil"/>
              <w:bottom w:val="nil"/>
              <w:right w:val="nil"/>
            </w:tcBorders>
          </w:tcPr>
          <w:p w:rsidR="00D50DFC" w:rsidRDefault="00D50DFC" w:rsidP="0073298C">
            <w:pPr>
              <w:jc w:val="both"/>
              <w:rPr>
                <w:rFonts w:ascii="Arial" w:hAnsi="Arial" w:cs="Arial"/>
                <w:color w:val="000000"/>
                <w:sz w:val="18"/>
                <w:szCs w:val="18"/>
              </w:rPr>
            </w:pPr>
            <w:r>
              <w:rPr>
                <w:rFonts w:ascii="Arial" w:hAnsi="Arial" w:cs="Arial"/>
                <w:color w:val="000000"/>
                <w:sz w:val="18"/>
                <w:szCs w:val="18"/>
              </w:rPr>
              <w:t>All investigation results would be used, not just results from comprehensive on-site reviews.</w:t>
            </w:r>
          </w:p>
        </w:tc>
      </w:tr>
      <w:tr w:rsidR="00D50DFC" w:rsidTr="000E3B20">
        <w:tblPrEx>
          <w:tblCellMar>
            <w:top w:w="0" w:type="dxa"/>
            <w:left w:w="0" w:type="dxa"/>
            <w:bottom w:w="0" w:type="dxa"/>
            <w:right w:w="0" w:type="dxa"/>
          </w:tblCellMar>
        </w:tblPrEx>
        <w:trPr>
          <w:gridAfter w:val="2"/>
          <w:wAfter w:w="1571" w:type="dxa"/>
          <w:trHeight w:val="290"/>
        </w:trPr>
        <w:tc>
          <w:tcPr>
            <w:tcW w:w="670" w:type="dxa"/>
            <w:tcBorders>
              <w:top w:val="nil"/>
              <w:left w:val="nil"/>
              <w:bottom w:val="nil"/>
              <w:right w:val="nil"/>
            </w:tcBorders>
          </w:tcPr>
          <w:p w:rsidR="00D50DFC" w:rsidRDefault="00D50DFC" w:rsidP="0073298C">
            <w:pPr>
              <w:rPr>
                <w:rFonts w:ascii="Arial" w:hAnsi="Arial" w:cs="Arial"/>
                <w:color w:val="000000"/>
                <w:sz w:val="18"/>
                <w:szCs w:val="18"/>
              </w:rPr>
            </w:pPr>
            <w:r>
              <w:rPr>
                <w:rFonts w:ascii="Arial" w:hAnsi="Arial" w:cs="Arial"/>
                <w:color w:val="000000"/>
                <w:sz w:val="18"/>
                <w:szCs w:val="18"/>
              </w:rPr>
              <w:t>•</w:t>
            </w:r>
          </w:p>
        </w:tc>
        <w:tc>
          <w:tcPr>
            <w:tcW w:w="8559" w:type="dxa"/>
            <w:gridSpan w:val="3"/>
            <w:tcBorders>
              <w:top w:val="nil"/>
              <w:left w:val="nil"/>
              <w:bottom w:val="nil"/>
              <w:right w:val="nil"/>
            </w:tcBorders>
          </w:tcPr>
          <w:p w:rsidR="00D50DFC" w:rsidRDefault="00D50DFC" w:rsidP="0073298C">
            <w:pPr>
              <w:jc w:val="both"/>
              <w:rPr>
                <w:rFonts w:ascii="Arial" w:hAnsi="Arial" w:cs="Arial"/>
                <w:color w:val="000000"/>
                <w:sz w:val="18"/>
                <w:szCs w:val="18"/>
              </w:rPr>
            </w:pPr>
            <w:r>
              <w:rPr>
                <w:rFonts w:ascii="Arial" w:hAnsi="Arial" w:cs="Arial"/>
                <w:color w:val="000000"/>
                <w:sz w:val="18"/>
                <w:szCs w:val="18"/>
              </w:rPr>
              <w:t>Violations of a revised list of "critical" and "acute" safety regulations would result in failing a BASIC.</w:t>
            </w:r>
          </w:p>
        </w:tc>
      </w:tr>
      <w:tr w:rsidR="00D50DFC" w:rsidTr="000E3B20">
        <w:tblPrEx>
          <w:tblCellMar>
            <w:top w:w="0" w:type="dxa"/>
            <w:left w:w="0" w:type="dxa"/>
            <w:bottom w:w="0" w:type="dxa"/>
            <w:right w:w="0" w:type="dxa"/>
          </w:tblCellMar>
        </w:tblPrEx>
        <w:trPr>
          <w:gridAfter w:val="4"/>
          <w:wAfter w:w="6959" w:type="dxa"/>
          <w:trHeight w:val="580"/>
        </w:trPr>
        <w:tc>
          <w:tcPr>
            <w:tcW w:w="670" w:type="dxa"/>
            <w:tcBorders>
              <w:top w:val="nil"/>
              <w:left w:val="nil"/>
              <w:bottom w:val="nil"/>
              <w:right w:val="nil"/>
            </w:tcBorders>
          </w:tcPr>
          <w:p w:rsidR="00D50DFC" w:rsidRDefault="00D50DFC" w:rsidP="0073298C">
            <w:pPr>
              <w:rPr>
                <w:rFonts w:ascii="Arial" w:hAnsi="Arial" w:cs="Arial"/>
                <w:color w:val="000000"/>
                <w:sz w:val="18"/>
                <w:szCs w:val="18"/>
              </w:rPr>
            </w:pPr>
            <w:r>
              <w:rPr>
                <w:rFonts w:ascii="Arial" w:hAnsi="Arial" w:cs="Arial"/>
                <w:color w:val="000000"/>
                <w:sz w:val="18"/>
                <w:szCs w:val="18"/>
              </w:rPr>
              <w:t>•</w:t>
            </w:r>
          </w:p>
        </w:tc>
        <w:tc>
          <w:tcPr>
            <w:tcW w:w="3171" w:type="dxa"/>
            <w:tcBorders>
              <w:top w:val="nil"/>
              <w:left w:val="nil"/>
              <w:bottom w:val="nil"/>
              <w:right w:val="nil"/>
            </w:tcBorders>
          </w:tcPr>
          <w:p w:rsidR="00D50DFC" w:rsidRDefault="00D50DFC" w:rsidP="0073298C">
            <w:pPr>
              <w:jc w:val="both"/>
              <w:rPr>
                <w:rFonts w:ascii="Arial" w:hAnsi="Arial" w:cs="Arial"/>
                <w:color w:val="000000"/>
                <w:sz w:val="18"/>
                <w:szCs w:val="18"/>
              </w:rPr>
            </w:pPr>
            <w:r>
              <w:rPr>
                <w:rFonts w:ascii="Arial" w:hAnsi="Arial" w:cs="Arial"/>
                <w:color w:val="000000"/>
                <w:sz w:val="18"/>
                <w:szCs w:val="18"/>
              </w:rPr>
              <w:t>Carriers would be assessed monthly.</w:t>
            </w:r>
          </w:p>
        </w:tc>
      </w:tr>
    </w:tbl>
    <w:p w:rsidR="000E3B20" w:rsidRDefault="000E3B20" w:rsidP="00D50DFC">
      <w:pPr>
        <w:spacing w:after="132"/>
        <w:jc w:val="both"/>
        <w:rPr>
          <w:rFonts w:ascii="Arial" w:hAnsi="Arial" w:cs="Arial"/>
          <w:color w:val="000000"/>
          <w:sz w:val="18"/>
          <w:szCs w:val="18"/>
        </w:rPr>
      </w:pPr>
    </w:p>
    <w:p w:rsidR="00D50DFC" w:rsidRDefault="00D50DFC" w:rsidP="00D50DFC">
      <w:pPr>
        <w:spacing w:after="132"/>
        <w:jc w:val="both"/>
        <w:rPr>
          <w:rFonts w:ascii="Arial" w:hAnsi="Arial" w:cs="Arial"/>
          <w:color w:val="000000"/>
          <w:sz w:val="18"/>
          <w:szCs w:val="18"/>
        </w:rPr>
      </w:pPr>
      <w:r>
        <w:rPr>
          <w:rFonts w:ascii="Arial" w:hAnsi="Arial" w:cs="Arial"/>
          <w:color w:val="000000"/>
          <w:sz w:val="18"/>
          <w:szCs w:val="18"/>
        </w:rPr>
        <w:lastRenderedPageBreak/>
        <w:t xml:space="preserve">Public comments on the proposed rule were due in June 2016 and several industry groups and lawmakers expressed their disagreement with the proposed rule, arguing that it violates the requirements of the FAST Act and that the FMCSA must first finalize its review of the CSA scoring system. Based on this feedback and other concerns raised by industry stakeholders, in March 2017, the FMCSA withdrew the Notice of Proposed Rulemaking related to the new safety rating system. In its notice of withdrawal, the FMCSA noted that a new rulemaking related to a similar process may be initiated in the future. Therefore, it is uncertain if, when, or under what </w:t>
      </w:r>
      <w:proofErr w:type="gramStart"/>
      <w:r>
        <w:rPr>
          <w:rFonts w:ascii="Arial" w:hAnsi="Arial" w:cs="Arial"/>
          <w:color w:val="000000"/>
          <w:sz w:val="18"/>
          <w:szCs w:val="18"/>
        </w:rPr>
        <w:t>form any such rule</w:t>
      </w:r>
      <w:proofErr w:type="gramEnd"/>
      <w:r>
        <w:rPr>
          <w:rFonts w:ascii="Arial" w:hAnsi="Arial" w:cs="Arial"/>
          <w:color w:val="000000"/>
          <w:sz w:val="18"/>
          <w:szCs w:val="18"/>
        </w:rPr>
        <w:t xml:space="preserve"> could be implemented.</w:t>
      </w:r>
    </w:p>
    <w:p w:rsidR="00D50DFC" w:rsidRDefault="00D50DFC" w:rsidP="000E3B20">
      <w:pPr>
        <w:pStyle w:val="Heading2"/>
      </w:pPr>
      <w:bookmarkStart w:id="17" w:name="_Toc526330213"/>
      <w:r>
        <w:t>Moving Ahead for Progress in the 21st Century Bill</w:t>
      </w:r>
      <w:bookmarkEnd w:id="17"/>
    </w:p>
    <w:p w:rsidR="00D50DFC" w:rsidRDefault="00D50DFC" w:rsidP="00D50DFC">
      <w:pPr>
        <w:spacing w:after="132"/>
        <w:jc w:val="both"/>
        <w:rPr>
          <w:rFonts w:ascii="Arial" w:hAnsi="Arial" w:cs="Arial"/>
          <w:color w:val="000000"/>
          <w:sz w:val="18"/>
          <w:szCs w:val="18"/>
        </w:rPr>
      </w:pPr>
      <w:r>
        <w:rPr>
          <w:rFonts w:ascii="Arial" w:hAnsi="Arial" w:cs="Arial"/>
          <w:color w:val="000000"/>
          <w:sz w:val="18"/>
          <w:szCs w:val="18"/>
        </w:rPr>
        <w:t>In July 2012, Congress passed the Moving Ahead for Progress in the 21</w:t>
      </w:r>
      <w:r>
        <w:rPr>
          <w:rFonts w:ascii="Arial" w:hAnsi="Arial" w:cs="Arial"/>
          <w:color w:val="000000"/>
          <w:sz w:val="16"/>
          <w:szCs w:val="16"/>
          <w:vertAlign w:val="superscript"/>
        </w:rPr>
        <w:t>st</w:t>
      </w:r>
      <w:r>
        <w:rPr>
          <w:rFonts w:ascii="Arial" w:hAnsi="Arial" w:cs="Arial"/>
          <w:color w:val="000000"/>
          <w:sz w:val="18"/>
          <w:szCs w:val="18"/>
        </w:rPr>
        <w:t xml:space="preserve"> Century bill into law. Included in the highway bill was a provision that mandates electronic logging devices in commercial motor vehicles to record hours-of-service. Additionally, in response to the bill, a final rule related to entry-level driver training was passed in 2016, as well as amendments to the Drug and Alcohol Clearinghouse rules.</w:t>
      </w:r>
    </w:p>
    <w:p w:rsidR="00D50DFC" w:rsidRDefault="00D50DFC" w:rsidP="00D50DFC">
      <w:pPr>
        <w:spacing w:after="66"/>
        <w:jc w:val="both"/>
        <w:rPr>
          <w:rFonts w:ascii="Arial" w:hAnsi="Arial" w:cs="Arial"/>
          <w:color w:val="000000"/>
          <w:sz w:val="18"/>
          <w:szCs w:val="18"/>
        </w:rPr>
      </w:pPr>
      <w:r>
        <w:rPr>
          <w:rFonts w:ascii="Arial" w:hAnsi="Arial" w:cs="Arial"/>
          <w:b/>
          <w:bCs w:val="0"/>
          <w:i/>
          <w:iCs/>
          <w:color w:val="9D1B11"/>
          <w:sz w:val="18"/>
          <w:szCs w:val="18"/>
        </w:rPr>
        <w:t>ELD —</w:t>
      </w:r>
      <w:r>
        <w:rPr>
          <w:rFonts w:ascii="Arial" w:hAnsi="Arial" w:cs="Arial"/>
          <w:color w:val="000000"/>
          <w:sz w:val="18"/>
          <w:szCs w:val="18"/>
        </w:rPr>
        <w:t xml:space="preserve"> During 2012, the FMCSA published a Supplemental NPRM, announcing its plan to proceed with the ELDs and hours-of-service supporting documents rulemaking. The ELD rule became final in December 2015, as published in the Federal Register, with an effective date of February 16, 2016. The ELD rule phases in over a four-year period:</w:t>
      </w:r>
    </w:p>
    <w:tbl>
      <w:tblPr>
        <w:tblW w:w="10800" w:type="dxa"/>
        <w:tblLayout w:type="fixed"/>
        <w:tblCellMar>
          <w:left w:w="0" w:type="dxa"/>
          <w:right w:w="0" w:type="dxa"/>
        </w:tblCellMar>
        <w:tblLook w:val="0000"/>
      </w:tblPr>
      <w:tblGrid>
        <w:gridCol w:w="670"/>
        <w:gridCol w:w="10130"/>
      </w:tblGrid>
      <w:tr w:rsidR="00D50DFC" w:rsidTr="000E3B20">
        <w:tblPrEx>
          <w:tblCellMar>
            <w:top w:w="0" w:type="dxa"/>
            <w:left w:w="0" w:type="dxa"/>
            <w:bottom w:w="0" w:type="dxa"/>
            <w:right w:w="0" w:type="dxa"/>
          </w:tblCellMar>
        </w:tblPrEx>
        <w:trPr>
          <w:trHeight w:val="513"/>
        </w:trPr>
        <w:tc>
          <w:tcPr>
            <w:tcW w:w="670" w:type="dxa"/>
            <w:tcBorders>
              <w:top w:val="nil"/>
              <w:left w:val="nil"/>
              <w:bottom w:val="nil"/>
              <w:right w:val="nil"/>
            </w:tcBorders>
          </w:tcPr>
          <w:p w:rsidR="00D50DFC" w:rsidRDefault="00D50DFC" w:rsidP="0073298C">
            <w:pPr>
              <w:rPr>
                <w:rFonts w:ascii="Arial" w:hAnsi="Arial" w:cs="Arial"/>
                <w:color w:val="000000"/>
                <w:sz w:val="18"/>
                <w:szCs w:val="18"/>
              </w:rPr>
            </w:pPr>
            <w:r>
              <w:rPr>
                <w:rFonts w:ascii="Arial" w:hAnsi="Arial" w:cs="Arial"/>
                <w:color w:val="000000"/>
                <w:sz w:val="18"/>
                <w:szCs w:val="18"/>
              </w:rPr>
              <w:t>•</w:t>
            </w:r>
          </w:p>
        </w:tc>
        <w:tc>
          <w:tcPr>
            <w:tcW w:w="10130" w:type="dxa"/>
            <w:tcBorders>
              <w:top w:val="nil"/>
              <w:left w:val="nil"/>
              <w:bottom w:val="nil"/>
              <w:right w:val="nil"/>
            </w:tcBorders>
          </w:tcPr>
          <w:p w:rsidR="00D50DFC" w:rsidRDefault="00D50DFC" w:rsidP="0073298C">
            <w:pPr>
              <w:jc w:val="both"/>
              <w:rPr>
                <w:rFonts w:ascii="Arial" w:hAnsi="Arial" w:cs="Arial"/>
                <w:color w:val="000000"/>
                <w:sz w:val="18"/>
                <w:szCs w:val="18"/>
              </w:rPr>
            </w:pPr>
            <w:r>
              <w:rPr>
                <w:rFonts w:ascii="Arial" w:hAnsi="Arial" w:cs="Arial"/>
                <w:color w:val="000000"/>
                <w:sz w:val="18"/>
                <w:szCs w:val="18"/>
              </w:rPr>
              <w:t>Phase 1 (February 16, 2016 through December 18, 2017): Carriers and drivers subject to the rule may voluntarily use ELDs or use other forms of logging devices.</w:t>
            </w:r>
          </w:p>
        </w:tc>
      </w:tr>
      <w:tr w:rsidR="00D50DFC" w:rsidTr="000E3B20">
        <w:tblPrEx>
          <w:tblCellMar>
            <w:top w:w="0" w:type="dxa"/>
            <w:left w:w="0" w:type="dxa"/>
            <w:bottom w:w="0" w:type="dxa"/>
            <w:right w:w="0" w:type="dxa"/>
          </w:tblCellMar>
        </w:tblPrEx>
        <w:trPr>
          <w:trHeight w:val="736"/>
        </w:trPr>
        <w:tc>
          <w:tcPr>
            <w:tcW w:w="670" w:type="dxa"/>
            <w:tcBorders>
              <w:top w:val="nil"/>
              <w:left w:val="nil"/>
              <w:bottom w:val="nil"/>
              <w:right w:val="nil"/>
            </w:tcBorders>
          </w:tcPr>
          <w:p w:rsidR="00D50DFC" w:rsidRDefault="00D50DFC" w:rsidP="0073298C">
            <w:pPr>
              <w:rPr>
                <w:rFonts w:ascii="Arial" w:hAnsi="Arial" w:cs="Arial"/>
                <w:color w:val="000000"/>
                <w:sz w:val="18"/>
                <w:szCs w:val="18"/>
              </w:rPr>
            </w:pPr>
            <w:r>
              <w:rPr>
                <w:rFonts w:ascii="Arial" w:hAnsi="Arial" w:cs="Arial"/>
                <w:color w:val="000000"/>
                <w:sz w:val="18"/>
                <w:szCs w:val="18"/>
              </w:rPr>
              <w:t>•</w:t>
            </w:r>
          </w:p>
        </w:tc>
        <w:tc>
          <w:tcPr>
            <w:tcW w:w="10130" w:type="dxa"/>
            <w:tcBorders>
              <w:top w:val="nil"/>
              <w:left w:val="nil"/>
              <w:bottom w:val="nil"/>
              <w:right w:val="nil"/>
            </w:tcBorders>
          </w:tcPr>
          <w:p w:rsidR="00D50DFC" w:rsidRDefault="00D50DFC" w:rsidP="0073298C">
            <w:pPr>
              <w:jc w:val="both"/>
              <w:rPr>
                <w:rFonts w:ascii="Arial" w:hAnsi="Arial" w:cs="Arial"/>
                <w:color w:val="000000"/>
                <w:sz w:val="18"/>
                <w:szCs w:val="18"/>
              </w:rPr>
            </w:pPr>
            <w:r>
              <w:rPr>
                <w:rFonts w:ascii="Arial" w:hAnsi="Arial" w:cs="Arial"/>
                <w:color w:val="000000"/>
                <w:sz w:val="18"/>
                <w:szCs w:val="18"/>
              </w:rPr>
              <w:t>Phase 2 (December 18, 2017 through December 16, 2019): Carriers and drivers subject to the rule can use Automatic On-board Recording Devices ("AOBRD") that were installed prior to December 18, 2017 or ELDs certified and registered after December 16, 2015.</w:t>
            </w:r>
          </w:p>
        </w:tc>
      </w:tr>
      <w:tr w:rsidR="00D50DFC" w:rsidTr="000E3B20">
        <w:tblPrEx>
          <w:tblCellMar>
            <w:top w:w="0" w:type="dxa"/>
            <w:left w:w="0" w:type="dxa"/>
            <w:bottom w:w="0" w:type="dxa"/>
            <w:right w:w="0" w:type="dxa"/>
          </w:tblCellMar>
        </w:tblPrEx>
        <w:trPr>
          <w:trHeight w:val="580"/>
        </w:trPr>
        <w:tc>
          <w:tcPr>
            <w:tcW w:w="670" w:type="dxa"/>
            <w:tcBorders>
              <w:top w:val="nil"/>
              <w:left w:val="nil"/>
              <w:bottom w:val="nil"/>
              <w:right w:val="nil"/>
            </w:tcBorders>
          </w:tcPr>
          <w:p w:rsidR="00D50DFC" w:rsidRDefault="00D50DFC" w:rsidP="0073298C">
            <w:pPr>
              <w:rPr>
                <w:rFonts w:ascii="Arial" w:hAnsi="Arial" w:cs="Arial"/>
                <w:color w:val="000000"/>
                <w:sz w:val="18"/>
                <w:szCs w:val="18"/>
              </w:rPr>
            </w:pPr>
            <w:r>
              <w:rPr>
                <w:rFonts w:ascii="Arial" w:hAnsi="Arial" w:cs="Arial"/>
                <w:color w:val="000000"/>
                <w:sz w:val="18"/>
                <w:szCs w:val="18"/>
              </w:rPr>
              <w:t>•</w:t>
            </w:r>
          </w:p>
        </w:tc>
        <w:tc>
          <w:tcPr>
            <w:tcW w:w="10130" w:type="dxa"/>
            <w:tcBorders>
              <w:top w:val="nil"/>
              <w:left w:val="nil"/>
              <w:bottom w:val="nil"/>
              <w:right w:val="nil"/>
            </w:tcBorders>
          </w:tcPr>
          <w:p w:rsidR="00D50DFC" w:rsidRDefault="00D50DFC" w:rsidP="0073298C">
            <w:pPr>
              <w:jc w:val="both"/>
              <w:rPr>
                <w:rFonts w:ascii="Arial" w:hAnsi="Arial" w:cs="Arial"/>
                <w:color w:val="000000"/>
                <w:sz w:val="18"/>
                <w:szCs w:val="18"/>
              </w:rPr>
            </w:pPr>
            <w:r>
              <w:rPr>
                <w:rFonts w:ascii="Arial" w:hAnsi="Arial" w:cs="Arial"/>
                <w:color w:val="000000"/>
                <w:sz w:val="18"/>
                <w:szCs w:val="18"/>
              </w:rPr>
              <w:t>Phase 3 (after December 16, 2019): All drivers and carriers subject to the rule must use certified and registered ELDs that comply with the requirements of the ELD regulations.</w:t>
            </w:r>
          </w:p>
        </w:tc>
      </w:tr>
    </w:tbl>
    <w:p w:rsidR="00D50DFC" w:rsidRDefault="00D50DFC" w:rsidP="00D50DFC">
      <w:pPr>
        <w:spacing w:after="132"/>
        <w:jc w:val="both"/>
        <w:rPr>
          <w:rFonts w:ascii="Arial" w:hAnsi="Arial" w:cs="Arial"/>
          <w:color w:val="000000"/>
          <w:sz w:val="18"/>
          <w:szCs w:val="18"/>
        </w:rPr>
      </w:pPr>
      <w:r>
        <w:rPr>
          <w:rFonts w:ascii="Arial" w:hAnsi="Arial" w:cs="Arial"/>
          <w:color w:val="000000"/>
          <w:sz w:val="18"/>
          <w:szCs w:val="18"/>
        </w:rPr>
        <w:t>Although the final ELD rule may have a large impact on the industry as a whole, we have not experienced an adverse impact on Knight-Swift, as we previously installed ELDs in our operational trucks in conjunction with our efforts to improve efficiency and communications with driving associates and independent contractors. However, we believe that more effective hours-of-service enforcement under the ELD Rule may improve our competitive position by causing all carriers to adhere more closely to hours-of-service requirements.</w:t>
      </w:r>
    </w:p>
    <w:p w:rsidR="00D50DFC" w:rsidRDefault="00D50DFC" w:rsidP="00D50DFC">
      <w:pPr>
        <w:spacing w:after="132"/>
        <w:jc w:val="both"/>
        <w:rPr>
          <w:rFonts w:ascii="Arial" w:hAnsi="Arial" w:cs="Arial"/>
          <w:color w:val="000000"/>
          <w:sz w:val="18"/>
          <w:szCs w:val="18"/>
        </w:rPr>
      </w:pPr>
      <w:r>
        <w:rPr>
          <w:rFonts w:ascii="Arial" w:hAnsi="Arial" w:cs="Arial"/>
          <w:b/>
          <w:bCs w:val="0"/>
          <w:i/>
          <w:iCs/>
          <w:color w:val="9D1B11"/>
          <w:sz w:val="18"/>
          <w:szCs w:val="18"/>
        </w:rPr>
        <w:t>Entry-Level Driver Training —</w:t>
      </w:r>
      <w:r>
        <w:rPr>
          <w:rFonts w:ascii="Arial" w:hAnsi="Arial" w:cs="Arial"/>
          <w:color w:val="000000"/>
          <w:sz w:val="18"/>
          <w:szCs w:val="18"/>
        </w:rPr>
        <w:t xml:space="preserve"> In December 2016, the FMCSA established new minimum training standards for certain individuals applying for (or upgrading) a Class A or Class B commercial driver's license, or obtaining a hazardous materials, passenger, or school bus endorsement on their commercial driver's license for the first time. These individuals are subject to the Entry-level driver training requirements and must complete a prescribed program of theory and behind-the wheel instruction. The final rule requires that behind-the-wheel proficiency of an entry-level truck driver be determined solely by the instructor's evaluation of how well the driver-trainee performs the fundamental vehicle controls skills and driving procedures set forth in the curricula, but does not have a minimum training </w:t>
      </w:r>
      <w:proofErr w:type="gramStart"/>
      <w:r>
        <w:rPr>
          <w:rFonts w:ascii="Arial" w:hAnsi="Arial" w:cs="Arial"/>
          <w:color w:val="000000"/>
          <w:sz w:val="18"/>
          <w:szCs w:val="18"/>
        </w:rPr>
        <w:t>hours</w:t>
      </w:r>
      <w:proofErr w:type="gramEnd"/>
      <w:r>
        <w:rPr>
          <w:rFonts w:ascii="Arial" w:hAnsi="Arial" w:cs="Arial"/>
          <w:color w:val="000000"/>
          <w:sz w:val="18"/>
          <w:szCs w:val="18"/>
        </w:rPr>
        <w:t xml:space="preserve"> requirement, as proposed by the FMCSA earlier in 2016. The final rule went into effect on February 6, 2017, with a compliance date of February 7, 2020. Upon the compliance date, training schools will be required to register with the FMCSA's Training Provider Registry and certify that their program meets the classroom and driving standards. The effect of this rule could result in a decrease in fleet production and driver availability, either of which could adversely affect our business or operations.</w:t>
      </w:r>
    </w:p>
    <w:p w:rsidR="00D50DFC" w:rsidRDefault="00D50DFC" w:rsidP="00D50DFC">
      <w:pPr>
        <w:spacing w:after="264"/>
        <w:jc w:val="both"/>
        <w:rPr>
          <w:rFonts w:ascii="Arial" w:hAnsi="Arial" w:cs="Arial"/>
          <w:color w:val="000000"/>
          <w:sz w:val="18"/>
          <w:szCs w:val="18"/>
        </w:rPr>
      </w:pPr>
      <w:r>
        <w:rPr>
          <w:rFonts w:ascii="Arial" w:hAnsi="Arial" w:cs="Arial"/>
          <w:b/>
          <w:bCs w:val="0"/>
          <w:i/>
          <w:iCs/>
          <w:color w:val="9D1B11"/>
          <w:sz w:val="18"/>
          <w:szCs w:val="18"/>
        </w:rPr>
        <w:t>Commercial Driver's License Drug and Alcohol Clearinghouse —</w:t>
      </w:r>
      <w:r>
        <w:rPr>
          <w:rFonts w:ascii="Arial" w:hAnsi="Arial" w:cs="Arial"/>
          <w:color w:val="000000"/>
          <w:sz w:val="18"/>
          <w:szCs w:val="18"/>
        </w:rPr>
        <w:t xml:space="preserve"> In December 2016, the FMCSA amended the Federal Motor Carrier Safety Regulations to establish requirements of the Commercial Driver's License Drug and Alcohol Clearinghouse, a database under its administration that will contain information about violations of the FMCSA's drug and alcohol testing program for holders of commercial driver's licenses. In addition to requiring employers to check the database for driver applicant drug and alcohol test failures, the final rule requires employers to check the database to determine whether current employees have incurred a drug or alcohol violation that would prohibit them from performing safety-sensitive functions. The final rule became effective on January 4, 2017, with a compliance date of January 6, 2020. Upon implementation, the rule may reduce the number of available drivers in an already constrained driver market.</w:t>
      </w:r>
    </w:p>
    <w:p w:rsidR="00D50DFC" w:rsidRDefault="00D50DFC" w:rsidP="00FB555E">
      <w:pPr>
        <w:pStyle w:val="Heading2"/>
      </w:pPr>
      <w:bookmarkStart w:id="18" w:name="_Toc526330214"/>
      <w:r>
        <w:lastRenderedPageBreak/>
        <w:t>Prohibiting Coercion of Commercial Motor Vehicle Drivers</w:t>
      </w:r>
      <w:bookmarkEnd w:id="18"/>
    </w:p>
    <w:p w:rsidR="00D50DFC" w:rsidRDefault="00D50DFC" w:rsidP="00D50DFC">
      <w:pPr>
        <w:spacing w:after="264"/>
        <w:jc w:val="both"/>
        <w:rPr>
          <w:rFonts w:ascii="Arial" w:hAnsi="Arial" w:cs="Arial"/>
          <w:color w:val="000000"/>
          <w:sz w:val="18"/>
          <w:szCs w:val="18"/>
        </w:rPr>
      </w:pPr>
      <w:r>
        <w:rPr>
          <w:rFonts w:ascii="Arial" w:hAnsi="Arial" w:cs="Arial"/>
          <w:color w:val="000000"/>
          <w:sz w:val="18"/>
          <w:szCs w:val="18"/>
        </w:rPr>
        <w:t>In November 2015, the Prohibiting Coercion of Commercial Motor Vehicle Drivers rule became final, as published in the Federal Register and adopted by the FMCSA. The rule explicitly prohibits motor carriers from coercing drivers to violate certain FMCSA regulations, including driver hours-of-service limits, Commercial Drivers' License regulations, drug and alcohol testing rules, and hazardous materials regulations, among others. Under the rule, drivers can report incidents of coercion to the FMCSA, who is authorized to issue penalties against the motor carrier. We have not experienced any significant impacts from this rule.</w:t>
      </w:r>
    </w:p>
    <w:p w:rsidR="00D50DFC" w:rsidRDefault="00D50DFC" w:rsidP="00FB555E">
      <w:pPr>
        <w:pStyle w:val="Heading2"/>
      </w:pPr>
      <w:bookmarkStart w:id="19" w:name="_Toc526330215"/>
      <w:r>
        <w:t>Speed Limiting Devices</w:t>
      </w:r>
      <w:bookmarkEnd w:id="19"/>
    </w:p>
    <w:p w:rsidR="00D50DFC" w:rsidRDefault="00D50DFC" w:rsidP="00D50DFC">
      <w:pPr>
        <w:spacing w:after="132"/>
        <w:jc w:val="both"/>
        <w:rPr>
          <w:rFonts w:ascii="Arial" w:hAnsi="Arial" w:cs="Arial"/>
          <w:color w:val="000000"/>
          <w:sz w:val="18"/>
          <w:szCs w:val="18"/>
        </w:rPr>
      </w:pPr>
      <w:r>
        <w:rPr>
          <w:rFonts w:ascii="Arial" w:hAnsi="Arial" w:cs="Arial"/>
          <w:color w:val="000000"/>
          <w:sz w:val="18"/>
          <w:szCs w:val="18"/>
        </w:rPr>
        <w:t xml:space="preserve">In September 2016, the NHTSA and FMCSA proposed regulations that would require speed limiting devices on vehicles with a gross vehicle weight rating of more than 26,000 pounds for the service life of the vehicle. The speed was expected to be limited to 62, 65, or 68, but ultimately would have been </w:t>
      </w:r>
      <w:proofErr w:type="spellStart"/>
      <w:r>
        <w:rPr>
          <w:rFonts w:ascii="Arial" w:hAnsi="Arial" w:cs="Arial"/>
          <w:color w:val="000000"/>
          <w:sz w:val="18"/>
          <w:szCs w:val="18"/>
        </w:rPr>
        <w:t>be set</w:t>
      </w:r>
      <w:proofErr w:type="spellEnd"/>
      <w:r>
        <w:rPr>
          <w:rFonts w:ascii="Arial" w:hAnsi="Arial" w:cs="Arial"/>
          <w:color w:val="000000"/>
          <w:sz w:val="18"/>
          <w:szCs w:val="18"/>
        </w:rPr>
        <w:t xml:space="preserve"> by the final rule. Based on the agencies' review of the available data, limiting the speed of these heavy vehicles would reduce the severity of crashes involving these vehicles and reduce the resulting injuries and fatalities. Public comments on the proposed rule were due in November 2016, and in July 2017, the DOT announced that it would no longer pursue a speed limiter rule, but left open the possibility that it could resume such a pursuit in the future. The effect of this rule, to the extent it became effective, could result in a decrease in fleet production and driver availability, either of which could adversely affect our business or operations.</w:t>
      </w:r>
    </w:p>
    <w:p w:rsidR="00D50DFC" w:rsidRDefault="00D50DFC" w:rsidP="00D50DFC">
      <w:pPr>
        <w:spacing w:after="264"/>
        <w:jc w:val="both"/>
        <w:rPr>
          <w:rFonts w:ascii="Arial" w:hAnsi="Arial" w:cs="Arial"/>
          <w:color w:val="000000"/>
          <w:sz w:val="18"/>
          <w:szCs w:val="18"/>
        </w:rPr>
      </w:pPr>
      <w:r>
        <w:rPr>
          <w:rFonts w:ascii="Arial" w:hAnsi="Arial" w:cs="Arial"/>
          <w:color w:val="000000"/>
          <w:sz w:val="18"/>
          <w:szCs w:val="18"/>
        </w:rPr>
        <w:t>For safety, we electronically govern the speed of substantially all of our company tractors. Additionally, our independent contractor agreements include statements that independent contractors must comply with the Company's speed policy.</w:t>
      </w:r>
    </w:p>
    <w:p w:rsidR="00D50DFC" w:rsidRDefault="00D50DFC" w:rsidP="00FB555E">
      <w:pPr>
        <w:pStyle w:val="Heading2"/>
      </w:pPr>
      <w:bookmarkStart w:id="20" w:name="_Toc526330216"/>
      <w:r>
        <w:t>Food Safety Modernization Act of 2011 ("FSMA")</w:t>
      </w:r>
      <w:bookmarkEnd w:id="20"/>
    </w:p>
    <w:p w:rsidR="00D50DFC" w:rsidRDefault="00D50DFC" w:rsidP="00D50DFC">
      <w:pPr>
        <w:spacing w:after="66"/>
        <w:jc w:val="both"/>
        <w:rPr>
          <w:rFonts w:ascii="Arial" w:hAnsi="Arial" w:cs="Arial"/>
          <w:color w:val="000000"/>
          <w:sz w:val="18"/>
          <w:szCs w:val="18"/>
        </w:rPr>
      </w:pPr>
      <w:r>
        <w:rPr>
          <w:rFonts w:ascii="Arial" w:hAnsi="Arial" w:cs="Arial"/>
          <w:color w:val="000000"/>
          <w:sz w:val="18"/>
          <w:szCs w:val="18"/>
        </w:rPr>
        <w:t>In April 2016, the Food and Drug Administration published a final rule establishing requirements for shippers, loaders, carriers by motor vehicle and rail vehicle, and receivers engaged in the transportation of food, to use sanitary transportation practices to ensure the safety of the food they transport as part of the FSMA.  This rule sets forth requirements related to:</w:t>
      </w:r>
    </w:p>
    <w:tbl>
      <w:tblPr>
        <w:tblW w:w="10615" w:type="dxa"/>
        <w:tblLayout w:type="fixed"/>
        <w:tblCellMar>
          <w:left w:w="0" w:type="dxa"/>
          <w:right w:w="0" w:type="dxa"/>
        </w:tblCellMar>
        <w:tblLook w:val="0000"/>
      </w:tblPr>
      <w:tblGrid>
        <w:gridCol w:w="670"/>
        <w:gridCol w:w="5623"/>
        <w:gridCol w:w="260"/>
        <w:gridCol w:w="660"/>
        <w:gridCol w:w="3402"/>
      </w:tblGrid>
      <w:tr w:rsidR="00D50DFC" w:rsidTr="00FB555E">
        <w:tblPrEx>
          <w:tblCellMar>
            <w:top w:w="0" w:type="dxa"/>
            <w:left w:w="0" w:type="dxa"/>
            <w:bottom w:w="0" w:type="dxa"/>
            <w:right w:w="0" w:type="dxa"/>
          </w:tblCellMar>
        </w:tblPrEx>
        <w:trPr>
          <w:gridAfter w:val="3"/>
          <w:wAfter w:w="4322" w:type="dxa"/>
          <w:trHeight w:val="513"/>
        </w:trPr>
        <w:tc>
          <w:tcPr>
            <w:tcW w:w="670" w:type="dxa"/>
            <w:tcBorders>
              <w:top w:val="nil"/>
              <w:left w:val="nil"/>
              <w:bottom w:val="nil"/>
              <w:right w:val="nil"/>
            </w:tcBorders>
          </w:tcPr>
          <w:p w:rsidR="00D50DFC" w:rsidRDefault="00D50DFC" w:rsidP="0073298C">
            <w:pPr>
              <w:rPr>
                <w:rFonts w:ascii="Arial" w:hAnsi="Arial" w:cs="Arial"/>
                <w:color w:val="000000"/>
                <w:sz w:val="18"/>
                <w:szCs w:val="18"/>
              </w:rPr>
            </w:pPr>
            <w:r>
              <w:rPr>
                <w:rFonts w:ascii="Arial" w:hAnsi="Arial" w:cs="Arial"/>
                <w:color w:val="000000"/>
                <w:sz w:val="18"/>
                <w:szCs w:val="18"/>
              </w:rPr>
              <w:t>•</w:t>
            </w:r>
          </w:p>
        </w:tc>
        <w:tc>
          <w:tcPr>
            <w:tcW w:w="5623" w:type="dxa"/>
            <w:tcBorders>
              <w:top w:val="nil"/>
              <w:left w:val="nil"/>
              <w:bottom w:val="nil"/>
              <w:right w:val="nil"/>
            </w:tcBorders>
          </w:tcPr>
          <w:p w:rsidR="00D50DFC" w:rsidRDefault="00D50DFC" w:rsidP="0073298C">
            <w:pPr>
              <w:jc w:val="both"/>
              <w:rPr>
                <w:rFonts w:ascii="Arial" w:hAnsi="Arial" w:cs="Arial"/>
                <w:color w:val="000000"/>
                <w:sz w:val="18"/>
                <w:szCs w:val="18"/>
              </w:rPr>
            </w:pPr>
            <w:r>
              <w:rPr>
                <w:rFonts w:ascii="Arial" w:hAnsi="Arial" w:cs="Arial"/>
                <w:color w:val="000000"/>
                <w:sz w:val="18"/>
                <w:szCs w:val="18"/>
              </w:rPr>
              <w:t>the design and maintenance of equipment used to transport food,</w:t>
            </w:r>
          </w:p>
        </w:tc>
      </w:tr>
      <w:tr w:rsidR="00D50DFC" w:rsidTr="00FB555E">
        <w:tblPrEx>
          <w:tblCellMar>
            <w:top w:w="0" w:type="dxa"/>
            <w:left w:w="0" w:type="dxa"/>
            <w:bottom w:w="0" w:type="dxa"/>
            <w:right w:w="0" w:type="dxa"/>
          </w:tblCellMar>
        </w:tblPrEx>
        <w:trPr>
          <w:gridAfter w:val="2"/>
          <w:wAfter w:w="4062" w:type="dxa"/>
          <w:trHeight w:val="513"/>
        </w:trPr>
        <w:tc>
          <w:tcPr>
            <w:tcW w:w="670" w:type="dxa"/>
            <w:tcBorders>
              <w:top w:val="nil"/>
              <w:left w:val="nil"/>
              <w:bottom w:val="nil"/>
              <w:right w:val="nil"/>
            </w:tcBorders>
          </w:tcPr>
          <w:p w:rsidR="00D50DFC" w:rsidRDefault="00D50DFC" w:rsidP="0073298C">
            <w:pPr>
              <w:rPr>
                <w:rFonts w:ascii="Arial" w:hAnsi="Arial" w:cs="Arial"/>
                <w:color w:val="000000"/>
                <w:sz w:val="18"/>
                <w:szCs w:val="18"/>
              </w:rPr>
            </w:pPr>
            <w:r>
              <w:rPr>
                <w:rFonts w:ascii="Arial" w:hAnsi="Arial" w:cs="Arial"/>
                <w:color w:val="000000"/>
                <w:sz w:val="18"/>
                <w:szCs w:val="18"/>
              </w:rPr>
              <w:t>•</w:t>
            </w:r>
          </w:p>
        </w:tc>
        <w:tc>
          <w:tcPr>
            <w:tcW w:w="5883" w:type="dxa"/>
            <w:gridSpan w:val="2"/>
            <w:tcBorders>
              <w:top w:val="nil"/>
              <w:left w:val="nil"/>
              <w:bottom w:val="nil"/>
              <w:right w:val="nil"/>
            </w:tcBorders>
          </w:tcPr>
          <w:p w:rsidR="00D50DFC" w:rsidRDefault="00D50DFC" w:rsidP="0073298C">
            <w:pPr>
              <w:jc w:val="both"/>
              <w:rPr>
                <w:rFonts w:ascii="Arial" w:hAnsi="Arial" w:cs="Arial"/>
                <w:color w:val="000000"/>
                <w:sz w:val="18"/>
                <w:szCs w:val="18"/>
              </w:rPr>
            </w:pPr>
            <w:r>
              <w:rPr>
                <w:rFonts w:ascii="Arial" w:hAnsi="Arial" w:cs="Arial"/>
                <w:color w:val="000000"/>
                <w:sz w:val="18"/>
                <w:szCs w:val="18"/>
              </w:rPr>
              <w:t>the measures taken during food transportation to ensure food safety,</w:t>
            </w:r>
          </w:p>
        </w:tc>
      </w:tr>
      <w:tr w:rsidR="00D50DFC" w:rsidTr="00FB555E">
        <w:tblPrEx>
          <w:tblCellMar>
            <w:top w:w="0" w:type="dxa"/>
            <w:left w:w="0" w:type="dxa"/>
            <w:bottom w:w="0" w:type="dxa"/>
            <w:right w:w="0" w:type="dxa"/>
          </w:tblCellMar>
        </w:tblPrEx>
        <w:trPr>
          <w:gridAfter w:val="1"/>
          <w:wAfter w:w="3402" w:type="dxa"/>
          <w:trHeight w:val="513"/>
        </w:trPr>
        <w:tc>
          <w:tcPr>
            <w:tcW w:w="670" w:type="dxa"/>
            <w:tcBorders>
              <w:top w:val="nil"/>
              <w:left w:val="nil"/>
              <w:bottom w:val="nil"/>
              <w:right w:val="nil"/>
            </w:tcBorders>
          </w:tcPr>
          <w:p w:rsidR="00D50DFC" w:rsidRDefault="00D50DFC" w:rsidP="0073298C">
            <w:pPr>
              <w:rPr>
                <w:rFonts w:ascii="Arial" w:hAnsi="Arial" w:cs="Arial"/>
                <w:color w:val="000000"/>
                <w:sz w:val="18"/>
                <w:szCs w:val="18"/>
              </w:rPr>
            </w:pPr>
            <w:r>
              <w:rPr>
                <w:rFonts w:ascii="Arial" w:hAnsi="Arial" w:cs="Arial"/>
                <w:color w:val="000000"/>
                <w:sz w:val="18"/>
                <w:szCs w:val="18"/>
              </w:rPr>
              <w:t>•</w:t>
            </w:r>
          </w:p>
        </w:tc>
        <w:tc>
          <w:tcPr>
            <w:tcW w:w="6543" w:type="dxa"/>
            <w:gridSpan w:val="3"/>
            <w:tcBorders>
              <w:top w:val="nil"/>
              <w:left w:val="nil"/>
              <w:bottom w:val="nil"/>
              <w:right w:val="nil"/>
            </w:tcBorders>
          </w:tcPr>
          <w:p w:rsidR="00D50DFC" w:rsidRDefault="00D50DFC" w:rsidP="0073298C">
            <w:pPr>
              <w:jc w:val="both"/>
              <w:rPr>
                <w:rFonts w:ascii="Arial" w:hAnsi="Arial" w:cs="Arial"/>
                <w:color w:val="000000"/>
                <w:sz w:val="18"/>
                <w:szCs w:val="18"/>
              </w:rPr>
            </w:pPr>
            <w:r>
              <w:rPr>
                <w:rFonts w:ascii="Arial" w:hAnsi="Arial" w:cs="Arial"/>
                <w:color w:val="000000"/>
                <w:sz w:val="18"/>
                <w:szCs w:val="18"/>
              </w:rPr>
              <w:t>the training of carrier personnel in sanitary food transportation practices, and</w:t>
            </w:r>
          </w:p>
        </w:tc>
      </w:tr>
      <w:tr w:rsidR="00D50DFC" w:rsidTr="00FB555E">
        <w:tblPrEx>
          <w:tblCellMar>
            <w:top w:w="0" w:type="dxa"/>
            <w:left w:w="0" w:type="dxa"/>
            <w:bottom w:w="0" w:type="dxa"/>
            <w:right w:w="0" w:type="dxa"/>
          </w:tblCellMar>
        </w:tblPrEx>
        <w:trPr>
          <w:trHeight w:val="358"/>
        </w:trPr>
        <w:tc>
          <w:tcPr>
            <w:tcW w:w="670" w:type="dxa"/>
            <w:tcBorders>
              <w:top w:val="nil"/>
              <w:left w:val="nil"/>
              <w:bottom w:val="nil"/>
              <w:right w:val="nil"/>
            </w:tcBorders>
          </w:tcPr>
          <w:p w:rsidR="00D50DFC" w:rsidRDefault="00D50DFC" w:rsidP="0073298C">
            <w:pPr>
              <w:rPr>
                <w:rFonts w:ascii="Arial" w:hAnsi="Arial" w:cs="Arial"/>
                <w:color w:val="000000"/>
                <w:sz w:val="18"/>
                <w:szCs w:val="18"/>
              </w:rPr>
            </w:pPr>
            <w:r>
              <w:rPr>
                <w:rFonts w:ascii="Arial" w:hAnsi="Arial" w:cs="Arial"/>
                <w:color w:val="000000"/>
                <w:sz w:val="18"/>
                <w:szCs w:val="18"/>
              </w:rPr>
              <w:t>•</w:t>
            </w:r>
          </w:p>
        </w:tc>
        <w:tc>
          <w:tcPr>
            <w:tcW w:w="9945" w:type="dxa"/>
            <w:gridSpan w:val="4"/>
            <w:tcBorders>
              <w:top w:val="nil"/>
              <w:left w:val="nil"/>
              <w:bottom w:val="nil"/>
              <w:right w:val="nil"/>
            </w:tcBorders>
          </w:tcPr>
          <w:p w:rsidR="00D50DFC" w:rsidRDefault="00D50DFC" w:rsidP="0073298C">
            <w:pPr>
              <w:jc w:val="both"/>
              <w:rPr>
                <w:rFonts w:ascii="Arial" w:hAnsi="Arial" w:cs="Arial"/>
                <w:color w:val="000000"/>
                <w:sz w:val="18"/>
                <w:szCs w:val="18"/>
              </w:rPr>
            </w:pPr>
            <w:proofErr w:type="gramStart"/>
            <w:r>
              <w:rPr>
                <w:rFonts w:ascii="Arial" w:hAnsi="Arial" w:cs="Arial"/>
                <w:color w:val="000000"/>
                <w:sz w:val="18"/>
                <w:szCs w:val="18"/>
              </w:rPr>
              <w:t>maintenance</w:t>
            </w:r>
            <w:proofErr w:type="gramEnd"/>
            <w:r>
              <w:rPr>
                <w:rFonts w:ascii="Arial" w:hAnsi="Arial" w:cs="Arial"/>
                <w:color w:val="000000"/>
                <w:sz w:val="18"/>
                <w:szCs w:val="18"/>
              </w:rPr>
              <w:t xml:space="preserve"> and retention of records of written procedures, agreements, and training related to the foregoing items. </w:t>
            </w:r>
          </w:p>
        </w:tc>
      </w:tr>
    </w:tbl>
    <w:p w:rsidR="00D50DFC" w:rsidRDefault="00D50DFC" w:rsidP="00FB555E">
      <w:pPr>
        <w:spacing w:after="264"/>
        <w:jc w:val="both"/>
        <w:rPr>
          <w:sz w:val="16"/>
          <w:szCs w:val="16"/>
        </w:rPr>
      </w:pPr>
      <w:r>
        <w:rPr>
          <w:rFonts w:ascii="Arial" w:hAnsi="Arial" w:cs="Arial"/>
          <w:color w:val="000000"/>
          <w:sz w:val="18"/>
          <w:szCs w:val="18"/>
        </w:rPr>
        <w:t xml:space="preserve">These requirements took effect for larger carriers such as us in April 2017 and are also applicable when we perform as a carrier or as a broker. We believe we have been in compliance with </w:t>
      </w:r>
      <w:proofErr w:type="gramStart"/>
      <w:r>
        <w:rPr>
          <w:rFonts w:ascii="Arial" w:hAnsi="Arial" w:cs="Arial"/>
          <w:color w:val="000000"/>
          <w:sz w:val="18"/>
          <w:szCs w:val="18"/>
        </w:rPr>
        <w:t>these requirement</w:t>
      </w:r>
      <w:proofErr w:type="gramEnd"/>
      <w:r>
        <w:rPr>
          <w:rFonts w:ascii="Arial" w:hAnsi="Arial" w:cs="Arial"/>
          <w:color w:val="000000"/>
          <w:sz w:val="18"/>
          <w:szCs w:val="18"/>
        </w:rPr>
        <w:t xml:space="preserve"> since that time. However, if we are found to be in violation of applicable laws or regulations related to the FSMA, we could be subject to substantial fines, penalties and/or criminal liability, any of which could have a material adverse effect on our business, financial condition, and results of operations</w:t>
      </w:r>
    </w:p>
    <w:p w:rsidR="00D50DFC" w:rsidRDefault="00D50DFC" w:rsidP="00FB555E">
      <w:pPr>
        <w:pStyle w:val="Heading2"/>
      </w:pPr>
      <w:bookmarkStart w:id="21" w:name="_Toc526330217"/>
      <w:r>
        <w:t>Legislation Regarding Independent Contractors</w:t>
      </w:r>
      <w:bookmarkEnd w:id="21"/>
    </w:p>
    <w:p w:rsidR="00D50DFC" w:rsidRDefault="00D50DFC" w:rsidP="00D50DFC">
      <w:pPr>
        <w:spacing w:after="132"/>
        <w:jc w:val="both"/>
        <w:rPr>
          <w:rFonts w:ascii="Arial" w:hAnsi="Arial" w:cs="Arial"/>
          <w:color w:val="000000"/>
          <w:sz w:val="18"/>
          <w:szCs w:val="18"/>
        </w:rPr>
      </w:pPr>
      <w:r>
        <w:rPr>
          <w:rFonts w:ascii="Arial" w:hAnsi="Arial" w:cs="Arial"/>
          <w:color w:val="000000"/>
          <w:sz w:val="18"/>
          <w:szCs w:val="18"/>
        </w:rPr>
        <w:t>Tax and other regulatory authorities have sought in the past to assert that independent contractors in the trucking industry are employees rather than independent contractors.  Federal legislators continue to introduce legislation concerning the classification of independent contractors as employees, including legislation that proposes to increase the tax and labor penalties against employers who intentionally or unintentionally misclassify employees as independent contractors and are found to have violated employees' overtime or wage requirements.  Additionally, federal legislators have sought to:</w:t>
      </w:r>
    </w:p>
    <w:p w:rsidR="00D50DFC" w:rsidRPr="00D92D97" w:rsidRDefault="00D50DFC" w:rsidP="00D92D97">
      <w:pPr>
        <w:pStyle w:val="ListParagraph"/>
        <w:numPr>
          <w:ilvl w:val="0"/>
          <w:numId w:val="5"/>
        </w:numPr>
        <w:spacing w:after="132"/>
        <w:jc w:val="both"/>
        <w:rPr>
          <w:rFonts w:ascii="Arial" w:hAnsi="Arial" w:cs="Arial"/>
          <w:color w:val="000000"/>
          <w:sz w:val="18"/>
          <w:szCs w:val="18"/>
        </w:rPr>
      </w:pPr>
      <w:r w:rsidRPr="00D92D97">
        <w:rPr>
          <w:rFonts w:ascii="Arial" w:hAnsi="Arial" w:cs="Arial"/>
          <w:color w:val="000000"/>
          <w:sz w:val="18"/>
          <w:szCs w:val="18"/>
        </w:rPr>
        <w:t>abolish the current safe harbor allowing taxpayers meeting certain criteria to treat individuals as independent contractors if they are following a long-standing, recognized practice,</w:t>
      </w:r>
    </w:p>
    <w:p w:rsidR="00D92D97" w:rsidRPr="00D92D97" w:rsidRDefault="00D92D97" w:rsidP="00D92D97">
      <w:pPr>
        <w:pStyle w:val="ListParagraph"/>
        <w:numPr>
          <w:ilvl w:val="0"/>
          <w:numId w:val="5"/>
        </w:numPr>
        <w:spacing w:after="132"/>
        <w:jc w:val="both"/>
        <w:rPr>
          <w:rFonts w:ascii="Arial" w:hAnsi="Arial" w:cs="Arial"/>
          <w:color w:val="000000"/>
          <w:sz w:val="18"/>
          <w:szCs w:val="18"/>
        </w:rPr>
      </w:pPr>
      <w:r w:rsidRPr="00D92D97">
        <w:rPr>
          <w:rFonts w:ascii="Arial" w:hAnsi="Arial" w:cs="Arial"/>
          <w:color w:val="000000"/>
          <w:sz w:val="18"/>
          <w:szCs w:val="18"/>
        </w:rPr>
        <w:t>extend the FLSA to independent contractors, and</w:t>
      </w:r>
    </w:p>
    <w:p w:rsidR="00D92D97" w:rsidRDefault="00D92D97" w:rsidP="00D92D97">
      <w:pPr>
        <w:pStyle w:val="ListParagraph"/>
        <w:numPr>
          <w:ilvl w:val="0"/>
          <w:numId w:val="5"/>
        </w:numPr>
        <w:spacing w:after="132"/>
        <w:jc w:val="both"/>
        <w:rPr>
          <w:rFonts w:ascii="Arial" w:hAnsi="Arial" w:cs="Arial"/>
          <w:color w:val="000000"/>
          <w:sz w:val="18"/>
          <w:szCs w:val="18"/>
        </w:rPr>
      </w:pPr>
      <w:r w:rsidRPr="00D92D97">
        <w:rPr>
          <w:rFonts w:ascii="Arial" w:hAnsi="Arial" w:cs="Arial"/>
          <w:color w:val="000000"/>
          <w:sz w:val="18"/>
          <w:szCs w:val="18"/>
        </w:rPr>
        <w:t>impose notice requirements based upon employment or independent contractor status and fines for failure to comply</w:t>
      </w:r>
    </w:p>
    <w:p w:rsidR="00D50DFC" w:rsidRPr="00D92D97" w:rsidRDefault="00D50DFC" w:rsidP="00D92D97">
      <w:pPr>
        <w:spacing w:after="132"/>
        <w:jc w:val="both"/>
        <w:rPr>
          <w:rFonts w:ascii="Arial" w:hAnsi="Arial" w:cs="Arial"/>
          <w:color w:val="000000"/>
          <w:sz w:val="18"/>
          <w:szCs w:val="18"/>
        </w:rPr>
      </w:pPr>
      <w:r w:rsidRPr="00D92D97">
        <w:rPr>
          <w:rFonts w:ascii="Arial" w:hAnsi="Arial" w:cs="Arial"/>
          <w:color w:val="000000"/>
          <w:sz w:val="18"/>
          <w:szCs w:val="18"/>
        </w:rPr>
        <w:lastRenderedPageBreak/>
        <w:t>Some states have adopted initiatives to increase their revenues from items such as unemployment, workers' compensation, and income taxes, and we believe a reclassification of independent contractors as employees would help states with this initiative.  Federal and state taxing and other regulatory authorities and courts apply a variety of standards in their determination of independent contractor status.</w:t>
      </w:r>
    </w:p>
    <w:p w:rsidR="00D50DFC" w:rsidRDefault="00D50DFC" w:rsidP="00D50DFC">
      <w:pPr>
        <w:spacing w:after="264"/>
        <w:jc w:val="both"/>
        <w:rPr>
          <w:rFonts w:ascii="Arial" w:hAnsi="Arial" w:cs="Arial"/>
          <w:color w:val="000000"/>
          <w:sz w:val="18"/>
          <w:szCs w:val="18"/>
        </w:rPr>
      </w:pPr>
      <w:r>
        <w:rPr>
          <w:rFonts w:ascii="Arial" w:hAnsi="Arial" w:cs="Arial"/>
          <w:color w:val="000000"/>
          <w:sz w:val="18"/>
          <w:szCs w:val="18"/>
        </w:rPr>
        <w:t>Further, class actions and other lawsuits have been filed against us and other members of our industry seeking to reclassify independent contractors as employees for a variety of purposes, including workers' compensation and health care coverage. Our defense of such class actions and other lawsuits has not always been successful, and we have been subject to adverse judgments with respect to such matters.  If our independent contractors were determined to be our employees, we would incur additional exposure under federal and state tax, workers' compensation, unemployment benefits, labor, employment, and tort laws, which could potentially include prior periods, as well as potential liability for employee benefits and tax withholdings.  We currently observe and monitor our compliance with current related and applicable laws and regulations, but we cannot predict whether laws and regulations adopted in the future regarding the classification of our independent contractors will adversely affect our business or operations.</w:t>
      </w:r>
    </w:p>
    <w:p w:rsidR="00D50DFC" w:rsidRDefault="00D92D97" w:rsidP="00D92D97">
      <w:pPr>
        <w:pStyle w:val="Heading1"/>
      </w:pPr>
      <w:bookmarkStart w:id="22" w:name="_Toc526330218"/>
      <w:r>
        <w:t>Risk Factors</w:t>
      </w:r>
      <w:bookmarkEnd w:id="22"/>
    </w:p>
    <w:tbl>
      <w:tblPr>
        <w:tblW w:w="10778" w:type="dxa"/>
        <w:jc w:val="center"/>
        <w:tblLayout w:type="fixed"/>
        <w:tblCellMar>
          <w:left w:w="0" w:type="dxa"/>
          <w:right w:w="0" w:type="dxa"/>
        </w:tblCellMar>
        <w:tblLook w:val="0000"/>
      </w:tblPr>
      <w:tblGrid>
        <w:gridCol w:w="2664"/>
        <w:gridCol w:w="150"/>
        <w:gridCol w:w="2552"/>
        <w:gridCol w:w="150"/>
        <w:gridCol w:w="2556"/>
        <w:gridCol w:w="150"/>
        <w:gridCol w:w="2556"/>
      </w:tblGrid>
      <w:tr w:rsidR="00D92D97" w:rsidTr="00D92D97">
        <w:tblPrEx>
          <w:tblCellMar>
            <w:top w:w="0" w:type="dxa"/>
            <w:left w:w="0" w:type="dxa"/>
            <w:bottom w:w="0" w:type="dxa"/>
            <w:right w:w="0" w:type="dxa"/>
          </w:tblCellMar>
        </w:tblPrEx>
        <w:trPr>
          <w:trHeight w:val="273"/>
          <w:jc w:val="center"/>
        </w:trPr>
        <w:tc>
          <w:tcPr>
            <w:tcW w:w="10778" w:type="dxa"/>
            <w:gridSpan w:val="7"/>
            <w:tcBorders>
              <w:top w:val="single" w:sz="6" w:space="0" w:color="00467E"/>
              <w:left w:val="single" w:sz="6" w:space="0" w:color="00467E"/>
              <w:bottom w:val="nil"/>
              <w:right w:val="single" w:sz="6" w:space="0" w:color="00467E"/>
            </w:tcBorders>
            <w:shd w:val="clear" w:color="9D1B11" w:fill="9D1B11"/>
            <w:vAlign w:val="bottom"/>
          </w:tcPr>
          <w:p w:rsidR="00D92D97" w:rsidRDefault="00D92D97" w:rsidP="0073298C">
            <w:pPr>
              <w:spacing w:before="22" w:after="22"/>
              <w:ind w:left="22" w:right="22"/>
              <w:jc w:val="center"/>
              <w:rPr>
                <w:rFonts w:ascii="Arial" w:hAnsi="Arial" w:cs="Arial"/>
                <w:b/>
                <w:bCs w:val="0"/>
                <w:color w:val="FFFFFF"/>
                <w:sz w:val="18"/>
                <w:szCs w:val="18"/>
              </w:rPr>
            </w:pPr>
            <w:r>
              <w:rPr>
                <w:rFonts w:ascii="Arial" w:hAnsi="Arial" w:cs="Arial"/>
                <w:b/>
                <w:bCs w:val="0"/>
                <w:color w:val="FFFFFF"/>
                <w:sz w:val="18"/>
                <w:szCs w:val="18"/>
              </w:rPr>
              <w:t>Our risks are grouped into the following risk categories:</w:t>
            </w:r>
          </w:p>
        </w:tc>
      </w:tr>
      <w:tr w:rsidR="00D92D97" w:rsidTr="00D92D97">
        <w:tblPrEx>
          <w:tblCellMar>
            <w:top w:w="0" w:type="dxa"/>
            <w:left w:w="0" w:type="dxa"/>
            <w:bottom w:w="0" w:type="dxa"/>
            <w:right w:w="0" w:type="dxa"/>
          </w:tblCellMar>
        </w:tblPrEx>
        <w:trPr>
          <w:trHeight w:val="298"/>
          <w:jc w:val="center"/>
        </w:trPr>
        <w:tc>
          <w:tcPr>
            <w:tcW w:w="2664" w:type="dxa"/>
            <w:tcBorders>
              <w:top w:val="nil"/>
              <w:left w:val="single" w:sz="6" w:space="0" w:color="00467E"/>
              <w:bottom w:val="nil"/>
              <w:right w:val="nil"/>
            </w:tcBorders>
            <w:shd w:val="clear" w:color="00467E" w:fill="00467E"/>
            <w:vAlign w:val="bottom"/>
          </w:tcPr>
          <w:p w:rsidR="00D92D97" w:rsidRDefault="00D92D97" w:rsidP="0073298C">
            <w:pPr>
              <w:spacing w:before="22" w:after="22"/>
              <w:ind w:left="22" w:right="22"/>
              <w:jc w:val="center"/>
              <w:rPr>
                <w:rFonts w:ascii="Arial" w:hAnsi="Arial" w:cs="Arial"/>
                <w:b/>
                <w:bCs w:val="0"/>
                <w:color w:val="FFFFFF"/>
                <w:sz w:val="18"/>
                <w:szCs w:val="18"/>
              </w:rPr>
            </w:pPr>
            <w:r>
              <w:rPr>
                <w:rFonts w:ascii="Arial" w:hAnsi="Arial" w:cs="Arial"/>
                <w:b/>
                <w:bCs w:val="0"/>
                <w:color w:val="FFFFFF"/>
                <w:sz w:val="18"/>
                <w:szCs w:val="18"/>
              </w:rPr>
              <w:t>Strategic</w:t>
            </w:r>
          </w:p>
        </w:tc>
        <w:tc>
          <w:tcPr>
            <w:tcW w:w="150" w:type="dxa"/>
            <w:tcBorders>
              <w:top w:val="single" w:sz="6" w:space="0" w:color="FFFFFF"/>
              <w:left w:val="nil"/>
              <w:bottom w:val="nil"/>
              <w:right w:val="nil"/>
            </w:tcBorders>
            <w:vAlign w:val="bottom"/>
          </w:tcPr>
          <w:p w:rsidR="00D92D97" w:rsidRDefault="00D92D97" w:rsidP="0073298C">
            <w:pPr>
              <w:spacing w:before="22" w:after="22"/>
              <w:ind w:left="22" w:right="22"/>
              <w:rPr>
                <w:color w:val="000000"/>
              </w:rPr>
            </w:pPr>
            <w:r>
              <w:rPr>
                <w:color w:val="000000"/>
              </w:rPr>
              <w:t> </w:t>
            </w:r>
          </w:p>
        </w:tc>
        <w:tc>
          <w:tcPr>
            <w:tcW w:w="2552" w:type="dxa"/>
            <w:tcBorders>
              <w:top w:val="nil"/>
              <w:left w:val="nil"/>
              <w:bottom w:val="nil"/>
              <w:right w:val="nil"/>
            </w:tcBorders>
            <w:shd w:val="clear" w:color="00467E" w:fill="00467E"/>
            <w:vAlign w:val="bottom"/>
          </w:tcPr>
          <w:p w:rsidR="00D92D97" w:rsidRDefault="00D92D97" w:rsidP="0073298C">
            <w:pPr>
              <w:spacing w:before="22" w:after="22"/>
              <w:ind w:left="22" w:right="22"/>
              <w:jc w:val="center"/>
              <w:rPr>
                <w:rFonts w:ascii="Arial" w:hAnsi="Arial" w:cs="Arial"/>
                <w:b/>
                <w:bCs w:val="0"/>
                <w:color w:val="FFFFFF"/>
                <w:sz w:val="18"/>
                <w:szCs w:val="18"/>
              </w:rPr>
            </w:pPr>
            <w:r>
              <w:rPr>
                <w:rFonts w:ascii="Arial" w:hAnsi="Arial" w:cs="Arial"/>
                <w:b/>
                <w:bCs w:val="0"/>
                <w:color w:val="FFFFFF"/>
                <w:sz w:val="18"/>
                <w:szCs w:val="18"/>
              </w:rPr>
              <w:t>Operational</w:t>
            </w:r>
          </w:p>
        </w:tc>
        <w:tc>
          <w:tcPr>
            <w:tcW w:w="150" w:type="dxa"/>
            <w:tcBorders>
              <w:top w:val="single" w:sz="6" w:space="0" w:color="FFFFFF"/>
              <w:left w:val="nil"/>
              <w:bottom w:val="nil"/>
              <w:right w:val="nil"/>
            </w:tcBorders>
            <w:vAlign w:val="bottom"/>
          </w:tcPr>
          <w:p w:rsidR="00D92D97" w:rsidRDefault="00D92D97" w:rsidP="0073298C">
            <w:pPr>
              <w:spacing w:before="22" w:after="22"/>
              <w:ind w:left="22" w:right="22"/>
              <w:rPr>
                <w:color w:val="000000"/>
              </w:rPr>
            </w:pPr>
            <w:r>
              <w:rPr>
                <w:color w:val="000000"/>
              </w:rPr>
              <w:t> </w:t>
            </w:r>
          </w:p>
        </w:tc>
        <w:tc>
          <w:tcPr>
            <w:tcW w:w="2556" w:type="dxa"/>
            <w:tcBorders>
              <w:top w:val="nil"/>
              <w:left w:val="nil"/>
              <w:bottom w:val="nil"/>
              <w:right w:val="nil"/>
            </w:tcBorders>
            <w:shd w:val="clear" w:color="00467E" w:fill="00467E"/>
            <w:vAlign w:val="bottom"/>
          </w:tcPr>
          <w:p w:rsidR="00D92D97" w:rsidRDefault="00D92D97" w:rsidP="0073298C">
            <w:pPr>
              <w:spacing w:before="22" w:after="22"/>
              <w:ind w:left="22" w:right="22"/>
              <w:jc w:val="center"/>
              <w:rPr>
                <w:rFonts w:ascii="Arial" w:hAnsi="Arial" w:cs="Arial"/>
                <w:b/>
                <w:bCs w:val="0"/>
                <w:color w:val="FFFFFF"/>
                <w:sz w:val="18"/>
                <w:szCs w:val="18"/>
              </w:rPr>
            </w:pPr>
            <w:r>
              <w:rPr>
                <w:rFonts w:ascii="Arial" w:hAnsi="Arial" w:cs="Arial"/>
                <w:b/>
                <w:bCs w:val="0"/>
                <w:color w:val="FFFFFF"/>
                <w:sz w:val="18"/>
                <w:szCs w:val="18"/>
              </w:rPr>
              <w:t>Compliance</w:t>
            </w:r>
          </w:p>
        </w:tc>
        <w:tc>
          <w:tcPr>
            <w:tcW w:w="150" w:type="dxa"/>
            <w:tcBorders>
              <w:top w:val="single" w:sz="6" w:space="0" w:color="FFFFFF"/>
              <w:left w:val="nil"/>
              <w:bottom w:val="nil"/>
              <w:right w:val="nil"/>
            </w:tcBorders>
            <w:vAlign w:val="bottom"/>
          </w:tcPr>
          <w:p w:rsidR="00D92D97" w:rsidRDefault="00D92D97" w:rsidP="0073298C">
            <w:pPr>
              <w:spacing w:before="22" w:after="22"/>
              <w:ind w:left="22" w:right="22"/>
              <w:rPr>
                <w:color w:val="000000"/>
              </w:rPr>
            </w:pPr>
            <w:r>
              <w:rPr>
                <w:color w:val="000000"/>
              </w:rPr>
              <w:t> </w:t>
            </w:r>
          </w:p>
        </w:tc>
        <w:tc>
          <w:tcPr>
            <w:tcW w:w="2556" w:type="dxa"/>
            <w:tcBorders>
              <w:top w:val="nil"/>
              <w:left w:val="nil"/>
              <w:bottom w:val="nil"/>
              <w:right w:val="single" w:sz="6" w:space="0" w:color="00467E"/>
            </w:tcBorders>
            <w:shd w:val="clear" w:color="00467E" w:fill="00467E"/>
            <w:vAlign w:val="bottom"/>
          </w:tcPr>
          <w:p w:rsidR="00D92D97" w:rsidRDefault="00D92D97" w:rsidP="0073298C">
            <w:pPr>
              <w:spacing w:before="22" w:after="22"/>
              <w:ind w:left="22" w:right="22"/>
              <w:jc w:val="center"/>
              <w:rPr>
                <w:rFonts w:ascii="Arial" w:hAnsi="Arial" w:cs="Arial"/>
                <w:b/>
                <w:bCs w:val="0"/>
                <w:color w:val="FFFFFF"/>
                <w:sz w:val="18"/>
                <w:szCs w:val="18"/>
              </w:rPr>
            </w:pPr>
            <w:r>
              <w:rPr>
                <w:rFonts w:ascii="Arial" w:hAnsi="Arial" w:cs="Arial"/>
                <w:b/>
                <w:bCs w:val="0"/>
                <w:color w:val="FFFFFF"/>
                <w:sz w:val="18"/>
                <w:szCs w:val="18"/>
              </w:rPr>
              <w:t>Financial</w:t>
            </w:r>
          </w:p>
        </w:tc>
      </w:tr>
      <w:tr w:rsidR="00D92D97" w:rsidTr="00D92D97">
        <w:tblPrEx>
          <w:tblCellMar>
            <w:top w:w="0" w:type="dxa"/>
            <w:left w:w="0" w:type="dxa"/>
            <w:bottom w:w="0" w:type="dxa"/>
            <w:right w:w="0" w:type="dxa"/>
          </w:tblCellMar>
        </w:tblPrEx>
        <w:trPr>
          <w:trHeight w:val="281"/>
          <w:jc w:val="center"/>
        </w:trPr>
        <w:tc>
          <w:tcPr>
            <w:tcW w:w="2664" w:type="dxa"/>
            <w:tcBorders>
              <w:top w:val="nil"/>
              <w:left w:val="single" w:sz="6" w:space="0" w:color="00467E"/>
              <w:bottom w:val="nil"/>
              <w:right w:val="nil"/>
            </w:tcBorders>
            <w:shd w:val="clear" w:color="CFD4D8" w:fill="CFD4D8"/>
            <w:vAlign w:val="bottom"/>
          </w:tcPr>
          <w:p w:rsidR="00D92D97" w:rsidRDefault="00D92D97" w:rsidP="0073298C">
            <w:pPr>
              <w:spacing w:before="22" w:after="22"/>
              <w:ind w:left="22" w:right="22"/>
              <w:rPr>
                <w:rFonts w:ascii="Arial" w:hAnsi="Arial" w:cs="Arial"/>
                <w:color w:val="000000"/>
                <w:sz w:val="18"/>
                <w:szCs w:val="18"/>
              </w:rPr>
            </w:pPr>
            <w:r>
              <w:rPr>
                <w:rFonts w:ascii="Arial" w:hAnsi="Arial" w:cs="Arial"/>
                <w:color w:val="000000"/>
                <w:sz w:val="18"/>
                <w:szCs w:val="18"/>
              </w:rPr>
              <w:t>*Industry and Competition</w:t>
            </w:r>
          </w:p>
        </w:tc>
        <w:tc>
          <w:tcPr>
            <w:tcW w:w="150" w:type="dxa"/>
            <w:tcBorders>
              <w:top w:val="nil"/>
              <w:left w:val="nil"/>
              <w:bottom w:val="nil"/>
              <w:right w:val="nil"/>
            </w:tcBorders>
            <w:shd w:val="clear" w:color="CFD4D8" w:fill="CFD4D8"/>
            <w:vAlign w:val="bottom"/>
          </w:tcPr>
          <w:p w:rsidR="00D92D97" w:rsidRDefault="00D92D97" w:rsidP="0073298C">
            <w:pPr>
              <w:spacing w:before="22" w:after="22"/>
              <w:ind w:left="22" w:right="22"/>
              <w:rPr>
                <w:color w:val="000000"/>
              </w:rPr>
            </w:pPr>
            <w:r>
              <w:rPr>
                <w:color w:val="000000"/>
              </w:rPr>
              <w:t> </w:t>
            </w:r>
          </w:p>
        </w:tc>
        <w:tc>
          <w:tcPr>
            <w:tcW w:w="2552" w:type="dxa"/>
            <w:tcBorders>
              <w:top w:val="nil"/>
              <w:left w:val="nil"/>
              <w:bottom w:val="nil"/>
              <w:right w:val="nil"/>
            </w:tcBorders>
            <w:shd w:val="clear" w:color="CFD4D8" w:fill="CFD4D8"/>
            <w:vAlign w:val="bottom"/>
          </w:tcPr>
          <w:p w:rsidR="00D92D97" w:rsidRDefault="00D92D97" w:rsidP="0073298C">
            <w:pPr>
              <w:spacing w:before="22" w:after="22"/>
              <w:ind w:left="22" w:right="22"/>
              <w:rPr>
                <w:rFonts w:ascii="Arial" w:hAnsi="Arial" w:cs="Arial"/>
                <w:color w:val="000000"/>
                <w:sz w:val="18"/>
                <w:szCs w:val="18"/>
              </w:rPr>
            </w:pPr>
            <w:r>
              <w:rPr>
                <w:rFonts w:ascii="Arial" w:hAnsi="Arial" w:cs="Arial"/>
                <w:color w:val="000000"/>
                <w:sz w:val="18"/>
                <w:szCs w:val="18"/>
              </w:rPr>
              <w:t>*Company Growth</w:t>
            </w:r>
          </w:p>
        </w:tc>
        <w:tc>
          <w:tcPr>
            <w:tcW w:w="150" w:type="dxa"/>
            <w:tcBorders>
              <w:top w:val="nil"/>
              <w:left w:val="nil"/>
              <w:bottom w:val="nil"/>
              <w:right w:val="nil"/>
            </w:tcBorders>
            <w:shd w:val="clear" w:color="CFD4D8" w:fill="CFD4D8"/>
            <w:vAlign w:val="bottom"/>
          </w:tcPr>
          <w:p w:rsidR="00D92D97" w:rsidRDefault="00D92D97" w:rsidP="0073298C">
            <w:pPr>
              <w:spacing w:before="22" w:after="22"/>
              <w:ind w:left="22" w:right="22"/>
              <w:rPr>
                <w:color w:val="000000"/>
              </w:rPr>
            </w:pPr>
            <w:r>
              <w:rPr>
                <w:color w:val="000000"/>
              </w:rPr>
              <w:t> </w:t>
            </w:r>
          </w:p>
        </w:tc>
        <w:tc>
          <w:tcPr>
            <w:tcW w:w="2556" w:type="dxa"/>
            <w:tcBorders>
              <w:top w:val="nil"/>
              <w:left w:val="nil"/>
              <w:bottom w:val="nil"/>
              <w:right w:val="nil"/>
            </w:tcBorders>
            <w:shd w:val="clear" w:color="CFD4D8" w:fill="CFD4D8"/>
            <w:vAlign w:val="bottom"/>
          </w:tcPr>
          <w:p w:rsidR="00D92D97" w:rsidRDefault="00D92D97" w:rsidP="0073298C">
            <w:pPr>
              <w:spacing w:before="22" w:after="22"/>
              <w:ind w:left="22" w:right="22"/>
              <w:rPr>
                <w:rFonts w:ascii="Arial" w:hAnsi="Arial" w:cs="Arial"/>
                <w:color w:val="000000"/>
                <w:sz w:val="18"/>
                <w:szCs w:val="18"/>
              </w:rPr>
            </w:pPr>
            <w:r>
              <w:rPr>
                <w:rFonts w:ascii="Arial" w:hAnsi="Arial" w:cs="Arial"/>
                <w:color w:val="000000"/>
                <w:sz w:val="18"/>
                <w:szCs w:val="18"/>
              </w:rPr>
              <w:t>*Trucking Industry Regulation</w:t>
            </w:r>
          </w:p>
        </w:tc>
        <w:tc>
          <w:tcPr>
            <w:tcW w:w="150" w:type="dxa"/>
            <w:tcBorders>
              <w:top w:val="nil"/>
              <w:left w:val="nil"/>
              <w:bottom w:val="nil"/>
              <w:right w:val="nil"/>
            </w:tcBorders>
            <w:shd w:val="clear" w:color="CFD4D8" w:fill="CFD4D8"/>
            <w:vAlign w:val="bottom"/>
          </w:tcPr>
          <w:p w:rsidR="00D92D97" w:rsidRDefault="00D92D97" w:rsidP="0073298C">
            <w:pPr>
              <w:spacing w:before="22" w:after="22"/>
              <w:ind w:left="22" w:right="22"/>
              <w:rPr>
                <w:color w:val="000000"/>
              </w:rPr>
            </w:pPr>
            <w:r>
              <w:rPr>
                <w:color w:val="000000"/>
              </w:rPr>
              <w:t> </w:t>
            </w:r>
          </w:p>
        </w:tc>
        <w:tc>
          <w:tcPr>
            <w:tcW w:w="2556" w:type="dxa"/>
            <w:tcBorders>
              <w:top w:val="nil"/>
              <w:left w:val="nil"/>
              <w:bottom w:val="nil"/>
              <w:right w:val="single" w:sz="6" w:space="0" w:color="00467E"/>
            </w:tcBorders>
            <w:shd w:val="clear" w:color="CFD4D8" w:fill="CFD4D8"/>
            <w:vAlign w:val="bottom"/>
          </w:tcPr>
          <w:p w:rsidR="00D92D97" w:rsidRDefault="00D92D97" w:rsidP="0073298C">
            <w:pPr>
              <w:spacing w:before="22" w:after="22"/>
              <w:ind w:left="22" w:right="22"/>
              <w:rPr>
                <w:rFonts w:ascii="Arial" w:hAnsi="Arial" w:cs="Arial"/>
                <w:color w:val="000000"/>
                <w:sz w:val="18"/>
                <w:szCs w:val="18"/>
              </w:rPr>
            </w:pPr>
            <w:r>
              <w:rPr>
                <w:rFonts w:ascii="Arial" w:hAnsi="Arial" w:cs="Arial"/>
                <w:color w:val="000000"/>
                <w:sz w:val="18"/>
                <w:szCs w:val="18"/>
              </w:rPr>
              <w:t>*Capital Requirements</w:t>
            </w:r>
          </w:p>
        </w:tc>
      </w:tr>
      <w:tr w:rsidR="00D92D97" w:rsidTr="00D92D97">
        <w:tblPrEx>
          <w:tblCellMar>
            <w:top w:w="0" w:type="dxa"/>
            <w:left w:w="0" w:type="dxa"/>
            <w:bottom w:w="0" w:type="dxa"/>
            <w:right w:w="0" w:type="dxa"/>
          </w:tblCellMar>
        </w:tblPrEx>
        <w:trPr>
          <w:trHeight w:val="281"/>
          <w:jc w:val="center"/>
        </w:trPr>
        <w:tc>
          <w:tcPr>
            <w:tcW w:w="2664" w:type="dxa"/>
            <w:tcBorders>
              <w:top w:val="nil"/>
              <w:left w:val="single" w:sz="6" w:space="0" w:color="00467E"/>
              <w:bottom w:val="nil"/>
              <w:right w:val="nil"/>
            </w:tcBorders>
            <w:vAlign w:val="bottom"/>
          </w:tcPr>
          <w:p w:rsidR="00D92D97" w:rsidRDefault="00D92D97" w:rsidP="0073298C">
            <w:pPr>
              <w:spacing w:before="22" w:after="22"/>
              <w:ind w:left="22" w:right="22"/>
              <w:rPr>
                <w:rFonts w:ascii="Arial" w:hAnsi="Arial" w:cs="Arial"/>
                <w:color w:val="000000"/>
                <w:sz w:val="18"/>
                <w:szCs w:val="18"/>
              </w:rPr>
            </w:pPr>
            <w:r>
              <w:rPr>
                <w:rFonts w:ascii="Arial" w:hAnsi="Arial" w:cs="Arial"/>
                <w:color w:val="000000"/>
                <w:sz w:val="18"/>
                <w:szCs w:val="18"/>
              </w:rPr>
              <w:t>*Market Changes</w:t>
            </w:r>
          </w:p>
        </w:tc>
        <w:tc>
          <w:tcPr>
            <w:tcW w:w="150" w:type="dxa"/>
            <w:tcBorders>
              <w:top w:val="nil"/>
              <w:left w:val="nil"/>
              <w:bottom w:val="nil"/>
              <w:right w:val="nil"/>
            </w:tcBorders>
            <w:vAlign w:val="bottom"/>
          </w:tcPr>
          <w:p w:rsidR="00D92D97" w:rsidRDefault="00D92D97" w:rsidP="0073298C">
            <w:pPr>
              <w:spacing w:before="22" w:after="22"/>
              <w:ind w:left="22" w:right="22"/>
              <w:rPr>
                <w:color w:val="000000"/>
              </w:rPr>
            </w:pPr>
            <w:r>
              <w:rPr>
                <w:color w:val="000000"/>
              </w:rPr>
              <w:t> </w:t>
            </w:r>
          </w:p>
        </w:tc>
        <w:tc>
          <w:tcPr>
            <w:tcW w:w="2552" w:type="dxa"/>
            <w:tcBorders>
              <w:top w:val="nil"/>
              <w:left w:val="nil"/>
              <w:bottom w:val="nil"/>
              <w:right w:val="nil"/>
            </w:tcBorders>
            <w:vAlign w:val="bottom"/>
          </w:tcPr>
          <w:p w:rsidR="00D92D97" w:rsidRDefault="00D92D97" w:rsidP="0073298C">
            <w:pPr>
              <w:spacing w:before="22" w:after="22"/>
              <w:ind w:left="22" w:right="22"/>
              <w:rPr>
                <w:rFonts w:ascii="Arial" w:hAnsi="Arial" w:cs="Arial"/>
                <w:color w:val="000000"/>
                <w:sz w:val="18"/>
                <w:szCs w:val="18"/>
              </w:rPr>
            </w:pPr>
            <w:r>
              <w:rPr>
                <w:rFonts w:ascii="Arial" w:hAnsi="Arial" w:cs="Arial"/>
                <w:color w:val="000000"/>
                <w:sz w:val="18"/>
                <w:szCs w:val="18"/>
              </w:rPr>
              <w:t>*Employees</w:t>
            </w:r>
          </w:p>
        </w:tc>
        <w:tc>
          <w:tcPr>
            <w:tcW w:w="150" w:type="dxa"/>
            <w:tcBorders>
              <w:top w:val="nil"/>
              <w:left w:val="nil"/>
              <w:bottom w:val="nil"/>
              <w:right w:val="nil"/>
            </w:tcBorders>
            <w:vAlign w:val="bottom"/>
          </w:tcPr>
          <w:p w:rsidR="00D92D97" w:rsidRDefault="00D92D97" w:rsidP="0073298C">
            <w:pPr>
              <w:spacing w:before="22" w:after="22"/>
              <w:ind w:left="22" w:right="22"/>
              <w:rPr>
                <w:color w:val="000000"/>
              </w:rPr>
            </w:pPr>
            <w:r>
              <w:rPr>
                <w:color w:val="000000"/>
              </w:rPr>
              <w:t> </w:t>
            </w:r>
          </w:p>
        </w:tc>
        <w:tc>
          <w:tcPr>
            <w:tcW w:w="2556" w:type="dxa"/>
            <w:tcBorders>
              <w:top w:val="nil"/>
              <w:left w:val="nil"/>
              <w:bottom w:val="nil"/>
              <w:right w:val="nil"/>
            </w:tcBorders>
            <w:vAlign w:val="bottom"/>
          </w:tcPr>
          <w:p w:rsidR="00D92D97" w:rsidRDefault="00D92D97" w:rsidP="0073298C">
            <w:pPr>
              <w:spacing w:before="22" w:after="22"/>
              <w:ind w:left="22" w:right="22"/>
              <w:rPr>
                <w:rFonts w:ascii="Arial" w:hAnsi="Arial" w:cs="Arial"/>
                <w:color w:val="000000"/>
                <w:sz w:val="18"/>
                <w:szCs w:val="18"/>
              </w:rPr>
            </w:pPr>
            <w:r>
              <w:rPr>
                <w:rFonts w:ascii="Arial" w:hAnsi="Arial" w:cs="Arial"/>
                <w:color w:val="000000"/>
                <w:sz w:val="18"/>
                <w:szCs w:val="18"/>
              </w:rPr>
              <w:t>*Environmental Regulation</w:t>
            </w:r>
          </w:p>
        </w:tc>
        <w:tc>
          <w:tcPr>
            <w:tcW w:w="150" w:type="dxa"/>
            <w:tcBorders>
              <w:top w:val="nil"/>
              <w:left w:val="nil"/>
              <w:bottom w:val="nil"/>
              <w:right w:val="nil"/>
            </w:tcBorders>
            <w:vAlign w:val="bottom"/>
          </w:tcPr>
          <w:p w:rsidR="00D92D97" w:rsidRDefault="00D92D97" w:rsidP="0073298C">
            <w:pPr>
              <w:spacing w:before="22" w:after="22"/>
              <w:ind w:left="22" w:right="22"/>
              <w:rPr>
                <w:color w:val="000000"/>
              </w:rPr>
            </w:pPr>
            <w:r>
              <w:rPr>
                <w:color w:val="000000"/>
              </w:rPr>
              <w:t> </w:t>
            </w:r>
          </w:p>
        </w:tc>
        <w:tc>
          <w:tcPr>
            <w:tcW w:w="2556" w:type="dxa"/>
            <w:tcBorders>
              <w:top w:val="nil"/>
              <w:left w:val="nil"/>
              <w:bottom w:val="nil"/>
              <w:right w:val="single" w:sz="6" w:space="0" w:color="00467E"/>
            </w:tcBorders>
            <w:vAlign w:val="bottom"/>
          </w:tcPr>
          <w:p w:rsidR="00D92D97" w:rsidRDefault="00D92D97" w:rsidP="0073298C">
            <w:pPr>
              <w:spacing w:before="22" w:after="22"/>
              <w:ind w:left="22" w:right="22"/>
              <w:rPr>
                <w:rFonts w:ascii="Arial" w:hAnsi="Arial" w:cs="Arial"/>
                <w:color w:val="000000"/>
                <w:sz w:val="18"/>
                <w:szCs w:val="18"/>
              </w:rPr>
            </w:pPr>
            <w:r>
              <w:rPr>
                <w:rFonts w:ascii="Arial" w:hAnsi="Arial" w:cs="Arial"/>
                <w:color w:val="000000"/>
                <w:sz w:val="18"/>
                <w:szCs w:val="18"/>
              </w:rPr>
              <w:t>*Debt</w:t>
            </w:r>
          </w:p>
        </w:tc>
      </w:tr>
      <w:tr w:rsidR="00D92D97" w:rsidTr="00D92D97">
        <w:tblPrEx>
          <w:tblCellMar>
            <w:top w:w="0" w:type="dxa"/>
            <w:left w:w="0" w:type="dxa"/>
            <w:bottom w:w="0" w:type="dxa"/>
            <w:right w:w="0" w:type="dxa"/>
          </w:tblCellMar>
        </w:tblPrEx>
        <w:trPr>
          <w:trHeight w:val="281"/>
          <w:jc w:val="center"/>
        </w:trPr>
        <w:tc>
          <w:tcPr>
            <w:tcW w:w="2664" w:type="dxa"/>
            <w:tcBorders>
              <w:top w:val="nil"/>
              <w:left w:val="single" w:sz="6" w:space="0" w:color="00467E"/>
              <w:bottom w:val="nil"/>
              <w:right w:val="nil"/>
            </w:tcBorders>
            <w:shd w:val="clear" w:color="CFD4D8" w:fill="CFD4D8"/>
            <w:vAlign w:val="bottom"/>
          </w:tcPr>
          <w:p w:rsidR="00D92D97" w:rsidRDefault="00D92D97" w:rsidP="0073298C">
            <w:pPr>
              <w:spacing w:before="22" w:after="22"/>
              <w:ind w:left="22" w:right="22"/>
              <w:rPr>
                <w:rFonts w:ascii="Arial" w:hAnsi="Arial" w:cs="Arial"/>
                <w:color w:val="000000"/>
                <w:sz w:val="18"/>
                <w:szCs w:val="18"/>
              </w:rPr>
            </w:pPr>
            <w:r>
              <w:rPr>
                <w:rFonts w:ascii="Arial" w:hAnsi="Arial" w:cs="Arial"/>
                <w:color w:val="000000"/>
                <w:sz w:val="18"/>
                <w:szCs w:val="18"/>
              </w:rPr>
              <w:t>*Macroeconomic Changes</w:t>
            </w:r>
          </w:p>
        </w:tc>
        <w:tc>
          <w:tcPr>
            <w:tcW w:w="150" w:type="dxa"/>
            <w:tcBorders>
              <w:top w:val="nil"/>
              <w:left w:val="nil"/>
              <w:bottom w:val="nil"/>
              <w:right w:val="nil"/>
            </w:tcBorders>
            <w:shd w:val="clear" w:color="CFD4D8" w:fill="CFD4D8"/>
            <w:vAlign w:val="bottom"/>
          </w:tcPr>
          <w:p w:rsidR="00D92D97" w:rsidRDefault="00D92D97" w:rsidP="0073298C">
            <w:pPr>
              <w:spacing w:before="22" w:after="22"/>
              <w:ind w:left="22" w:right="22"/>
              <w:rPr>
                <w:color w:val="000000"/>
              </w:rPr>
            </w:pPr>
            <w:r>
              <w:rPr>
                <w:color w:val="000000"/>
              </w:rPr>
              <w:t> </w:t>
            </w:r>
          </w:p>
        </w:tc>
        <w:tc>
          <w:tcPr>
            <w:tcW w:w="2552" w:type="dxa"/>
            <w:tcBorders>
              <w:top w:val="nil"/>
              <w:left w:val="nil"/>
              <w:bottom w:val="nil"/>
              <w:right w:val="nil"/>
            </w:tcBorders>
            <w:shd w:val="clear" w:color="CFD4D8" w:fill="CFD4D8"/>
            <w:vAlign w:val="bottom"/>
          </w:tcPr>
          <w:p w:rsidR="00D92D97" w:rsidRDefault="00D92D97" w:rsidP="0073298C">
            <w:pPr>
              <w:spacing w:before="22" w:after="22"/>
              <w:ind w:left="22" w:right="22"/>
              <w:rPr>
                <w:rFonts w:ascii="Arial" w:hAnsi="Arial" w:cs="Arial"/>
                <w:color w:val="000000"/>
                <w:sz w:val="18"/>
                <w:szCs w:val="18"/>
              </w:rPr>
            </w:pPr>
            <w:r>
              <w:rPr>
                <w:rFonts w:ascii="Arial" w:hAnsi="Arial" w:cs="Arial"/>
                <w:color w:val="000000"/>
                <w:sz w:val="18"/>
                <w:szCs w:val="18"/>
              </w:rPr>
              <w:t>*Independent Contractors</w:t>
            </w:r>
          </w:p>
        </w:tc>
        <w:tc>
          <w:tcPr>
            <w:tcW w:w="150" w:type="dxa"/>
            <w:tcBorders>
              <w:top w:val="nil"/>
              <w:left w:val="nil"/>
              <w:bottom w:val="nil"/>
              <w:right w:val="nil"/>
            </w:tcBorders>
            <w:shd w:val="clear" w:color="CFD4D8" w:fill="CFD4D8"/>
            <w:vAlign w:val="bottom"/>
          </w:tcPr>
          <w:p w:rsidR="00D92D97" w:rsidRDefault="00D92D97" w:rsidP="0073298C">
            <w:pPr>
              <w:spacing w:before="22" w:after="22"/>
              <w:ind w:left="22" w:right="22"/>
              <w:rPr>
                <w:color w:val="000000"/>
              </w:rPr>
            </w:pPr>
            <w:r>
              <w:rPr>
                <w:color w:val="000000"/>
              </w:rPr>
              <w:t> </w:t>
            </w:r>
          </w:p>
        </w:tc>
        <w:tc>
          <w:tcPr>
            <w:tcW w:w="2556" w:type="dxa"/>
            <w:tcBorders>
              <w:top w:val="nil"/>
              <w:left w:val="nil"/>
              <w:bottom w:val="nil"/>
              <w:right w:val="nil"/>
            </w:tcBorders>
            <w:shd w:val="clear" w:color="CFD4D8" w:fill="CFD4D8"/>
            <w:vAlign w:val="bottom"/>
          </w:tcPr>
          <w:p w:rsidR="00D92D97" w:rsidRDefault="00D92D97" w:rsidP="0073298C">
            <w:pPr>
              <w:spacing w:before="22" w:after="22"/>
              <w:ind w:left="22" w:right="22"/>
              <w:rPr>
                <w:rFonts w:ascii="Arial" w:hAnsi="Arial" w:cs="Arial"/>
                <w:color w:val="000000"/>
                <w:sz w:val="18"/>
                <w:szCs w:val="18"/>
              </w:rPr>
            </w:pPr>
            <w:r>
              <w:rPr>
                <w:rFonts w:ascii="Arial" w:hAnsi="Arial" w:cs="Arial"/>
                <w:color w:val="000000"/>
                <w:sz w:val="18"/>
                <w:szCs w:val="18"/>
              </w:rPr>
              <w:t>*Insurance Regulation</w:t>
            </w:r>
          </w:p>
        </w:tc>
        <w:tc>
          <w:tcPr>
            <w:tcW w:w="150" w:type="dxa"/>
            <w:tcBorders>
              <w:top w:val="nil"/>
              <w:left w:val="nil"/>
              <w:bottom w:val="nil"/>
              <w:right w:val="nil"/>
            </w:tcBorders>
            <w:shd w:val="clear" w:color="CFD4D8" w:fill="CFD4D8"/>
            <w:vAlign w:val="bottom"/>
          </w:tcPr>
          <w:p w:rsidR="00D92D97" w:rsidRDefault="00D92D97" w:rsidP="0073298C">
            <w:pPr>
              <w:spacing w:before="22" w:after="22"/>
              <w:ind w:left="22" w:right="22"/>
              <w:rPr>
                <w:color w:val="000000"/>
              </w:rPr>
            </w:pPr>
            <w:r>
              <w:rPr>
                <w:color w:val="000000"/>
              </w:rPr>
              <w:t> </w:t>
            </w:r>
          </w:p>
        </w:tc>
        <w:tc>
          <w:tcPr>
            <w:tcW w:w="2556" w:type="dxa"/>
            <w:tcBorders>
              <w:top w:val="nil"/>
              <w:left w:val="nil"/>
              <w:bottom w:val="nil"/>
              <w:right w:val="single" w:sz="6" w:space="0" w:color="00467E"/>
            </w:tcBorders>
            <w:shd w:val="clear" w:color="CFD4D8" w:fill="CFD4D8"/>
            <w:vAlign w:val="bottom"/>
          </w:tcPr>
          <w:p w:rsidR="00D92D97" w:rsidRDefault="00D92D97" w:rsidP="0073298C">
            <w:pPr>
              <w:spacing w:before="22" w:after="22"/>
              <w:ind w:left="22" w:right="22"/>
              <w:rPr>
                <w:rFonts w:ascii="Arial" w:hAnsi="Arial" w:cs="Arial"/>
                <w:color w:val="000000"/>
                <w:sz w:val="18"/>
                <w:szCs w:val="18"/>
              </w:rPr>
            </w:pPr>
            <w:r>
              <w:rPr>
                <w:rFonts w:ascii="Arial" w:hAnsi="Arial" w:cs="Arial"/>
                <w:color w:val="000000"/>
                <w:sz w:val="18"/>
                <w:szCs w:val="18"/>
              </w:rPr>
              <w:t>*Investments</w:t>
            </w:r>
          </w:p>
        </w:tc>
      </w:tr>
      <w:tr w:rsidR="00D92D97" w:rsidTr="00D92D97">
        <w:tblPrEx>
          <w:tblCellMar>
            <w:top w:w="0" w:type="dxa"/>
            <w:left w:w="0" w:type="dxa"/>
            <w:bottom w:w="0" w:type="dxa"/>
            <w:right w:w="0" w:type="dxa"/>
          </w:tblCellMar>
        </w:tblPrEx>
        <w:trPr>
          <w:trHeight w:val="281"/>
          <w:jc w:val="center"/>
        </w:trPr>
        <w:tc>
          <w:tcPr>
            <w:tcW w:w="2664" w:type="dxa"/>
            <w:tcBorders>
              <w:top w:val="nil"/>
              <w:left w:val="single" w:sz="6" w:space="0" w:color="00467E"/>
              <w:bottom w:val="nil"/>
              <w:right w:val="nil"/>
            </w:tcBorders>
            <w:vAlign w:val="bottom"/>
          </w:tcPr>
          <w:p w:rsidR="00D92D97" w:rsidRDefault="00D92D97" w:rsidP="0073298C">
            <w:pPr>
              <w:spacing w:before="22" w:after="22"/>
              <w:ind w:left="22" w:right="22"/>
              <w:rPr>
                <w:rFonts w:ascii="Arial" w:hAnsi="Arial" w:cs="Arial"/>
                <w:color w:val="000000"/>
                <w:sz w:val="18"/>
                <w:szCs w:val="18"/>
              </w:rPr>
            </w:pPr>
            <w:r>
              <w:rPr>
                <w:rFonts w:ascii="Arial" w:hAnsi="Arial" w:cs="Arial"/>
                <w:color w:val="000000"/>
                <w:sz w:val="18"/>
                <w:szCs w:val="18"/>
              </w:rPr>
              <w:t>*Mergers and Acquisitions</w:t>
            </w:r>
          </w:p>
        </w:tc>
        <w:tc>
          <w:tcPr>
            <w:tcW w:w="150" w:type="dxa"/>
            <w:tcBorders>
              <w:top w:val="nil"/>
              <w:left w:val="nil"/>
              <w:bottom w:val="nil"/>
              <w:right w:val="nil"/>
            </w:tcBorders>
            <w:vAlign w:val="bottom"/>
          </w:tcPr>
          <w:p w:rsidR="00D92D97" w:rsidRDefault="00D92D97" w:rsidP="0073298C">
            <w:pPr>
              <w:spacing w:before="22" w:after="22"/>
              <w:ind w:left="22" w:right="22"/>
              <w:rPr>
                <w:color w:val="000000"/>
              </w:rPr>
            </w:pPr>
            <w:r>
              <w:rPr>
                <w:color w:val="000000"/>
              </w:rPr>
              <w:t> </w:t>
            </w:r>
          </w:p>
        </w:tc>
        <w:tc>
          <w:tcPr>
            <w:tcW w:w="2552" w:type="dxa"/>
            <w:tcBorders>
              <w:top w:val="nil"/>
              <w:left w:val="nil"/>
              <w:bottom w:val="nil"/>
              <w:right w:val="nil"/>
            </w:tcBorders>
            <w:vAlign w:val="bottom"/>
          </w:tcPr>
          <w:p w:rsidR="00D92D97" w:rsidRDefault="00D92D97" w:rsidP="0073298C">
            <w:pPr>
              <w:spacing w:before="22" w:after="22"/>
              <w:ind w:left="22" w:right="22"/>
              <w:rPr>
                <w:rFonts w:ascii="Arial" w:hAnsi="Arial" w:cs="Arial"/>
                <w:color w:val="000000"/>
                <w:sz w:val="18"/>
                <w:szCs w:val="18"/>
              </w:rPr>
            </w:pPr>
            <w:r>
              <w:rPr>
                <w:rFonts w:ascii="Arial" w:hAnsi="Arial" w:cs="Arial"/>
                <w:color w:val="000000"/>
                <w:sz w:val="18"/>
                <w:szCs w:val="18"/>
              </w:rPr>
              <w:t>*Vendors and Suppliers</w:t>
            </w:r>
          </w:p>
        </w:tc>
        <w:tc>
          <w:tcPr>
            <w:tcW w:w="150" w:type="dxa"/>
            <w:tcBorders>
              <w:top w:val="nil"/>
              <w:left w:val="nil"/>
              <w:bottom w:val="nil"/>
              <w:right w:val="nil"/>
            </w:tcBorders>
            <w:vAlign w:val="bottom"/>
          </w:tcPr>
          <w:p w:rsidR="00D92D97" w:rsidRDefault="00D92D97" w:rsidP="0073298C">
            <w:pPr>
              <w:spacing w:before="22" w:after="22"/>
              <w:ind w:left="22" w:right="22"/>
              <w:rPr>
                <w:color w:val="000000"/>
              </w:rPr>
            </w:pPr>
            <w:r>
              <w:rPr>
                <w:color w:val="000000"/>
              </w:rPr>
              <w:t> </w:t>
            </w:r>
          </w:p>
        </w:tc>
        <w:tc>
          <w:tcPr>
            <w:tcW w:w="2556" w:type="dxa"/>
            <w:tcBorders>
              <w:top w:val="nil"/>
              <w:left w:val="nil"/>
              <w:bottom w:val="nil"/>
              <w:right w:val="nil"/>
            </w:tcBorders>
            <w:vAlign w:val="bottom"/>
          </w:tcPr>
          <w:p w:rsidR="00D92D97" w:rsidRDefault="00D92D97" w:rsidP="0073298C">
            <w:pPr>
              <w:spacing w:before="22" w:after="22"/>
              <w:ind w:left="22" w:right="22"/>
              <w:rPr>
                <w:color w:val="000000"/>
              </w:rPr>
            </w:pPr>
            <w:r>
              <w:rPr>
                <w:color w:val="000000"/>
              </w:rPr>
              <w:t> </w:t>
            </w:r>
          </w:p>
        </w:tc>
        <w:tc>
          <w:tcPr>
            <w:tcW w:w="150" w:type="dxa"/>
            <w:tcBorders>
              <w:top w:val="nil"/>
              <w:left w:val="nil"/>
              <w:bottom w:val="nil"/>
              <w:right w:val="nil"/>
            </w:tcBorders>
            <w:vAlign w:val="bottom"/>
          </w:tcPr>
          <w:p w:rsidR="00D92D97" w:rsidRDefault="00D92D97" w:rsidP="0073298C">
            <w:pPr>
              <w:spacing w:before="22" w:after="22"/>
              <w:ind w:left="22" w:right="22"/>
              <w:rPr>
                <w:color w:val="000000"/>
              </w:rPr>
            </w:pPr>
            <w:r>
              <w:rPr>
                <w:color w:val="000000"/>
              </w:rPr>
              <w:t> </w:t>
            </w:r>
          </w:p>
        </w:tc>
        <w:tc>
          <w:tcPr>
            <w:tcW w:w="2556" w:type="dxa"/>
            <w:tcBorders>
              <w:top w:val="nil"/>
              <w:left w:val="nil"/>
              <w:bottom w:val="nil"/>
              <w:right w:val="single" w:sz="6" w:space="0" w:color="00467E"/>
            </w:tcBorders>
            <w:vAlign w:val="bottom"/>
          </w:tcPr>
          <w:p w:rsidR="00D92D97" w:rsidRDefault="00D92D97" w:rsidP="0073298C">
            <w:pPr>
              <w:spacing w:before="22" w:after="22"/>
              <w:ind w:left="22" w:right="22"/>
              <w:rPr>
                <w:rFonts w:ascii="Arial" w:hAnsi="Arial" w:cs="Arial"/>
                <w:color w:val="000000"/>
                <w:sz w:val="18"/>
                <w:szCs w:val="18"/>
              </w:rPr>
            </w:pPr>
            <w:r>
              <w:rPr>
                <w:rFonts w:ascii="Arial" w:hAnsi="Arial" w:cs="Arial"/>
                <w:color w:val="000000"/>
                <w:sz w:val="18"/>
                <w:szCs w:val="18"/>
              </w:rPr>
              <w:t>*Goodwill and Intangibles</w:t>
            </w:r>
          </w:p>
        </w:tc>
      </w:tr>
      <w:tr w:rsidR="00D92D97" w:rsidTr="00D92D97">
        <w:tblPrEx>
          <w:tblCellMar>
            <w:top w:w="0" w:type="dxa"/>
            <w:left w:w="0" w:type="dxa"/>
            <w:bottom w:w="0" w:type="dxa"/>
            <w:right w:w="0" w:type="dxa"/>
          </w:tblCellMar>
        </w:tblPrEx>
        <w:trPr>
          <w:trHeight w:val="281"/>
          <w:jc w:val="center"/>
        </w:trPr>
        <w:tc>
          <w:tcPr>
            <w:tcW w:w="2664" w:type="dxa"/>
            <w:tcBorders>
              <w:top w:val="nil"/>
              <w:left w:val="single" w:sz="6" w:space="0" w:color="00467E"/>
              <w:bottom w:val="nil"/>
              <w:right w:val="nil"/>
            </w:tcBorders>
            <w:shd w:val="clear" w:color="CFD4D8" w:fill="CFD4D8"/>
            <w:vAlign w:val="bottom"/>
          </w:tcPr>
          <w:p w:rsidR="00D92D97" w:rsidRDefault="00D92D97" w:rsidP="0073298C">
            <w:pPr>
              <w:spacing w:before="22" w:after="22"/>
              <w:ind w:left="22" w:right="22"/>
              <w:rPr>
                <w:rFonts w:ascii="Arial" w:hAnsi="Arial" w:cs="Arial"/>
                <w:color w:val="000000"/>
                <w:sz w:val="18"/>
                <w:szCs w:val="18"/>
              </w:rPr>
            </w:pPr>
            <w:r>
              <w:rPr>
                <w:rFonts w:ascii="Arial" w:hAnsi="Arial" w:cs="Arial"/>
                <w:color w:val="000000"/>
                <w:sz w:val="18"/>
                <w:szCs w:val="18"/>
              </w:rPr>
              <w:t>*International Operations</w:t>
            </w:r>
          </w:p>
        </w:tc>
        <w:tc>
          <w:tcPr>
            <w:tcW w:w="150" w:type="dxa"/>
            <w:tcBorders>
              <w:top w:val="nil"/>
              <w:left w:val="nil"/>
              <w:bottom w:val="nil"/>
              <w:right w:val="nil"/>
            </w:tcBorders>
            <w:shd w:val="clear" w:color="CFD4D8" w:fill="CFD4D8"/>
            <w:vAlign w:val="bottom"/>
          </w:tcPr>
          <w:p w:rsidR="00D92D97" w:rsidRDefault="00D92D97" w:rsidP="0073298C">
            <w:pPr>
              <w:spacing w:before="22" w:after="22"/>
              <w:ind w:left="22" w:right="22"/>
              <w:rPr>
                <w:color w:val="000000"/>
              </w:rPr>
            </w:pPr>
            <w:r>
              <w:rPr>
                <w:color w:val="000000"/>
              </w:rPr>
              <w:t> </w:t>
            </w:r>
          </w:p>
        </w:tc>
        <w:tc>
          <w:tcPr>
            <w:tcW w:w="2552" w:type="dxa"/>
            <w:tcBorders>
              <w:top w:val="nil"/>
              <w:left w:val="nil"/>
              <w:bottom w:val="nil"/>
              <w:right w:val="nil"/>
            </w:tcBorders>
            <w:shd w:val="clear" w:color="CFD4D8" w:fill="CFD4D8"/>
            <w:vAlign w:val="bottom"/>
          </w:tcPr>
          <w:p w:rsidR="00D92D97" w:rsidRDefault="00D92D97" w:rsidP="0073298C">
            <w:pPr>
              <w:spacing w:before="22" w:after="22"/>
              <w:ind w:left="22" w:right="22"/>
              <w:rPr>
                <w:rFonts w:ascii="Arial" w:hAnsi="Arial" w:cs="Arial"/>
                <w:color w:val="000000"/>
                <w:sz w:val="18"/>
                <w:szCs w:val="18"/>
              </w:rPr>
            </w:pPr>
            <w:r>
              <w:rPr>
                <w:rFonts w:ascii="Arial" w:hAnsi="Arial" w:cs="Arial"/>
                <w:color w:val="000000"/>
                <w:sz w:val="18"/>
                <w:szCs w:val="18"/>
              </w:rPr>
              <w:t>*Customers</w:t>
            </w:r>
          </w:p>
        </w:tc>
        <w:tc>
          <w:tcPr>
            <w:tcW w:w="150" w:type="dxa"/>
            <w:tcBorders>
              <w:top w:val="nil"/>
              <w:left w:val="nil"/>
              <w:bottom w:val="nil"/>
              <w:right w:val="nil"/>
            </w:tcBorders>
            <w:shd w:val="clear" w:color="CFD4D8" w:fill="CFD4D8"/>
            <w:vAlign w:val="bottom"/>
          </w:tcPr>
          <w:p w:rsidR="00D92D97" w:rsidRDefault="00D92D97" w:rsidP="0073298C">
            <w:pPr>
              <w:spacing w:before="22" w:after="22"/>
              <w:ind w:left="22" w:right="22"/>
              <w:rPr>
                <w:color w:val="000000"/>
              </w:rPr>
            </w:pPr>
            <w:r>
              <w:rPr>
                <w:color w:val="000000"/>
              </w:rPr>
              <w:t> </w:t>
            </w:r>
          </w:p>
        </w:tc>
        <w:tc>
          <w:tcPr>
            <w:tcW w:w="2556" w:type="dxa"/>
            <w:tcBorders>
              <w:top w:val="nil"/>
              <w:left w:val="nil"/>
              <w:bottom w:val="nil"/>
              <w:right w:val="nil"/>
            </w:tcBorders>
            <w:shd w:val="clear" w:color="CFD4D8" w:fill="CFD4D8"/>
            <w:vAlign w:val="bottom"/>
          </w:tcPr>
          <w:p w:rsidR="00D92D97" w:rsidRDefault="00D92D97" w:rsidP="0073298C">
            <w:pPr>
              <w:spacing w:before="22" w:after="22"/>
              <w:ind w:left="22" w:right="22"/>
              <w:rPr>
                <w:color w:val="000000"/>
              </w:rPr>
            </w:pPr>
            <w:r>
              <w:rPr>
                <w:color w:val="000000"/>
              </w:rPr>
              <w:t> </w:t>
            </w:r>
          </w:p>
        </w:tc>
        <w:tc>
          <w:tcPr>
            <w:tcW w:w="150" w:type="dxa"/>
            <w:tcBorders>
              <w:top w:val="nil"/>
              <w:left w:val="nil"/>
              <w:bottom w:val="nil"/>
              <w:right w:val="nil"/>
            </w:tcBorders>
            <w:shd w:val="clear" w:color="CFD4D8" w:fill="CFD4D8"/>
            <w:vAlign w:val="bottom"/>
          </w:tcPr>
          <w:p w:rsidR="00D92D97" w:rsidRDefault="00D92D97" w:rsidP="0073298C">
            <w:pPr>
              <w:spacing w:before="22" w:after="22"/>
              <w:ind w:left="22" w:right="22"/>
              <w:rPr>
                <w:color w:val="000000"/>
              </w:rPr>
            </w:pPr>
            <w:r>
              <w:rPr>
                <w:color w:val="000000"/>
              </w:rPr>
              <w:t> </w:t>
            </w:r>
          </w:p>
        </w:tc>
        <w:tc>
          <w:tcPr>
            <w:tcW w:w="2556" w:type="dxa"/>
            <w:tcBorders>
              <w:top w:val="nil"/>
              <w:left w:val="nil"/>
              <w:bottom w:val="nil"/>
              <w:right w:val="single" w:sz="6" w:space="0" w:color="00467E"/>
            </w:tcBorders>
            <w:shd w:val="clear" w:color="CFD4D8" w:fill="CFD4D8"/>
            <w:vAlign w:val="bottom"/>
          </w:tcPr>
          <w:p w:rsidR="00D92D97" w:rsidRDefault="00D92D97" w:rsidP="0073298C">
            <w:pPr>
              <w:spacing w:before="22" w:after="22"/>
              <w:ind w:left="22" w:right="22"/>
              <w:rPr>
                <w:rFonts w:ascii="Arial" w:hAnsi="Arial" w:cs="Arial"/>
                <w:color w:val="000000"/>
                <w:sz w:val="18"/>
                <w:szCs w:val="18"/>
              </w:rPr>
            </w:pPr>
            <w:r>
              <w:rPr>
                <w:rFonts w:ascii="Arial" w:hAnsi="Arial" w:cs="Arial"/>
                <w:color w:val="000000"/>
                <w:sz w:val="18"/>
                <w:szCs w:val="18"/>
              </w:rPr>
              <w:t>*Common Stock</w:t>
            </w:r>
          </w:p>
        </w:tc>
      </w:tr>
      <w:tr w:rsidR="00D92D97" w:rsidTr="00D92D97">
        <w:tblPrEx>
          <w:tblCellMar>
            <w:top w:w="0" w:type="dxa"/>
            <w:left w:w="0" w:type="dxa"/>
            <w:bottom w:w="0" w:type="dxa"/>
            <w:right w:w="0" w:type="dxa"/>
          </w:tblCellMar>
        </w:tblPrEx>
        <w:trPr>
          <w:trHeight w:val="281"/>
          <w:jc w:val="center"/>
        </w:trPr>
        <w:tc>
          <w:tcPr>
            <w:tcW w:w="2664" w:type="dxa"/>
            <w:tcBorders>
              <w:top w:val="nil"/>
              <w:left w:val="single" w:sz="6" w:space="0" w:color="00467E"/>
              <w:bottom w:val="single" w:sz="6" w:space="0" w:color="00467E"/>
              <w:right w:val="nil"/>
            </w:tcBorders>
            <w:vAlign w:val="bottom"/>
          </w:tcPr>
          <w:p w:rsidR="00D92D97" w:rsidRDefault="00D92D97" w:rsidP="0073298C">
            <w:pPr>
              <w:spacing w:before="22" w:after="22"/>
              <w:ind w:left="22" w:right="22"/>
              <w:rPr>
                <w:color w:val="000000"/>
              </w:rPr>
            </w:pPr>
            <w:r>
              <w:rPr>
                <w:color w:val="000000"/>
              </w:rPr>
              <w:t> </w:t>
            </w:r>
          </w:p>
        </w:tc>
        <w:tc>
          <w:tcPr>
            <w:tcW w:w="150" w:type="dxa"/>
            <w:tcBorders>
              <w:top w:val="nil"/>
              <w:left w:val="nil"/>
              <w:bottom w:val="single" w:sz="6" w:space="0" w:color="00467E"/>
              <w:right w:val="nil"/>
            </w:tcBorders>
            <w:vAlign w:val="bottom"/>
          </w:tcPr>
          <w:p w:rsidR="00D92D97" w:rsidRDefault="00D92D97" w:rsidP="0073298C">
            <w:pPr>
              <w:spacing w:before="22" w:after="22"/>
              <w:ind w:left="22" w:right="22"/>
              <w:rPr>
                <w:color w:val="000000"/>
              </w:rPr>
            </w:pPr>
            <w:r>
              <w:rPr>
                <w:color w:val="000000"/>
              </w:rPr>
              <w:t> </w:t>
            </w:r>
          </w:p>
        </w:tc>
        <w:tc>
          <w:tcPr>
            <w:tcW w:w="2552" w:type="dxa"/>
            <w:tcBorders>
              <w:top w:val="nil"/>
              <w:left w:val="nil"/>
              <w:bottom w:val="single" w:sz="6" w:space="0" w:color="00467E"/>
              <w:right w:val="nil"/>
            </w:tcBorders>
            <w:vAlign w:val="bottom"/>
          </w:tcPr>
          <w:p w:rsidR="00D92D97" w:rsidRDefault="00D92D97" w:rsidP="0073298C">
            <w:pPr>
              <w:spacing w:before="22" w:after="22"/>
              <w:ind w:left="22" w:right="22"/>
              <w:rPr>
                <w:rFonts w:ascii="Arial" w:hAnsi="Arial" w:cs="Arial"/>
                <w:color w:val="000000"/>
                <w:sz w:val="18"/>
                <w:szCs w:val="18"/>
              </w:rPr>
            </w:pPr>
            <w:r>
              <w:rPr>
                <w:rFonts w:ascii="Arial" w:hAnsi="Arial" w:cs="Arial"/>
                <w:color w:val="000000"/>
                <w:sz w:val="18"/>
                <w:szCs w:val="18"/>
              </w:rPr>
              <w:t>*Information Systems</w:t>
            </w:r>
          </w:p>
        </w:tc>
        <w:tc>
          <w:tcPr>
            <w:tcW w:w="150" w:type="dxa"/>
            <w:tcBorders>
              <w:top w:val="nil"/>
              <w:left w:val="nil"/>
              <w:bottom w:val="single" w:sz="6" w:space="0" w:color="00467E"/>
              <w:right w:val="nil"/>
            </w:tcBorders>
            <w:vAlign w:val="bottom"/>
          </w:tcPr>
          <w:p w:rsidR="00D92D97" w:rsidRDefault="00D92D97" w:rsidP="0073298C">
            <w:pPr>
              <w:spacing w:before="22" w:after="22"/>
              <w:ind w:left="22" w:right="22"/>
              <w:rPr>
                <w:color w:val="000000"/>
              </w:rPr>
            </w:pPr>
            <w:r>
              <w:rPr>
                <w:color w:val="000000"/>
              </w:rPr>
              <w:t> </w:t>
            </w:r>
          </w:p>
        </w:tc>
        <w:tc>
          <w:tcPr>
            <w:tcW w:w="2556" w:type="dxa"/>
            <w:tcBorders>
              <w:top w:val="nil"/>
              <w:left w:val="nil"/>
              <w:bottom w:val="single" w:sz="6" w:space="0" w:color="00467E"/>
              <w:right w:val="nil"/>
            </w:tcBorders>
            <w:vAlign w:val="bottom"/>
          </w:tcPr>
          <w:p w:rsidR="00D92D97" w:rsidRDefault="00D92D97" w:rsidP="0073298C">
            <w:pPr>
              <w:spacing w:before="22" w:after="22"/>
              <w:ind w:left="22" w:right="22"/>
              <w:rPr>
                <w:color w:val="000000"/>
              </w:rPr>
            </w:pPr>
            <w:r>
              <w:rPr>
                <w:color w:val="000000"/>
              </w:rPr>
              <w:t> </w:t>
            </w:r>
          </w:p>
        </w:tc>
        <w:tc>
          <w:tcPr>
            <w:tcW w:w="150" w:type="dxa"/>
            <w:tcBorders>
              <w:top w:val="nil"/>
              <w:left w:val="nil"/>
              <w:bottom w:val="single" w:sz="6" w:space="0" w:color="00467E"/>
              <w:right w:val="nil"/>
            </w:tcBorders>
            <w:vAlign w:val="bottom"/>
          </w:tcPr>
          <w:p w:rsidR="00D92D97" w:rsidRDefault="00D92D97" w:rsidP="0073298C">
            <w:pPr>
              <w:spacing w:before="22" w:after="22"/>
              <w:ind w:left="22" w:right="22"/>
              <w:rPr>
                <w:color w:val="000000"/>
              </w:rPr>
            </w:pPr>
            <w:r>
              <w:rPr>
                <w:color w:val="000000"/>
              </w:rPr>
              <w:t> </w:t>
            </w:r>
          </w:p>
        </w:tc>
        <w:tc>
          <w:tcPr>
            <w:tcW w:w="2556" w:type="dxa"/>
            <w:tcBorders>
              <w:top w:val="nil"/>
              <w:left w:val="nil"/>
              <w:bottom w:val="single" w:sz="6" w:space="0" w:color="00467E"/>
              <w:right w:val="single" w:sz="6" w:space="0" w:color="00467E"/>
            </w:tcBorders>
            <w:vAlign w:val="bottom"/>
          </w:tcPr>
          <w:p w:rsidR="00D92D97" w:rsidRDefault="00D92D97" w:rsidP="0073298C">
            <w:pPr>
              <w:spacing w:before="22" w:after="22"/>
              <w:ind w:left="22" w:right="22"/>
              <w:rPr>
                <w:rFonts w:ascii="Arial" w:hAnsi="Arial" w:cs="Arial"/>
                <w:color w:val="000000"/>
                <w:sz w:val="18"/>
                <w:szCs w:val="18"/>
              </w:rPr>
            </w:pPr>
            <w:r>
              <w:rPr>
                <w:rFonts w:ascii="Arial" w:hAnsi="Arial" w:cs="Arial"/>
                <w:color w:val="000000"/>
                <w:sz w:val="18"/>
                <w:szCs w:val="18"/>
              </w:rPr>
              <w:t>*Dividends</w:t>
            </w:r>
          </w:p>
        </w:tc>
      </w:tr>
    </w:tbl>
    <w:p w:rsidR="00D92D97" w:rsidRDefault="00D92D97" w:rsidP="00D92D97">
      <w:pPr>
        <w:pStyle w:val="Heading2"/>
      </w:pPr>
      <w:bookmarkStart w:id="23" w:name="_Toc526330219"/>
      <w:r>
        <w:t>Insurance and claims expenses could significantly reduce our earnings.</w:t>
      </w:r>
      <w:bookmarkEnd w:id="23"/>
    </w:p>
    <w:p w:rsidR="00D92D97" w:rsidRDefault="00D92D97" w:rsidP="00D92D97">
      <w:pPr>
        <w:spacing w:after="132"/>
        <w:jc w:val="both"/>
        <w:rPr>
          <w:rFonts w:ascii="Arial" w:hAnsi="Arial" w:cs="Arial"/>
          <w:color w:val="000000"/>
          <w:sz w:val="18"/>
          <w:szCs w:val="18"/>
        </w:rPr>
      </w:pPr>
      <w:r>
        <w:rPr>
          <w:rFonts w:ascii="Arial" w:hAnsi="Arial" w:cs="Arial"/>
          <w:color w:val="000000"/>
          <w:sz w:val="18"/>
          <w:szCs w:val="18"/>
        </w:rPr>
        <w:t>Our future insurance and claims expense might exceed historical levels, which could reduce our earnings. We self-insure or insure through our captive insurance companies a significant portion of our claims exposure resulting from workers' compensation, auto liability, general liability, cargo and property damage claims, as well as Knight's employee health insurance, which could increase the volatility of, and decrease the amount of, our earnings, and could have a materially adverse effect on our results of operations. Prior to the 2017 Merger, Knight's auto liability self-insured retention was $1.0 million per occurrence and Swift's was $10.0 million per occurrence. Such self-insured retention levels continue at our Knight and Swift businesses following the 2017 Merger. Higher self-insured retention levels may increase the impact of auto liability occurrences on our results of operations. We are also responsible for our legal expenses relating to such claims. We reserve for anticipated losses and expenses and periodically evaluate and adjust our claims reserves to reflect our experience. Estimating the number and severity of claims, as well as related judgment or settlement amounts, is inherently difficult. This, along with legal expenses, incurred but not reported claims, and other uncertainties can cause unfavorable differences between actual self-insurance costs and our reserve estimates. Accordingly, ultimate results may differ from our estimates, which could result in losses over our reserved amounts.</w:t>
      </w:r>
    </w:p>
    <w:p w:rsidR="00D92D97" w:rsidRDefault="00D92D97" w:rsidP="00D92D97">
      <w:pPr>
        <w:spacing w:after="132"/>
        <w:jc w:val="both"/>
        <w:rPr>
          <w:rFonts w:ascii="Arial" w:hAnsi="Arial" w:cs="Arial"/>
          <w:color w:val="000000"/>
          <w:sz w:val="18"/>
          <w:szCs w:val="18"/>
        </w:rPr>
      </w:pPr>
      <w:r>
        <w:rPr>
          <w:rFonts w:ascii="Arial" w:hAnsi="Arial" w:cs="Arial"/>
          <w:color w:val="000000"/>
          <w:sz w:val="18"/>
          <w:szCs w:val="18"/>
        </w:rPr>
        <w:t>We maintain insurance with licensed insurance carriers above the amounts in which we self-insure. Although we believe our aggregate insurance limits should be sufficient to cover reasonably expected claims, it is possible that the amount of one or more claims could exceed our aggregate coverage limits. If any claim were to exceed our coverage, we would bear the excess, in addition to our other self-insured amounts.  Insurance carriers have raised premiums for many businesses, including transportation companies. As a result, our insurance and claims expense could increase, or we could raise our self-insured retention when our policies are renewed or replaced. Our results of operations and financial condition could be materially and adversely affected if (1) cost per claim, premiums, or the number of claims significantly exceeds our coverage limits or retention amounts; (2) we experience a claim in excess of our coverage limits; (3) our insurance carriers fail to pay on our insurance claims; or (4) we experience a claim for which coverage is not provided.</w:t>
      </w:r>
    </w:p>
    <w:p w:rsidR="00D92D97" w:rsidRDefault="00D92D97" w:rsidP="00D92D97">
      <w:pPr>
        <w:spacing w:after="264"/>
        <w:jc w:val="both"/>
        <w:rPr>
          <w:rFonts w:ascii="Arial" w:hAnsi="Arial" w:cs="Arial"/>
          <w:color w:val="000000"/>
          <w:sz w:val="18"/>
          <w:szCs w:val="18"/>
        </w:rPr>
      </w:pPr>
      <w:r>
        <w:rPr>
          <w:rFonts w:ascii="Arial" w:hAnsi="Arial" w:cs="Arial"/>
          <w:color w:val="000000"/>
          <w:sz w:val="18"/>
          <w:szCs w:val="18"/>
        </w:rPr>
        <w:lastRenderedPageBreak/>
        <w:t>Healthcare legislation and inflationary cost increases also could negatively impact financial results by increasing annual employee healthcare costs. We cannot presently determine the extent of the impact such increased healthcare costs will have on our financial performance. In addition, rising healthcare costs could force us to make changes to existing benefit programs, which could negatively impact our ability to attract and retain employees.</w:t>
      </w:r>
    </w:p>
    <w:p w:rsidR="00D92D97" w:rsidRDefault="00D92D97" w:rsidP="00D92D97">
      <w:pPr>
        <w:pStyle w:val="Heading2"/>
      </w:pPr>
      <w:bookmarkStart w:id="24" w:name="_Toc526330220"/>
      <w:r>
        <w:t>Insuring risk through our captive insurance companies could adversely impact our operations.</w:t>
      </w:r>
      <w:bookmarkEnd w:id="24"/>
    </w:p>
    <w:p w:rsidR="00D92D97" w:rsidRDefault="00D92D97" w:rsidP="00D92D97">
      <w:pPr>
        <w:spacing w:after="132"/>
        <w:jc w:val="both"/>
        <w:rPr>
          <w:rFonts w:ascii="Arial" w:hAnsi="Arial" w:cs="Arial"/>
          <w:color w:val="000000"/>
          <w:sz w:val="18"/>
          <w:szCs w:val="18"/>
        </w:rPr>
      </w:pPr>
      <w:r>
        <w:rPr>
          <w:rFonts w:ascii="Arial" w:hAnsi="Arial" w:cs="Arial"/>
          <w:color w:val="000000"/>
          <w:sz w:val="18"/>
          <w:szCs w:val="18"/>
        </w:rPr>
        <w:t>We insure a portion of our risk through our captive insurance companies, Mohave and Red Rock. In addition to insuring portions of our own risk, Mohave provides reinsurance coverage to third-party insurance companies associated with our affiliated companies' independent contractors. Red Rock insures a share of our automobile liability risk. The insurance and reinsurance markets are subject to market pressures. Our captive insurance companies' abilities or needs to access the reinsurance markets may involve the retention of additional risk, which could expose us to volatility in claims expenses.</w:t>
      </w:r>
    </w:p>
    <w:p w:rsidR="00D92D97" w:rsidRDefault="00D92D97" w:rsidP="00D92D97">
      <w:pPr>
        <w:spacing w:after="264"/>
        <w:jc w:val="both"/>
        <w:rPr>
          <w:sz w:val="16"/>
          <w:szCs w:val="16"/>
        </w:rPr>
      </w:pPr>
      <w:r>
        <w:rPr>
          <w:rFonts w:ascii="Arial" w:hAnsi="Arial" w:cs="Arial"/>
          <w:color w:val="000000"/>
          <w:sz w:val="18"/>
          <w:szCs w:val="18"/>
        </w:rPr>
        <w:t>To comply with certain state insurance regulatory requirements, cash and cash equivalents must be paid to Red Rock and Mohave as capital investments and insurance premiums, to be restricted as collateral for anticipated losses. The restricted cash is used for payment of insured claims. In the future, we may continue to insure our automobile liability risk through our captive insurance subsidiaries, which will cause increases in the required amount of our restricted cash or other collateral, such as letters of credit. Significant increases in the amount of collateral required by third-party insurance carriers and regulators would reduce our liquidity.</w:t>
      </w:r>
    </w:p>
    <w:p w:rsidR="00D92D97" w:rsidRDefault="00D92D97" w:rsidP="00FB555E">
      <w:pPr>
        <w:pStyle w:val="Heading2"/>
      </w:pPr>
      <w:bookmarkStart w:id="25" w:name="_Toc526330221"/>
      <w:r>
        <w:t>Compliance Risk</w:t>
      </w:r>
      <w:bookmarkEnd w:id="25"/>
    </w:p>
    <w:p w:rsidR="00D92D97" w:rsidRDefault="00D92D97" w:rsidP="00D92D97">
      <w:pPr>
        <w:spacing w:after="66"/>
        <w:jc w:val="both"/>
        <w:rPr>
          <w:rFonts w:ascii="Arial" w:hAnsi="Arial" w:cs="Arial"/>
          <w:b/>
          <w:bCs w:val="0"/>
          <w:i/>
          <w:iCs/>
          <w:color w:val="00467E"/>
          <w:sz w:val="18"/>
          <w:szCs w:val="18"/>
        </w:rPr>
      </w:pPr>
      <w:r>
        <w:rPr>
          <w:rFonts w:ascii="Arial" w:hAnsi="Arial" w:cs="Arial"/>
          <w:b/>
          <w:bCs w:val="0"/>
          <w:i/>
          <w:iCs/>
          <w:color w:val="00467E"/>
          <w:sz w:val="18"/>
          <w:szCs w:val="18"/>
        </w:rPr>
        <w:t>We operate in a highly regulated industry, and changes in existing regulations or violat</w:t>
      </w:r>
      <w:r>
        <w:rPr>
          <w:rFonts w:ascii="Arial" w:hAnsi="Arial" w:cs="Arial"/>
          <w:b/>
          <w:bCs w:val="0"/>
          <w:color w:val="000000"/>
          <w:sz w:val="18"/>
          <w:szCs w:val="18"/>
        </w:rPr>
        <w:t>i</w:t>
      </w:r>
      <w:r>
        <w:rPr>
          <w:rFonts w:ascii="Arial" w:hAnsi="Arial" w:cs="Arial"/>
          <w:b/>
          <w:bCs w:val="0"/>
          <w:i/>
          <w:iCs/>
          <w:color w:val="00467E"/>
          <w:sz w:val="18"/>
          <w:szCs w:val="18"/>
        </w:rPr>
        <w:t>ons of existing or future regulations could have a materially adverse effect on our operations and profitability.</w:t>
      </w:r>
    </w:p>
    <w:p w:rsidR="00D92D97" w:rsidRDefault="00D92D97" w:rsidP="00D92D97">
      <w:pPr>
        <w:spacing w:after="132"/>
        <w:jc w:val="both"/>
        <w:rPr>
          <w:rFonts w:ascii="Arial" w:hAnsi="Arial" w:cs="Arial"/>
          <w:color w:val="000000"/>
          <w:sz w:val="18"/>
          <w:szCs w:val="18"/>
        </w:rPr>
      </w:pPr>
      <w:r>
        <w:rPr>
          <w:rFonts w:ascii="Arial" w:hAnsi="Arial" w:cs="Arial"/>
          <w:color w:val="000000"/>
          <w:sz w:val="18"/>
          <w:szCs w:val="18"/>
        </w:rPr>
        <w:t xml:space="preserve">We have authority to operate in the United States, as granted by the DOT, Mexico (as granted by the </w:t>
      </w:r>
      <w:proofErr w:type="spellStart"/>
      <w:r>
        <w:rPr>
          <w:rFonts w:ascii="Arial" w:hAnsi="Arial" w:cs="Arial"/>
          <w:color w:val="000000"/>
          <w:sz w:val="18"/>
          <w:szCs w:val="18"/>
        </w:rPr>
        <w:t>Secretaría</w:t>
      </w:r>
      <w:proofErr w:type="spellEnd"/>
      <w:r>
        <w:rPr>
          <w:rFonts w:ascii="Arial" w:hAnsi="Arial" w:cs="Arial"/>
          <w:color w:val="000000"/>
          <w:sz w:val="18"/>
          <w:szCs w:val="18"/>
        </w:rPr>
        <w:t xml:space="preserve"> de </w:t>
      </w:r>
      <w:proofErr w:type="spellStart"/>
      <w:r>
        <w:rPr>
          <w:rFonts w:ascii="Arial" w:hAnsi="Arial" w:cs="Arial"/>
          <w:color w:val="000000"/>
          <w:sz w:val="18"/>
          <w:szCs w:val="18"/>
        </w:rPr>
        <w:t>Comunicaciones</w:t>
      </w:r>
      <w:proofErr w:type="spellEnd"/>
      <w:r>
        <w:rPr>
          <w:rFonts w:ascii="Arial" w:hAnsi="Arial" w:cs="Arial"/>
          <w:color w:val="000000"/>
          <w:sz w:val="18"/>
          <w:szCs w:val="18"/>
        </w:rPr>
        <w:t xml:space="preserve"> y </w:t>
      </w:r>
      <w:proofErr w:type="spellStart"/>
      <w:r>
        <w:rPr>
          <w:rFonts w:ascii="Arial" w:hAnsi="Arial" w:cs="Arial"/>
          <w:color w:val="000000"/>
          <w:sz w:val="18"/>
          <w:szCs w:val="18"/>
        </w:rPr>
        <w:t>Transportes</w:t>
      </w:r>
      <w:proofErr w:type="spellEnd"/>
      <w:r>
        <w:rPr>
          <w:rFonts w:ascii="Arial" w:hAnsi="Arial" w:cs="Arial"/>
          <w:color w:val="000000"/>
          <w:sz w:val="18"/>
          <w:szCs w:val="18"/>
        </w:rPr>
        <w:t>), and various Canadian provinces (as granted by the Ministries of Transportation and Communication in such provinces). In the United States, we are also regulated by the EPA, United States Department of Homeland Security, and other agencies in states in which we operate. Our company driving associates, independent contractors, and third-party capacity providers also must comply with the applicable safety and fitness regulations of the DOT, including those relating to drug and alcohol testing, driver safety performance, and hours-of-service. Matters such as weight, equipment dimensions, exhaust emissions, and fuel efficiency are also subject to government regulations.  We also may become subject to new or more restrictive regulations relating to fuel efficiency, exhaust emissions, hours-of-service, drug and alcohol testing, ergonomics, on-board reporting of operations, collective bargaining, security at ports, speed limiters, driver training, and other matters affecting safety or operating methods. Future laws and regulations may be more stringent, require changes in our operating practices, influence the demand for transportation services, or require us to incur significant additional costs. Higher costs incurred by us, or by our suppliers who pass the costs onto us through higher supplies and materials pricing, could adversely affect our results of operations. In addition, the Trump administration has indicated a desire to reduce regulatory burdens that constrain growth and productivity, and also to introduce legislation such as infrastructure spending, that could improve growth and productivity. Changes in regulations, such as those related to trailer size and gross vehicle weight limits, hours-of-service, mandating ELDs, and drug and alcohol testing, could increase capacity in the industry or improve the position of certain competitors, either of which could negatively impact pricing and volumes, or require additional investments by us. The short and long term impacts of changes in legislation or regulations are difficult to predict and could materially adversely affect our operations.</w:t>
      </w:r>
    </w:p>
    <w:p w:rsidR="00D92D97" w:rsidRDefault="00D92D97" w:rsidP="00D92D97">
      <w:pPr>
        <w:spacing w:after="132"/>
        <w:jc w:val="both"/>
        <w:rPr>
          <w:rFonts w:ascii="Arial" w:hAnsi="Arial" w:cs="Arial"/>
          <w:color w:val="000000"/>
          <w:sz w:val="18"/>
          <w:szCs w:val="18"/>
        </w:rPr>
      </w:pPr>
      <w:r>
        <w:rPr>
          <w:rFonts w:ascii="Arial" w:hAnsi="Arial" w:cs="Arial"/>
          <w:color w:val="000000"/>
          <w:sz w:val="18"/>
          <w:szCs w:val="18"/>
        </w:rPr>
        <w:t>Our lease contracts with independent contractors are governed by federal leasing regulations, which impose specific requirements on us and the independent contractors. In the past, Swift has been the subject of lawsuits, alleging violations of lease agreements or failure to follow the contractual terms, some of which resulted in adverse decisions against Swift. We could be subjected to similar lawsuits and decisions in the future, which if determined adversely to us, could have an adverse effect on our financial condition.</w:t>
      </w:r>
    </w:p>
    <w:p w:rsidR="00D92D97" w:rsidRDefault="00D92D97" w:rsidP="00D92D97">
      <w:pPr>
        <w:spacing w:after="132"/>
        <w:jc w:val="both"/>
        <w:rPr>
          <w:rFonts w:ascii="Arial" w:hAnsi="Arial" w:cs="Arial"/>
          <w:color w:val="000000"/>
          <w:sz w:val="18"/>
          <w:szCs w:val="18"/>
        </w:rPr>
      </w:pPr>
      <w:r>
        <w:rPr>
          <w:rFonts w:ascii="Arial" w:hAnsi="Arial" w:cs="Arial"/>
          <w:color w:val="000000"/>
          <w:sz w:val="18"/>
          <w:szCs w:val="18"/>
        </w:rPr>
        <w:t xml:space="preserve">In December 2016, the FMCSA established new minimum training standards for certain individuals applying for (or upgrading) a Class A or Class B commercial driver's license, or obtaining a hazardous materials, passenger, or school bus endorsement on their commercial driver's license for the first time. These individuals must complete a prescribed program of theory and behind-the wheel instruction. The final rule requires that behind-the-wheel proficiency of an entry-level truck driver be determined solely by the instructor's evaluation of how well the driver-trainee performs the fundamental vehicle controls skills and driving procedures set forth in the curricula, but does not </w:t>
      </w:r>
      <w:r>
        <w:rPr>
          <w:rFonts w:ascii="Arial" w:hAnsi="Arial" w:cs="Arial"/>
          <w:color w:val="000000"/>
          <w:sz w:val="18"/>
          <w:szCs w:val="18"/>
        </w:rPr>
        <w:lastRenderedPageBreak/>
        <w:t xml:space="preserve">have a minimum training </w:t>
      </w:r>
      <w:proofErr w:type="gramStart"/>
      <w:r>
        <w:rPr>
          <w:rFonts w:ascii="Arial" w:hAnsi="Arial" w:cs="Arial"/>
          <w:color w:val="000000"/>
          <w:sz w:val="18"/>
          <w:szCs w:val="18"/>
        </w:rPr>
        <w:t>hours</w:t>
      </w:r>
      <w:proofErr w:type="gramEnd"/>
      <w:r>
        <w:rPr>
          <w:rFonts w:ascii="Arial" w:hAnsi="Arial" w:cs="Arial"/>
          <w:color w:val="000000"/>
          <w:sz w:val="18"/>
          <w:szCs w:val="18"/>
        </w:rPr>
        <w:t xml:space="preserve"> requirement, as proposed by the FMCSA earlier in 2016. The final rule went into effect in February 2017, with a compliance date of February 7, 2020. Upon the compliance date, training schools, including the driving academies we operate, will be required to register with the FMCSA's Training Provider Registry and certify that their program meets the classroom and driving standards.</w:t>
      </w:r>
    </w:p>
    <w:p w:rsidR="00D92D97" w:rsidRDefault="00D92D97" w:rsidP="00D92D97">
      <w:pPr>
        <w:spacing w:after="264"/>
        <w:jc w:val="both"/>
        <w:rPr>
          <w:rFonts w:ascii="Arial" w:hAnsi="Arial" w:cs="Arial"/>
          <w:color w:val="000000"/>
          <w:sz w:val="18"/>
          <w:szCs w:val="18"/>
        </w:rPr>
      </w:pPr>
      <w:r>
        <w:rPr>
          <w:rFonts w:ascii="Arial" w:hAnsi="Arial" w:cs="Arial"/>
          <w:color w:val="000000"/>
          <w:sz w:val="18"/>
          <w:szCs w:val="18"/>
        </w:rPr>
        <w:t>"Regulation" in Part I, Item 1 of this Annual Report, discusses in detail several proposed, pending, suspended, and final regulations that could materially impact our business and operations.</w:t>
      </w:r>
    </w:p>
    <w:p w:rsidR="00D92D97" w:rsidRDefault="00D92D97" w:rsidP="00D92D97">
      <w:pPr>
        <w:spacing w:after="66"/>
        <w:jc w:val="both"/>
        <w:rPr>
          <w:rFonts w:ascii="Arial" w:hAnsi="Arial" w:cs="Arial"/>
          <w:b/>
          <w:bCs w:val="0"/>
          <w:i/>
          <w:iCs/>
          <w:color w:val="00467E"/>
          <w:sz w:val="18"/>
          <w:szCs w:val="18"/>
        </w:rPr>
      </w:pPr>
      <w:r>
        <w:rPr>
          <w:rFonts w:ascii="Arial" w:hAnsi="Arial" w:cs="Arial"/>
          <w:b/>
          <w:bCs w:val="0"/>
          <w:i/>
          <w:iCs/>
          <w:color w:val="00467E"/>
          <w:sz w:val="18"/>
          <w:szCs w:val="18"/>
        </w:rPr>
        <w:t>The CSA program adopted by the FMCSA could adversely affect our profitability and operations, our ability to maintain or grow our fleet, and our customer relationships.</w:t>
      </w:r>
    </w:p>
    <w:p w:rsidR="00D92D97" w:rsidRDefault="00D92D97" w:rsidP="00D92D97">
      <w:pPr>
        <w:spacing w:after="132"/>
        <w:jc w:val="both"/>
        <w:rPr>
          <w:color w:val="000000"/>
          <w:sz w:val="18"/>
          <w:szCs w:val="18"/>
        </w:rPr>
      </w:pPr>
      <w:r>
        <w:rPr>
          <w:rFonts w:ascii="Arial" w:hAnsi="Arial" w:cs="Arial"/>
          <w:color w:val="000000"/>
          <w:sz w:val="18"/>
          <w:szCs w:val="18"/>
        </w:rPr>
        <w:t xml:space="preserve">Under CSA, fleets are evaluated and ranked against their peers based on certain safety-related standards. As a result, our fleet could be ranked poorly as compared to our peer carriers. We recruit and retain first-time driving associates to be part of our fleet, and these driving associates may have a higher likelihood of creating adverse safety events under CSA. The occurrence of future deficiencies could affect driving associate recruitment by causing high-quality driving associates to seek employment with other carriers or limit the pool of available driving associates or could cause our customers to direct their business away from us and to carriers with higher fleet safety rankings, either of which would adversely affect our business, financial condition and results of operations. Additionally, competition for driving associates with favorable safety backgrounds may increase, which could necessitate increases in driving associate-related compensation costs. Further, we may incur greater than expected expenses in our attempts to improve unfavorable </w:t>
      </w:r>
      <w:proofErr w:type="gramStart"/>
      <w:r>
        <w:rPr>
          <w:rFonts w:ascii="Arial" w:hAnsi="Arial" w:cs="Arial"/>
          <w:color w:val="000000"/>
          <w:sz w:val="18"/>
          <w:szCs w:val="18"/>
        </w:rPr>
        <w:t>scores</w:t>
      </w:r>
      <w:r>
        <w:rPr>
          <w:color w:val="000000"/>
          <w:sz w:val="18"/>
          <w:szCs w:val="18"/>
        </w:rPr>
        <w:t xml:space="preserve"> .</w:t>
      </w:r>
      <w:proofErr w:type="gramEnd"/>
    </w:p>
    <w:p w:rsidR="00D92D97" w:rsidRDefault="00D92D97" w:rsidP="00D92D97">
      <w:pPr>
        <w:spacing w:after="132"/>
        <w:jc w:val="both"/>
      </w:pPr>
      <w:r>
        <w:rPr>
          <w:rFonts w:ascii="Arial" w:hAnsi="Arial" w:cs="Arial"/>
          <w:color w:val="000000"/>
          <w:sz w:val="18"/>
          <w:szCs w:val="18"/>
        </w:rPr>
        <w:t xml:space="preserve">In December 2015, Congress passed a new highway funding bill called Fixing America's Surface Transportation Act (the "FAST Act"), which calls for significant CSA reform. The FAST Act directs the FMCSA to conduct studies of the scoring system used to generate CSA rankings to determine if it is effective in identifying high-risk carriers and predicting future crash risk. This study was conducted and delivered to the FMCSA in June 2017 with several recommendations to make the CSA program more fair, </w:t>
      </w:r>
      <w:proofErr w:type="gramStart"/>
      <w:r>
        <w:rPr>
          <w:rFonts w:ascii="Arial" w:hAnsi="Arial" w:cs="Arial"/>
          <w:color w:val="000000"/>
          <w:sz w:val="18"/>
          <w:szCs w:val="18"/>
        </w:rPr>
        <w:t>accurate</w:t>
      </w:r>
      <w:r>
        <w:rPr>
          <w:color w:val="000000"/>
          <w:sz w:val="18"/>
          <w:szCs w:val="18"/>
        </w:rPr>
        <w:t xml:space="preserve"> ,</w:t>
      </w:r>
      <w:proofErr w:type="gramEnd"/>
      <w:r>
        <w:rPr>
          <w:rFonts w:ascii="Arial" w:hAnsi="Arial" w:cs="Arial"/>
          <w:color w:val="000000"/>
          <w:sz w:val="18"/>
          <w:szCs w:val="18"/>
        </w:rPr>
        <w:t xml:space="preserve">  and reliable. The FMCSA is expected to provide its report to Congress outlining the changes it will make to the CSA program in response to the study. It is unclear if, when, and to what extent any such changes will occur. However, any changes that increase the likelihood of us receiving unfavorable scores could adversely affect our results of operations and profitability.</w:t>
      </w:r>
      <w:r>
        <w:t xml:space="preserve"> </w:t>
      </w:r>
    </w:p>
    <w:p w:rsidR="00D92D97" w:rsidRDefault="00D92D97" w:rsidP="00D92D97">
      <w:pPr>
        <w:spacing w:after="66"/>
        <w:jc w:val="both"/>
        <w:rPr>
          <w:rFonts w:ascii="Arial" w:hAnsi="Arial" w:cs="Arial"/>
          <w:b/>
          <w:bCs w:val="0"/>
          <w:i/>
          <w:iCs/>
          <w:color w:val="00467E"/>
          <w:sz w:val="18"/>
          <w:szCs w:val="18"/>
        </w:rPr>
      </w:pPr>
      <w:r>
        <w:rPr>
          <w:rFonts w:ascii="Arial" w:hAnsi="Arial" w:cs="Arial"/>
          <w:b/>
          <w:bCs w:val="0"/>
          <w:i/>
          <w:iCs/>
          <w:color w:val="00467E"/>
          <w:sz w:val="18"/>
          <w:szCs w:val="18"/>
        </w:rPr>
        <w:t>Receipt of an unfavorable DOT safety rating could have a materially adverse effect on our operations and profitability.</w:t>
      </w:r>
    </w:p>
    <w:p w:rsidR="00D92D97" w:rsidRDefault="00D92D97" w:rsidP="00D92D97">
      <w:pPr>
        <w:spacing w:after="132"/>
        <w:jc w:val="both"/>
        <w:rPr>
          <w:rFonts w:ascii="Arial" w:hAnsi="Arial" w:cs="Arial"/>
          <w:color w:val="000000"/>
          <w:sz w:val="18"/>
          <w:szCs w:val="18"/>
        </w:rPr>
      </w:pPr>
      <w:r>
        <w:rPr>
          <w:rFonts w:ascii="Arial" w:hAnsi="Arial" w:cs="Arial"/>
          <w:color w:val="000000"/>
          <w:sz w:val="18"/>
          <w:szCs w:val="18"/>
        </w:rPr>
        <w:t>Each of our subsidiaries with a DOT-issued operating authority currently has a satisfactory DOT rating, which is the highest available rating under the current safety rating scale. If we were to receive a conditional or unsatisfactory DOT safety rating, it could materially adversely affect our business, financial condition, and results of operations, as customer contracts may require a satisfactory DOT safety rating, and a conditional or unsatisfactory rating could materially adversely affect or restrict our operations.</w:t>
      </w:r>
    </w:p>
    <w:p w:rsidR="00D92D97" w:rsidRDefault="00D92D97" w:rsidP="00D92D97">
      <w:pPr>
        <w:spacing w:after="264"/>
        <w:jc w:val="both"/>
        <w:rPr>
          <w:rFonts w:ascii="Arial" w:hAnsi="Arial" w:cs="Arial"/>
          <w:color w:val="000000"/>
          <w:sz w:val="18"/>
          <w:szCs w:val="18"/>
        </w:rPr>
      </w:pPr>
      <w:r>
        <w:rPr>
          <w:rFonts w:ascii="Arial" w:hAnsi="Arial" w:cs="Arial"/>
          <w:color w:val="000000"/>
          <w:sz w:val="18"/>
          <w:szCs w:val="18"/>
        </w:rPr>
        <w:t>The FMCSA has proposed regulations that would modify the existing rating system and the safety labels assigned to motor carriers evaluated by the DOT. Under regulations that were proposed in 2016, the methodology for determining a carrier's DOT safety rating would be expanded to include the on-road safety performance of the carrier's drivers and equipment, as well as results obtained from investigations. Exceeding certain thresholds based on such performance or results would cause a carrier to receive an unfit safety rating. The proposed regulations were withdrawn in March 2017, but the FMCSA noted that a similar process may be initiated in the future. If similar regulations were enacted and we were to receive an unfit or other negative safety rating, our business would be materially adversely affected in the same manner as if we received a conditional or unsatisfactory safety rating under the current regulations. In addition, poor safety performance could lead to increased risk of liability, increased insurance, maintenance and equipment costs</w:t>
      </w:r>
      <w:r>
        <w:rPr>
          <w:color w:val="000000"/>
          <w:sz w:val="18"/>
          <w:szCs w:val="18"/>
        </w:rPr>
        <w:t xml:space="preserve"> ,</w:t>
      </w:r>
      <w:r>
        <w:rPr>
          <w:rFonts w:ascii="Arial" w:hAnsi="Arial" w:cs="Arial"/>
          <w:color w:val="000000"/>
          <w:sz w:val="18"/>
          <w:szCs w:val="18"/>
        </w:rPr>
        <w:t xml:space="preserve">  and potential loss of customers, which could materially adversely affect our business, financial condition</w:t>
      </w:r>
      <w:r>
        <w:rPr>
          <w:color w:val="000000"/>
          <w:sz w:val="18"/>
          <w:szCs w:val="18"/>
        </w:rPr>
        <w:t xml:space="preserve"> ,</w:t>
      </w:r>
      <w:r>
        <w:rPr>
          <w:rFonts w:ascii="Arial" w:hAnsi="Arial" w:cs="Arial"/>
          <w:color w:val="000000"/>
          <w:sz w:val="18"/>
          <w:szCs w:val="18"/>
        </w:rPr>
        <w:t xml:space="preserve">  and results of operations.</w:t>
      </w:r>
    </w:p>
    <w:p w:rsidR="00D92D97" w:rsidRDefault="00D92D97" w:rsidP="00D92D97">
      <w:pPr>
        <w:pStyle w:val="Heading1"/>
      </w:pPr>
      <w:bookmarkStart w:id="26" w:name="_Toc526330222"/>
      <w:r>
        <w:t>Properties</w:t>
      </w:r>
      <w:bookmarkEnd w:id="26"/>
    </w:p>
    <w:p w:rsidR="00D92D97" w:rsidRDefault="00D92D97" w:rsidP="00D92D97">
      <w:pPr>
        <w:spacing w:after="132"/>
        <w:jc w:val="both"/>
        <w:rPr>
          <w:rFonts w:ascii="Arial" w:hAnsi="Arial" w:cs="Arial"/>
          <w:color w:val="000000"/>
          <w:sz w:val="18"/>
          <w:szCs w:val="18"/>
        </w:rPr>
      </w:pPr>
      <w:r>
        <w:rPr>
          <w:rFonts w:ascii="Arial" w:hAnsi="Arial" w:cs="Arial"/>
          <w:color w:val="000000"/>
          <w:sz w:val="18"/>
          <w:szCs w:val="18"/>
        </w:rPr>
        <w:t xml:space="preserve">Our Knight and Swift headquarters are both located in Phoenix, Arizona. Including Knight's former headquarters location, which was re-purposed as a regional operations facility, our combined headquarters cover approximately 200 acres, consisting of about 300 thousand square feet of office space, 150 thousand square feet of repair and maintenance facilities, a twenty thousand square-foot driving associates' center and restaurant, an eight thousand </w:t>
      </w:r>
      <w:r>
        <w:rPr>
          <w:rFonts w:ascii="Arial" w:hAnsi="Arial" w:cs="Arial"/>
          <w:color w:val="000000"/>
          <w:sz w:val="18"/>
          <w:szCs w:val="18"/>
        </w:rPr>
        <w:lastRenderedPageBreak/>
        <w:t>square-foot recruiting and training center, a six thousand square-foot warehouse, a 300-space parking structure, as well as two truck wash and fueling facilities.</w:t>
      </w:r>
    </w:p>
    <w:p w:rsidR="00D92D97" w:rsidRDefault="00D92D97" w:rsidP="00D92D97">
      <w:pPr>
        <w:jc w:val="both"/>
        <w:rPr>
          <w:rFonts w:ascii="Arial" w:hAnsi="Arial" w:cs="Arial"/>
          <w:color w:val="000000"/>
          <w:sz w:val="18"/>
          <w:szCs w:val="18"/>
        </w:rPr>
      </w:pPr>
      <w:r>
        <w:rPr>
          <w:rFonts w:ascii="Arial" w:hAnsi="Arial" w:cs="Arial"/>
          <w:color w:val="000000"/>
          <w:sz w:val="18"/>
          <w:szCs w:val="18"/>
        </w:rPr>
        <w:t>We have over 80 locations in the United States and Mexico, including our headquarters, terminals, driving academies, and certain other locations, which are included in the table below. Our terminals may include customer service, marketing, fuel, and/or repair facilities, which are used by our trucking, Knight Logistics, Swift Intermodal, and Swift's non-reportable segments. We also own or lease parcels of vacant land, drop yards, and space for temporary trailer storage for ourselves and other carriers, as well as several non-operating facilities, which are excluded from the table below. As of December 31, 2017, our aggregate monthly rent for all leased properties was approximately $0.9 million with varying terms expiring through December 2053. We believe that substantially all of our property and equipment is in good condition and our facilities have sufficient capacity to meet our current needs.</w:t>
      </w:r>
    </w:p>
    <w:tbl>
      <w:tblPr>
        <w:tblW w:w="9894" w:type="dxa"/>
        <w:tblLayout w:type="fixed"/>
        <w:tblCellMar>
          <w:left w:w="0" w:type="dxa"/>
          <w:right w:w="0" w:type="dxa"/>
        </w:tblCellMar>
        <w:tblLook w:val="0000"/>
      </w:tblPr>
      <w:tblGrid>
        <w:gridCol w:w="1058"/>
        <w:gridCol w:w="104"/>
        <w:gridCol w:w="834"/>
        <w:gridCol w:w="336"/>
        <w:gridCol w:w="837"/>
        <w:gridCol w:w="104"/>
        <w:gridCol w:w="1241"/>
        <w:gridCol w:w="104"/>
        <w:gridCol w:w="1236"/>
        <w:gridCol w:w="104"/>
        <w:gridCol w:w="1240"/>
        <w:gridCol w:w="104"/>
        <w:gridCol w:w="1244"/>
        <w:gridCol w:w="104"/>
        <w:gridCol w:w="1244"/>
      </w:tblGrid>
      <w:tr w:rsidR="00D92D97" w:rsidTr="00D92D97">
        <w:tblPrEx>
          <w:tblCellMar>
            <w:top w:w="0" w:type="dxa"/>
            <w:left w:w="0" w:type="dxa"/>
            <w:bottom w:w="0" w:type="dxa"/>
            <w:right w:w="0" w:type="dxa"/>
          </w:tblCellMar>
        </w:tblPrEx>
        <w:trPr>
          <w:trHeight w:val="66"/>
        </w:trPr>
        <w:tc>
          <w:tcPr>
            <w:tcW w:w="9894" w:type="dxa"/>
            <w:gridSpan w:val="15"/>
            <w:tcBorders>
              <w:top w:val="nil"/>
              <w:left w:val="nil"/>
              <w:bottom w:val="nil"/>
              <w:right w:val="nil"/>
            </w:tcBorders>
            <w:vAlign w:val="center"/>
          </w:tcPr>
          <w:p w:rsidR="00D92D97" w:rsidRDefault="00D92D97" w:rsidP="0073298C">
            <w:pPr>
              <w:rPr>
                <w:sz w:val="16"/>
                <w:szCs w:val="16"/>
              </w:rPr>
            </w:pPr>
            <w:r>
              <w:rPr>
                <w:sz w:val="16"/>
                <w:szCs w:val="16"/>
              </w:rPr>
              <w:t> </w:t>
            </w:r>
          </w:p>
        </w:tc>
      </w:tr>
      <w:tr w:rsidR="00D92D97" w:rsidTr="00D92D97">
        <w:tblPrEx>
          <w:tblCellMar>
            <w:top w:w="0" w:type="dxa"/>
            <w:left w:w="0" w:type="dxa"/>
            <w:bottom w:w="0" w:type="dxa"/>
            <w:right w:w="0" w:type="dxa"/>
          </w:tblCellMar>
        </w:tblPrEx>
        <w:trPr>
          <w:trHeight w:val="66"/>
        </w:trPr>
        <w:tc>
          <w:tcPr>
            <w:tcW w:w="1058" w:type="dxa"/>
            <w:tcBorders>
              <w:top w:val="nil"/>
              <w:left w:val="nil"/>
              <w:bottom w:val="nil"/>
              <w:right w:val="nil"/>
            </w:tcBorders>
            <w:vAlign w:val="center"/>
          </w:tcPr>
          <w:p w:rsidR="00D92D97" w:rsidRDefault="00D92D97" w:rsidP="0073298C">
            <w:pPr>
              <w:rPr>
                <w:sz w:val="16"/>
                <w:szCs w:val="16"/>
              </w:rPr>
            </w:pPr>
            <w:r>
              <w:rPr>
                <w:sz w:val="16"/>
                <w:szCs w:val="16"/>
              </w:rPr>
              <w:t> </w:t>
            </w:r>
          </w:p>
        </w:tc>
        <w:tc>
          <w:tcPr>
            <w:tcW w:w="104" w:type="dxa"/>
            <w:tcBorders>
              <w:top w:val="nil"/>
              <w:left w:val="nil"/>
              <w:bottom w:val="nil"/>
              <w:right w:val="nil"/>
            </w:tcBorders>
            <w:vAlign w:val="center"/>
          </w:tcPr>
          <w:p w:rsidR="00D92D97" w:rsidRDefault="00D92D97" w:rsidP="0073298C">
            <w:pPr>
              <w:rPr>
                <w:sz w:val="16"/>
                <w:szCs w:val="16"/>
              </w:rPr>
            </w:pPr>
            <w:r>
              <w:rPr>
                <w:sz w:val="16"/>
                <w:szCs w:val="16"/>
              </w:rPr>
              <w:t> </w:t>
            </w:r>
          </w:p>
        </w:tc>
        <w:tc>
          <w:tcPr>
            <w:tcW w:w="834" w:type="dxa"/>
            <w:tcBorders>
              <w:top w:val="nil"/>
              <w:left w:val="nil"/>
              <w:bottom w:val="nil"/>
              <w:right w:val="nil"/>
            </w:tcBorders>
            <w:vAlign w:val="center"/>
          </w:tcPr>
          <w:p w:rsidR="00D92D97" w:rsidRDefault="00D92D97" w:rsidP="0073298C">
            <w:pPr>
              <w:rPr>
                <w:sz w:val="16"/>
                <w:szCs w:val="16"/>
              </w:rPr>
            </w:pPr>
            <w:r>
              <w:rPr>
                <w:sz w:val="16"/>
                <w:szCs w:val="16"/>
              </w:rPr>
              <w:t> </w:t>
            </w:r>
          </w:p>
        </w:tc>
        <w:tc>
          <w:tcPr>
            <w:tcW w:w="336" w:type="dxa"/>
            <w:tcBorders>
              <w:top w:val="nil"/>
              <w:left w:val="nil"/>
              <w:bottom w:val="nil"/>
              <w:right w:val="nil"/>
            </w:tcBorders>
            <w:vAlign w:val="center"/>
          </w:tcPr>
          <w:p w:rsidR="00D92D97" w:rsidRDefault="00D92D97" w:rsidP="0073298C">
            <w:pPr>
              <w:rPr>
                <w:sz w:val="16"/>
                <w:szCs w:val="16"/>
              </w:rPr>
            </w:pPr>
            <w:r>
              <w:rPr>
                <w:sz w:val="16"/>
                <w:szCs w:val="16"/>
              </w:rPr>
              <w:t> </w:t>
            </w:r>
          </w:p>
        </w:tc>
        <w:tc>
          <w:tcPr>
            <w:tcW w:w="837" w:type="dxa"/>
            <w:tcBorders>
              <w:top w:val="nil"/>
              <w:left w:val="nil"/>
              <w:bottom w:val="nil"/>
              <w:right w:val="nil"/>
            </w:tcBorders>
            <w:vAlign w:val="center"/>
          </w:tcPr>
          <w:p w:rsidR="00D92D97" w:rsidRDefault="00D92D97" w:rsidP="0073298C">
            <w:pPr>
              <w:rPr>
                <w:sz w:val="16"/>
                <w:szCs w:val="16"/>
              </w:rPr>
            </w:pPr>
            <w:r>
              <w:rPr>
                <w:sz w:val="16"/>
                <w:szCs w:val="16"/>
              </w:rPr>
              <w:t> </w:t>
            </w:r>
          </w:p>
        </w:tc>
        <w:tc>
          <w:tcPr>
            <w:tcW w:w="104" w:type="dxa"/>
            <w:tcBorders>
              <w:top w:val="nil"/>
              <w:left w:val="nil"/>
              <w:bottom w:val="nil"/>
              <w:right w:val="nil"/>
            </w:tcBorders>
            <w:vAlign w:val="center"/>
          </w:tcPr>
          <w:p w:rsidR="00D92D97" w:rsidRDefault="00D92D97" w:rsidP="0073298C">
            <w:pPr>
              <w:rPr>
                <w:sz w:val="16"/>
                <w:szCs w:val="16"/>
              </w:rPr>
            </w:pPr>
            <w:r>
              <w:rPr>
                <w:sz w:val="16"/>
                <w:szCs w:val="16"/>
              </w:rPr>
              <w:t> </w:t>
            </w:r>
          </w:p>
        </w:tc>
        <w:tc>
          <w:tcPr>
            <w:tcW w:w="1241" w:type="dxa"/>
            <w:tcBorders>
              <w:top w:val="nil"/>
              <w:left w:val="nil"/>
              <w:bottom w:val="nil"/>
              <w:right w:val="nil"/>
            </w:tcBorders>
            <w:vAlign w:val="center"/>
          </w:tcPr>
          <w:p w:rsidR="00D92D97" w:rsidRDefault="00D92D97" w:rsidP="0073298C">
            <w:pPr>
              <w:rPr>
                <w:sz w:val="16"/>
                <w:szCs w:val="16"/>
              </w:rPr>
            </w:pPr>
            <w:r>
              <w:rPr>
                <w:sz w:val="16"/>
                <w:szCs w:val="16"/>
              </w:rPr>
              <w:t> </w:t>
            </w:r>
          </w:p>
        </w:tc>
        <w:tc>
          <w:tcPr>
            <w:tcW w:w="104" w:type="dxa"/>
            <w:tcBorders>
              <w:top w:val="nil"/>
              <w:left w:val="nil"/>
              <w:bottom w:val="nil"/>
              <w:right w:val="nil"/>
            </w:tcBorders>
            <w:vAlign w:val="center"/>
          </w:tcPr>
          <w:p w:rsidR="00D92D97" w:rsidRDefault="00D92D97" w:rsidP="0073298C">
            <w:pPr>
              <w:rPr>
                <w:sz w:val="16"/>
                <w:szCs w:val="16"/>
              </w:rPr>
            </w:pPr>
            <w:r>
              <w:rPr>
                <w:sz w:val="16"/>
                <w:szCs w:val="16"/>
              </w:rPr>
              <w:t> </w:t>
            </w:r>
          </w:p>
        </w:tc>
        <w:tc>
          <w:tcPr>
            <w:tcW w:w="1236" w:type="dxa"/>
            <w:tcBorders>
              <w:top w:val="nil"/>
              <w:left w:val="nil"/>
              <w:bottom w:val="nil"/>
              <w:right w:val="nil"/>
            </w:tcBorders>
            <w:vAlign w:val="center"/>
          </w:tcPr>
          <w:p w:rsidR="00D92D97" w:rsidRDefault="00D92D97" w:rsidP="0073298C">
            <w:pPr>
              <w:rPr>
                <w:sz w:val="16"/>
                <w:szCs w:val="16"/>
              </w:rPr>
            </w:pPr>
            <w:r>
              <w:rPr>
                <w:sz w:val="16"/>
                <w:szCs w:val="16"/>
              </w:rPr>
              <w:t> </w:t>
            </w:r>
          </w:p>
        </w:tc>
        <w:tc>
          <w:tcPr>
            <w:tcW w:w="104" w:type="dxa"/>
            <w:tcBorders>
              <w:top w:val="nil"/>
              <w:left w:val="nil"/>
              <w:bottom w:val="nil"/>
              <w:right w:val="nil"/>
            </w:tcBorders>
            <w:vAlign w:val="center"/>
          </w:tcPr>
          <w:p w:rsidR="00D92D97" w:rsidRDefault="00D92D97" w:rsidP="0073298C">
            <w:pPr>
              <w:rPr>
                <w:sz w:val="16"/>
                <w:szCs w:val="16"/>
              </w:rPr>
            </w:pPr>
            <w:r>
              <w:rPr>
                <w:sz w:val="16"/>
                <w:szCs w:val="16"/>
              </w:rPr>
              <w:t> </w:t>
            </w:r>
          </w:p>
        </w:tc>
        <w:tc>
          <w:tcPr>
            <w:tcW w:w="1240" w:type="dxa"/>
            <w:tcBorders>
              <w:top w:val="nil"/>
              <w:left w:val="nil"/>
              <w:bottom w:val="nil"/>
              <w:right w:val="nil"/>
            </w:tcBorders>
            <w:vAlign w:val="center"/>
          </w:tcPr>
          <w:p w:rsidR="00D92D97" w:rsidRDefault="00D92D97" w:rsidP="0073298C">
            <w:pPr>
              <w:rPr>
                <w:sz w:val="16"/>
                <w:szCs w:val="16"/>
              </w:rPr>
            </w:pPr>
            <w:r>
              <w:rPr>
                <w:sz w:val="16"/>
                <w:szCs w:val="16"/>
              </w:rPr>
              <w:t> </w:t>
            </w:r>
          </w:p>
        </w:tc>
        <w:tc>
          <w:tcPr>
            <w:tcW w:w="104" w:type="dxa"/>
            <w:tcBorders>
              <w:top w:val="nil"/>
              <w:left w:val="nil"/>
              <w:bottom w:val="nil"/>
              <w:right w:val="nil"/>
            </w:tcBorders>
            <w:vAlign w:val="center"/>
          </w:tcPr>
          <w:p w:rsidR="00D92D97" w:rsidRDefault="00D92D97" w:rsidP="0073298C">
            <w:pPr>
              <w:rPr>
                <w:sz w:val="16"/>
                <w:szCs w:val="16"/>
              </w:rPr>
            </w:pPr>
            <w:r>
              <w:rPr>
                <w:sz w:val="16"/>
                <w:szCs w:val="16"/>
              </w:rPr>
              <w:t> </w:t>
            </w:r>
          </w:p>
        </w:tc>
        <w:tc>
          <w:tcPr>
            <w:tcW w:w="1244" w:type="dxa"/>
            <w:tcBorders>
              <w:top w:val="nil"/>
              <w:left w:val="nil"/>
              <w:bottom w:val="nil"/>
              <w:right w:val="nil"/>
            </w:tcBorders>
            <w:vAlign w:val="center"/>
          </w:tcPr>
          <w:p w:rsidR="00D92D97" w:rsidRDefault="00D92D97" w:rsidP="0073298C">
            <w:pPr>
              <w:rPr>
                <w:sz w:val="16"/>
                <w:szCs w:val="16"/>
              </w:rPr>
            </w:pPr>
            <w:r>
              <w:rPr>
                <w:sz w:val="16"/>
                <w:szCs w:val="16"/>
              </w:rPr>
              <w:t> </w:t>
            </w:r>
          </w:p>
        </w:tc>
        <w:tc>
          <w:tcPr>
            <w:tcW w:w="104" w:type="dxa"/>
            <w:tcBorders>
              <w:top w:val="nil"/>
              <w:left w:val="nil"/>
              <w:bottom w:val="nil"/>
              <w:right w:val="nil"/>
            </w:tcBorders>
            <w:vAlign w:val="center"/>
          </w:tcPr>
          <w:p w:rsidR="00D92D97" w:rsidRDefault="00D92D97" w:rsidP="0073298C">
            <w:pPr>
              <w:rPr>
                <w:sz w:val="16"/>
                <w:szCs w:val="16"/>
              </w:rPr>
            </w:pPr>
            <w:r>
              <w:rPr>
                <w:sz w:val="16"/>
                <w:szCs w:val="16"/>
              </w:rPr>
              <w:t> </w:t>
            </w:r>
          </w:p>
        </w:tc>
        <w:tc>
          <w:tcPr>
            <w:tcW w:w="1244" w:type="dxa"/>
            <w:tcBorders>
              <w:top w:val="nil"/>
              <w:left w:val="nil"/>
              <w:bottom w:val="nil"/>
              <w:right w:val="nil"/>
            </w:tcBorders>
            <w:vAlign w:val="center"/>
          </w:tcPr>
          <w:p w:rsidR="00D92D97" w:rsidRDefault="00D92D97" w:rsidP="0073298C">
            <w:pPr>
              <w:rPr>
                <w:sz w:val="16"/>
                <w:szCs w:val="16"/>
              </w:rPr>
            </w:pPr>
            <w:r>
              <w:rPr>
                <w:sz w:val="16"/>
                <w:szCs w:val="16"/>
              </w:rPr>
              <w:t> </w:t>
            </w:r>
          </w:p>
        </w:tc>
      </w:tr>
      <w:tr w:rsidR="00D92D97" w:rsidTr="00D92D97">
        <w:tblPrEx>
          <w:tblCellMar>
            <w:top w:w="0" w:type="dxa"/>
            <w:left w:w="0" w:type="dxa"/>
            <w:bottom w:w="0" w:type="dxa"/>
            <w:right w:w="0" w:type="dxa"/>
          </w:tblCellMar>
        </w:tblPrEx>
        <w:trPr>
          <w:trHeight w:val="298"/>
        </w:trPr>
        <w:tc>
          <w:tcPr>
            <w:tcW w:w="1058" w:type="dxa"/>
            <w:tcBorders>
              <w:top w:val="single" w:sz="6" w:space="0" w:color="00467E"/>
              <w:left w:val="single" w:sz="6" w:space="0" w:color="00467E"/>
              <w:bottom w:val="nil"/>
              <w:right w:val="nil"/>
            </w:tcBorders>
            <w:vAlign w:val="bottom"/>
          </w:tcPr>
          <w:p w:rsidR="00D92D97" w:rsidRDefault="00D92D97" w:rsidP="0073298C">
            <w:pPr>
              <w:spacing w:before="22" w:after="22"/>
              <w:ind w:left="22" w:right="22"/>
              <w:rPr>
                <w:color w:val="000000"/>
              </w:rPr>
            </w:pPr>
            <w:r>
              <w:rPr>
                <w:color w:val="000000"/>
              </w:rPr>
              <w:t> </w:t>
            </w:r>
          </w:p>
        </w:tc>
        <w:tc>
          <w:tcPr>
            <w:tcW w:w="104" w:type="dxa"/>
            <w:tcBorders>
              <w:top w:val="single" w:sz="6" w:space="0" w:color="00467E"/>
              <w:left w:val="nil"/>
              <w:bottom w:val="nil"/>
              <w:right w:val="nil"/>
            </w:tcBorders>
            <w:shd w:val="clear" w:color="00467E" w:fill="00467E"/>
            <w:vAlign w:val="bottom"/>
          </w:tcPr>
          <w:p w:rsidR="00D92D97" w:rsidRDefault="00D92D97" w:rsidP="0073298C">
            <w:pPr>
              <w:spacing w:before="22" w:after="22"/>
              <w:ind w:left="22" w:right="22"/>
              <w:rPr>
                <w:color w:val="000000"/>
              </w:rPr>
            </w:pPr>
            <w:r>
              <w:rPr>
                <w:color w:val="000000"/>
              </w:rPr>
              <w:t> </w:t>
            </w:r>
          </w:p>
        </w:tc>
        <w:tc>
          <w:tcPr>
            <w:tcW w:w="2007" w:type="dxa"/>
            <w:gridSpan w:val="3"/>
            <w:tcBorders>
              <w:top w:val="single" w:sz="6" w:space="0" w:color="00467E"/>
              <w:left w:val="nil"/>
              <w:bottom w:val="single" w:sz="6" w:space="0" w:color="000000"/>
              <w:right w:val="nil"/>
            </w:tcBorders>
            <w:vAlign w:val="bottom"/>
          </w:tcPr>
          <w:p w:rsidR="00D92D97" w:rsidRDefault="00D92D97" w:rsidP="0073298C">
            <w:pPr>
              <w:spacing w:before="22" w:after="22"/>
              <w:ind w:left="22" w:right="22"/>
              <w:jc w:val="center"/>
              <w:rPr>
                <w:rFonts w:ascii="Arial" w:hAnsi="Arial" w:cs="Arial"/>
                <w:b/>
                <w:bCs w:val="0"/>
                <w:color w:val="000000"/>
                <w:sz w:val="14"/>
                <w:szCs w:val="14"/>
              </w:rPr>
            </w:pPr>
            <w:r>
              <w:rPr>
                <w:rFonts w:ascii="Arial" w:hAnsi="Arial" w:cs="Arial"/>
                <w:b/>
                <w:bCs w:val="0"/>
                <w:color w:val="000000"/>
                <w:sz w:val="14"/>
                <w:szCs w:val="14"/>
              </w:rPr>
              <w:t>Owned/Leased</w:t>
            </w:r>
          </w:p>
        </w:tc>
        <w:tc>
          <w:tcPr>
            <w:tcW w:w="104" w:type="dxa"/>
            <w:tcBorders>
              <w:top w:val="single" w:sz="6" w:space="0" w:color="00467E"/>
              <w:left w:val="nil"/>
              <w:bottom w:val="nil"/>
              <w:right w:val="nil"/>
            </w:tcBorders>
            <w:shd w:val="clear" w:color="00467E" w:fill="00467E"/>
            <w:vAlign w:val="bottom"/>
          </w:tcPr>
          <w:p w:rsidR="00D92D97" w:rsidRDefault="00D92D97" w:rsidP="0073298C">
            <w:pPr>
              <w:spacing w:before="22" w:after="22"/>
              <w:ind w:left="22" w:right="22"/>
              <w:rPr>
                <w:color w:val="000000"/>
              </w:rPr>
            </w:pPr>
            <w:r>
              <w:rPr>
                <w:color w:val="000000"/>
              </w:rPr>
              <w:t> </w:t>
            </w:r>
          </w:p>
        </w:tc>
        <w:tc>
          <w:tcPr>
            <w:tcW w:w="5273" w:type="dxa"/>
            <w:gridSpan w:val="7"/>
            <w:tcBorders>
              <w:top w:val="single" w:sz="6" w:space="0" w:color="00467E"/>
              <w:left w:val="nil"/>
              <w:bottom w:val="single" w:sz="6" w:space="0" w:color="000000"/>
              <w:right w:val="nil"/>
            </w:tcBorders>
            <w:vAlign w:val="bottom"/>
          </w:tcPr>
          <w:p w:rsidR="00D92D97" w:rsidRDefault="00D92D97" w:rsidP="0073298C">
            <w:pPr>
              <w:spacing w:before="22" w:after="22"/>
              <w:ind w:left="22" w:right="22"/>
              <w:jc w:val="center"/>
              <w:rPr>
                <w:rFonts w:ascii="Arial" w:hAnsi="Arial" w:cs="Arial"/>
                <w:b/>
                <w:bCs w:val="0"/>
                <w:color w:val="000000"/>
                <w:sz w:val="14"/>
                <w:szCs w:val="14"/>
              </w:rPr>
            </w:pPr>
            <w:r>
              <w:rPr>
                <w:rFonts w:ascii="Arial" w:hAnsi="Arial" w:cs="Arial"/>
                <w:b/>
                <w:bCs w:val="0"/>
                <w:color w:val="000000"/>
                <w:sz w:val="14"/>
                <w:szCs w:val="14"/>
              </w:rPr>
              <w:t>Brand</w:t>
            </w:r>
          </w:p>
        </w:tc>
        <w:tc>
          <w:tcPr>
            <w:tcW w:w="104" w:type="dxa"/>
            <w:tcBorders>
              <w:top w:val="single" w:sz="6" w:space="0" w:color="00467E"/>
              <w:left w:val="nil"/>
              <w:bottom w:val="nil"/>
              <w:right w:val="nil"/>
            </w:tcBorders>
            <w:shd w:val="clear" w:color="00467E" w:fill="00467E"/>
            <w:vAlign w:val="bottom"/>
          </w:tcPr>
          <w:p w:rsidR="00D92D97" w:rsidRDefault="00D92D97" w:rsidP="0073298C">
            <w:pPr>
              <w:spacing w:before="22" w:after="22"/>
              <w:ind w:left="22" w:right="22"/>
              <w:rPr>
                <w:color w:val="000000"/>
              </w:rPr>
            </w:pPr>
            <w:r>
              <w:rPr>
                <w:color w:val="000000"/>
              </w:rPr>
              <w:t> </w:t>
            </w:r>
          </w:p>
        </w:tc>
        <w:tc>
          <w:tcPr>
            <w:tcW w:w="1244" w:type="dxa"/>
            <w:tcBorders>
              <w:top w:val="single" w:sz="6" w:space="0" w:color="00467E"/>
              <w:left w:val="nil"/>
              <w:bottom w:val="single" w:sz="6" w:space="0" w:color="000000"/>
              <w:right w:val="single" w:sz="6" w:space="0" w:color="00467E"/>
            </w:tcBorders>
            <w:vAlign w:val="bottom"/>
          </w:tcPr>
          <w:p w:rsidR="00D92D97" w:rsidRDefault="00D92D97" w:rsidP="0073298C">
            <w:pPr>
              <w:spacing w:before="22" w:after="22"/>
              <w:ind w:left="22" w:right="22"/>
              <w:rPr>
                <w:color w:val="000000"/>
              </w:rPr>
            </w:pPr>
            <w:r>
              <w:rPr>
                <w:color w:val="000000"/>
              </w:rPr>
              <w:t> </w:t>
            </w:r>
          </w:p>
        </w:tc>
      </w:tr>
      <w:tr w:rsidR="00D92D97" w:rsidTr="00D92D97">
        <w:tblPrEx>
          <w:tblCellMar>
            <w:top w:w="0" w:type="dxa"/>
            <w:left w:w="0" w:type="dxa"/>
            <w:bottom w:w="0" w:type="dxa"/>
            <w:right w:w="0" w:type="dxa"/>
          </w:tblCellMar>
        </w:tblPrEx>
        <w:trPr>
          <w:trHeight w:val="281"/>
        </w:trPr>
        <w:tc>
          <w:tcPr>
            <w:tcW w:w="1058" w:type="dxa"/>
            <w:tcBorders>
              <w:top w:val="nil"/>
              <w:left w:val="single" w:sz="6" w:space="0" w:color="00467E"/>
              <w:bottom w:val="single" w:sz="6" w:space="0" w:color="000000"/>
              <w:right w:val="nil"/>
            </w:tcBorders>
            <w:vAlign w:val="bottom"/>
          </w:tcPr>
          <w:p w:rsidR="00D92D97" w:rsidRDefault="00D92D97" w:rsidP="0073298C">
            <w:pPr>
              <w:spacing w:before="22" w:after="22"/>
              <w:ind w:left="22" w:right="22"/>
              <w:rPr>
                <w:rFonts w:ascii="Arial" w:hAnsi="Arial" w:cs="Arial"/>
                <w:b/>
                <w:bCs w:val="0"/>
                <w:color w:val="000000"/>
                <w:sz w:val="16"/>
                <w:szCs w:val="16"/>
              </w:rPr>
            </w:pPr>
            <w:r>
              <w:rPr>
                <w:rFonts w:ascii="Arial" w:hAnsi="Arial" w:cs="Arial"/>
                <w:b/>
                <w:bCs w:val="0"/>
                <w:color w:val="000000"/>
                <w:sz w:val="16"/>
                <w:szCs w:val="16"/>
              </w:rPr>
              <w:t>Location</w:t>
            </w:r>
          </w:p>
        </w:tc>
        <w:tc>
          <w:tcPr>
            <w:tcW w:w="104" w:type="dxa"/>
            <w:tcBorders>
              <w:top w:val="nil"/>
              <w:left w:val="nil"/>
              <w:bottom w:val="nil"/>
              <w:right w:val="nil"/>
            </w:tcBorders>
            <w:shd w:val="clear" w:color="00467E" w:fill="00467E"/>
            <w:vAlign w:val="bottom"/>
          </w:tcPr>
          <w:p w:rsidR="00D92D97" w:rsidRDefault="00D92D97" w:rsidP="0073298C">
            <w:pPr>
              <w:spacing w:before="22" w:after="22"/>
              <w:ind w:left="22" w:right="22"/>
              <w:rPr>
                <w:color w:val="000000"/>
              </w:rPr>
            </w:pPr>
            <w:r>
              <w:rPr>
                <w:color w:val="000000"/>
              </w:rPr>
              <w:t> </w:t>
            </w:r>
          </w:p>
        </w:tc>
        <w:tc>
          <w:tcPr>
            <w:tcW w:w="834" w:type="dxa"/>
            <w:tcBorders>
              <w:top w:val="nil"/>
              <w:left w:val="nil"/>
              <w:bottom w:val="single" w:sz="6" w:space="0" w:color="000000"/>
              <w:right w:val="nil"/>
            </w:tcBorders>
            <w:vAlign w:val="bottom"/>
          </w:tcPr>
          <w:p w:rsidR="00D92D97" w:rsidRDefault="00D92D97" w:rsidP="0073298C">
            <w:pPr>
              <w:spacing w:before="22" w:after="22"/>
              <w:ind w:left="22" w:right="22"/>
              <w:jc w:val="center"/>
              <w:rPr>
                <w:rFonts w:ascii="Arial" w:hAnsi="Arial" w:cs="Arial"/>
                <w:b/>
                <w:bCs w:val="0"/>
                <w:color w:val="000000"/>
                <w:sz w:val="14"/>
                <w:szCs w:val="14"/>
              </w:rPr>
            </w:pPr>
            <w:r>
              <w:rPr>
                <w:rFonts w:ascii="Arial" w:hAnsi="Arial" w:cs="Arial"/>
                <w:b/>
                <w:bCs w:val="0"/>
                <w:color w:val="000000"/>
                <w:sz w:val="14"/>
                <w:szCs w:val="14"/>
              </w:rPr>
              <w:t>Owned</w:t>
            </w:r>
          </w:p>
        </w:tc>
        <w:tc>
          <w:tcPr>
            <w:tcW w:w="336" w:type="dxa"/>
            <w:tcBorders>
              <w:top w:val="nil"/>
              <w:left w:val="nil"/>
              <w:bottom w:val="nil"/>
              <w:right w:val="nil"/>
            </w:tcBorders>
            <w:vAlign w:val="bottom"/>
          </w:tcPr>
          <w:p w:rsidR="00D92D97" w:rsidRDefault="00D92D97" w:rsidP="0073298C">
            <w:pPr>
              <w:spacing w:before="22" w:after="22"/>
              <w:ind w:left="22" w:right="22"/>
              <w:rPr>
                <w:color w:val="000000"/>
              </w:rPr>
            </w:pPr>
            <w:r>
              <w:rPr>
                <w:color w:val="000000"/>
              </w:rPr>
              <w:t> </w:t>
            </w:r>
          </w:p>
        </w:tc>
        <w:tc>
          <w:tcPr>
            <w:tcW w:w="837" w:type="dxa"/>
            <w:tcBorders>
              <w:top w:val="nil"/>
              <w:left w:val="nil"/>
              <w:bottom w:val="single" w:sz="6" w:space="0" w:color="000000"/>
              <w:right w:val="nil"/>
            </w:tcBorders>
            <w:vAlign w:val="bottom"/>
          </w:tcPr>
          <w:p w:rsidR="00D92D97" w:rsidRDefault="00D92D97" w:rsidP="0073298C">
            <w:pPr>
              <w:spacing w:before="22" w:after="22"/>
              <w:ind w:left="22" w:right="22"/>
              <w:rPr>
                <w:rFonts w:ascii="Arial" w:hAnsi="Arial" w:cs="Arial"/>
                <w:b/>
                <w:bCs w:val="0"/>
                <w:color w:val="000000"/>
                <w:sz w:val="14"/>
                <w:szCs w:val="14"/>
              </w:rPr>
            </w:pPr>
            <w:r>
              <w:rPr>
                <w:rFonts w:ascii="Arial" w:hAnsi="Arial" w:cs="Arial"/>
                <w:b/>
                <w:bCs w:val="0"/>
                <w:color w:val="000000"/>
                <w:sz w:val="14"/>
                <w:szCs w:val="14"/>
              </w:rPr>
              <w:t> Leased</w:t>
            </w:r>
          </w:p>
        </w:tc>
        <w:tc>
          <w:tcPr>
            <w:tcW w:w="104" w:type="dxa"/>
            <w:tcBorders>
              <w:top w:val="nil"/>
              <w:left w:val="nil"/>
              <w:bottom w:val="nil"/>
              <w:right w:val="nil"/>
            </w:tcBorders>
            <w:shd w:val="clear" w:color="00467E" w:fill="00467E"/>
            <w:vAlign w:val="bottom"/>
          </w:tcPr>
          <w:p w:rsidR="00D92D97" w:rsidRDefault="00D92D97" w:rsidP="0073298C">
            <w:pPr>
              <w:spacing w:before="22" w:after="22"/>
              <w:ind w:left="22" w:right="22"/>
              <w:rPr>
                <w:color w:val="000000"/>
              </w:rPr>
            </w:pPr>
            <w:r>
              <w:rPr>
                <w:color w:val="000000"/>
              </w:rPr>
              <w:t> </w:t>
            </w:r>
          </w:p>
        </w:tc>
        <w:tc>
          <w:tcPr>
            <w:tcW w:w="1241" w:type="dxa"/>
            <w:tcBorders>
              <w:top w:val="nil"/>
              <w:left w:val="nil"/>
              <w:bottom w:val="single" w:sz="6" w:space="0" w:color="000000"/>
              <w:right w:val="nil"/>
            </w:tcBorders>
            <w:vAlign w:val="bottom"/>
          </w:tcPr>
          <w:p w:rsidR="00D92D97" w:rsidRDefault="00D92D97" w:rsidP="0073298C">
            <w:pPr>
              <w:spacing w:before="22" w:after="22"/>
              <w:ind w:left="22" w:right="22"/>
              <w:jc w:val="center"/>
              <w:rPr>
                <w:rFonts w:ascii="Arial" w:hAnsi="Arial" w:cs="Arial"/>
                <w:b/>
                <w:bCs w:val="0"/>
                <w:color w:val="000000"/>
                <w:sz w:val="14"/>
                <w:szCs w:val="14"/>
              </w:rPr>
            </w:pPr>
            <w:r>
              <w:rPr>
                <w:rFonts w:ascii="Arial" w:hAnsi="Arial" w:cs="Arial"/>
                <w:b/>
                <w:bCs w:val="0"/>
                <w:color w:val="000000"/>
                <w:sz w:val="14"/>
                <w:szCs w:val="14"/>
              </w:rPr>
              <w:t>Knight</w:t>
            </w:r>
          </w:p>
        </w:tc>
        <w:tc>
          <w:tcPr>
            <w:tcW w:w="104" w:type="dxa"/>
            <w:tcBorders>
              <w:top w:val="nil"/>
              <w:left w:val="nil"/>
              <w:bottom w:val="nil"/>
              <w:right w:val="nil"/>
            </w:tcBorders>
            <w:vAlign w:val="bottom"/>
          </w:tcPr>
          <w:p w:rsidR="00D92D97" w:rsidRDefault="00D92D97" w:rsidP="0073298C">
            <w:pPr>
              <w:spacing w:before="22" w:after="22"/>
              <w:ind w:left="22" w:right="22"/>
              <w:rPr>
                <w:color w:val="000000"/>
              </w:rPr>
            </w:pPr>
            <w:r>
              <w:rPr>
                <w:color w:val="000000"/>
              </w:rPr>
              <w:t> </w:t>
            </w:r>
          </w:p>
        </w:tc>
        <w:tc>
          <w:tcPr>
            <w:tcW w:w="1236" w:type="dxa"/>
            <w:tcBorders>
              <w:top w:val="nil"/>
              <w:left w:val="nil"/>
              <w:bottom w:val="single" w:sz="6" w:space="0" w:color="000000"/>
              <w:right w:val="nil"/>
            </w:tcBorders>
            <w:vAlign w:val="bottom"/>
          </w:tcPr>
          <w:p w:rsidR="00D92D97" w:rsidRDefault="00D92D97" w:rsidP="0073298C">
            <w:pPr>
              <w:spacing w:before="22" w:after="22"/>
              <w:ind w:left="22" w:right="22"/>
              <w:jc w:val="center"/>
              <w:rPr>
                <w:rFonts w:ascii="Arial" w:hAnsi="Arial" w:cs="Arial"/>
                <w:b/>
                <w:bCs w:val="0"/>
                <w:color w:val="000000"/>
                <w:sz w:val="14"/>
                <w:szCs w:val="14"/>
              </w:rPr>
            </w:pPr>
            <w:r>
              <w:rPr>
                <w:rFonts w:ascii="Arial" w:hAnsi="Arial" w:cs="Arial"/>
                <w:b/>
                <w:bCs w:val="0"/>
                <w:color w:val="000000"/>
                <w:sz w:val="14"/>
                <w:szCs w:val="14"/>
              </w:rPr>
              <w:t>Swift</w:t>
            </w:r>
          </w:p>
        </w:tc>
        <w:tc>
          <w:tcPr>
            <w:tcW w:w="104" w:type="dxa"/>
            <w:tcBorders>
              <w:top w:val="nil"/>
              <w:left w:val="nil"/>
              <w:bottom w:val="nil"/>
              <w:right w:val="nil"/>
            </w:tcBorders>
            <w:vAlign w:val="bottom"/>
          </w:tcPr>
          <w:p w:rsidR="00D92D97" w:rsidRDefault="00D92D97" w:rsidP="0073298C">
            <w:pPr>
              <w:spacing w:before="22" w:after="22"/>
              <w:ind w:left="22" w:right="22"/>
              <w:rPr>
                <w:color w:val="000000"/>
              </w:rPr>
            </w:pPr>
            <w:r>
              <w:rPr>
                <w:color w:val="000000"/>
              </w:rPr>
              <w:t> </w:t>
            </w:r>
          </w:p>
        </w:tc>
        <w:tc>
          <w:tcPr>
            <w:tcW w:w="1240" w:type="dxa"/>
            <w:tcBorders>
              <w:top w:val="nil"/>
              <w:left w:val="nil"/>
              <w:bottom w:val="single" w:sz="6" w:space="0" w:color="000000"/>
              <w:right w:val="nil"/>
            </w:tcBorders>
            <w:vAlign w:val="bottom"/>
          </w:tcPr>
          <w:p w:rsidR="00D92D97" w:rsidRDefault="00D92D97" w:rsidP="0073298C">
            <w:pPr>
              <w:spacing w:before="22" w:after="22"/>
              <w:ind w:left="22" w:right="22"/>
              <w:jc w:val="center"/>
              <w:rPr>
                <w:rFonts w:ascii="Arial" w:hAnsi="Arial" w:cs="Arial"/>
                <w:b/>
                <w:bCs w:val="0"/>
                <w:color w:val="000000"/>
                <w:sz w:val="14"/>
                <w:szCs w:val="14"/>
              </w:rPr>
            </w:pPr>
            <w:r>
              <w:rPr>
                <w:rFonts w:ascii="Arial" w:hAnsi="Arial" w:cs="Arial"/>
                <w:b/>
                <w:bCs w:val="0"/>
                <w:color w:val="000000"/>
                <w:sz w:val="14"/>
                <w:szCs w:val="14"/>
              </w:rPr>
              <w:t>Barr Nunn</w:t>
            </w:r>
          </w:p>
        </w:tc>
        <w:tc>
          <w:tcPr>
            <w:tcW w:w="104" w:type="dxa"/>
            <w:tcBorders>
              <w:top w:val="nil"/>
              <w:left w:val="nil"/>
              <w:bottom w:val="nil"/>
              <w:right w:val="nil"/>
            </w:tcBorders>
            <w:vAlign w:val="bottom"/>
          </w:tcPr>
          <w:p w:rsidR="00D92D97" w:rsidRDefault="00D92D97" w:rsidP="0073298C">
            <w:pPr>
              <w:spacing w:before="22" w:after="22"/>
              <w:ind w:left="22" w:right="22"/>
              <w:rPr>
                <w:color w:val="000000"/>
              </w:rPr>
            </w:pPr>
            <w:r>
              <w:rPr>
                <w:color w:val="000000"/>
              </w:rPr>
              <w:t> </w:t>
            </w:r>
          </w:p>
        </w:tc>
        <w:tc>
          <w:tcPr>
            <w:tcW w:w="1244" w:type="dxa"/>
            <w:tcBorders>
              <w:top w:val="nil"/>
              <w:left w:val="nil"/>
              <w:bottom w:val="single" w:sz="6" w:space="0" w:color="000000"/>
              <w:right w:val="nil"/>
            </w:tcBorders>
            <w:vAlign w:val="bottom"/>
          </w:tcPr>
          <w:p w:rsidR="00D92D97" w:rsidRDefault="00D92D97" w:rsidP="0073298C">
            <w:pPr>
              <w:spacing w:before="22" w:after="22"/>
              <w:ind w:left="22" w:right="22"/>
              <w:jc w:val="center"/>
              <w:rPr>
                <w:rFonts w:ascii="Arial" w:hAnsi="Arial" w:cs="Arial"/>
                <w:b/>
                <w:bCs w:val="0"/>
                <w:color w:val="000000"/>
                <w:sz w:val="14"/>
                <w:szCs w:val="14"/>
              </w:rPr>
            </w:pPr>
            <w:proofErr w:type="spellStart"/>
            <w:r>
              <w:rPr>
                <w:rFonts w:ascii="Arial" w:hAnsi="Arial" w:cs="Arial"/>
                <w:b/>
                <w:bCs w:val="0"/>
                <w:color w:val="000000"/>
                <w:sz w:val="14"/>
                <w:szCs w:val="14"/>
              </w:rPr>
              <w:t>Kold</w:t>
            </w:r>
            <w:proofErr w:type="spellEnd"/>
            <w:r>
              <w:rPr>
                <w:rFonts w:ascii="Arial" w:hAnsi="Arial" w:cs="Arial"/>
                <w:b/>
                <w:bCs w:val="0"/>
                <w:color w:val="000000"/>
                <w:sz w:val="14"/>
                <w:szCs w:val="14"/>
              </w:rPr>
              <w:t xml:space="preserve"> Trans</w:t>
            </w:r>
          </w:p>
        </w:tc>
        <w:tc>
          <w:tcPr>
            <w:tcW w:w="104" w:type="dxa"/>
            <w:tcBorders>
              <w:top w:val="nil"/>
              <w:left w:val="nil"/>
              <w:bottom w:val="nil"/>
              <w:right w:val="nil"/>
            </w:tcBorders>
            <w:shd w:val="clear" w:color="00467E" w:fill="00467E"/>
            <w:vAlign w:val="bottom"/>
          </w:tcPr>
          <w:p w:rsidR="00D92D97" w:rsidRDefault="00D92D97" w:rsidP="0073298C">
            <w:pPr>
              <w:spacing w:before="22" w:after="22"/>
              <w:ind w:left="22" w:right="22"/>
              <w:rPr>
                <w:color w:val="000000"/>
              </w:rPr>
            </w:pPr>
            <w:r>
              <w:rPr>
                <w:color w:val="000000"/>
              </w:rPr>
              <w:t> </w:t>
            </w:r>
          </w:p>
        </w:tc>
        <w:tc>
          <w:tcPr>
            <w:tcW w:w="1244" w:type="dxa"/>
            <w:tcBorders>
              <w:top w:val="single" w:sz="6" w:space="0" w:color="000000"/>
              <w:left w:val="nil"/>
              <w:bottom w:val="single" w:sz="6" w:space="0" w:color="000000"/>
              <w:right w:val="single" w:sz="6" w:space="0" w:color="00467E"/>
            </w:tcBorders>
            <w:vAlign w:val="bottom"/>
          </w:tcPr>
          <w:p w:rsidR="00D92D97" w:rsidRDefault="00D92D97" w:rsidP="0073298C">
            <w:pPr>
              <w:spacing w:before="22" w:after="22"/>
              <w:ind w:left="22" w:right="22"/>
              <w:jc w:val="center"/>
              <w:rPr>
                <w:rFonts w:ascii="Arial" w:hAnsi="Arial" w:cs="Arial"/>
                <w:b/>
                <w:bCs w:val="0"/>
                <w:color w:val="000000"/>
                <w:sz w:val="14"/>
                <w:szCs w:val="14"/>
              </w:rPr>
            </w:pPr>
            <w:r>
              <w:rPr>
                <w:rFonts w:ascii="Arial" w:hAnsi="Arial" w:cs="Arial"/>
                <w:b/>
                <w:bCs w:val="0"/>
                <w:color w:val="000000"/>
                <w:sz w:val="14"/>
                <w:szCs w:val="14"/>
              </w:rPr>
              <w:t>Total</w:t>
            </w:r>
          </w:p>
        </w:tc>
      </w:tr>
      <w:tr w:rsidR="00D92D97" w:rsidTr="00D92D97">
        <w:tblPrEx>
          <w:tblCellMar>
            <w:top w:w="0" w:type="dxa"/>
            <w:left w:w="0" w:type="dxa"/>
            <w:bottom w:w="0" w:type="dxa"/>
            <w:right w:w="0" w:type="dxa"/>
          </w:tblCellMar>
        </w:tblPrEx>
        <w:trPr>
          <w:trHeight w:val="281"/>
        </w:trPr>
        <w:tc>
          <w:tcPr>
            <w:tcW w:w="1058" w:type="dxa"/>
            <w:tcBorders>
              <w:top w:val="single" w:sz="6" w:space="0" w:color="000000"/>
              <w:left w:val="single" w:sz="6" w:space="0" w:color="00467E"/>
              <w:bottom w:val="nil"/>
              <w:right w:val="nil"/>
            </w:tcBorders>
            <w:vAlign w:val="center"/>
          </w:tcPr>
          <w:p w:rsidR="00D92D97" w:rsidRDefault="00D92D97" w:rsidP="0073298C">
            <w:pPr>
              <w:spacing w:before="22" w:after="22"/>
              <w:ind w:left="22" w:right="22"/>
              <w:rPr>
                <w:rFonts w:ascii="Arial" w:hAnsi="Arial" w:cs="Arial"/>
                <w:b/>
                <w:bCs w:val="0"/>
                <w:i/>
                <w:iCs/>
                <w:color w:val="9D1B11"/>
                <w:sz w:val="16"/>
                <w:szCs w:val="16"/>
              </w:rPr>
            </w:pPr>
            <w:r>
              <w:rPr>
                <w:rFonts w:ascii="Arial" w:hAnsi="Arial" w:cs="Arial"/>
                <w:b/>
                <w:bCs w:val="0"/>
                <w:i/>
                <w:iCs/>
                <w:color w:val="9D1B11"/>
                <w:sz w:val="16"/>
                <w:szCs w:val="16"/>
              </w:rPr>
              <w:t>Arizona</w:t>
            </w:r>
          </w:p>
        </w:tc>
        <w:tc>
          <w:tcPr>
            <w:tcW w:w="104" w:type="dxa"/>
            <w:tcBorders>
              <w:top w:val="nil"/>
              <w:left w:val="nil"/>
              <w:bottom w:val="nil"/>
              <w:right w:val="nil"/>
            </w:tcBorders>
            <w:shd w:val="clear" w:color="00467E" w:fill="00467E"/>
            <w:vAlign w:val="bottom"/>
          </w:tcPr>
          <w:p w:rsidR="00D92D97" w:rsidRDefault="00D92D97" w:rsidP="0073298C">
            <w:pPr>
              <w:spacing w:before="22" w:after="22"/>
              <w:ind w:left="22" w:right="22"/>
              <w:rPr>
                <w:color w:val="000000"/>
              </w:rPr>
            </w:pPr>
            <w:r>
              <w:rPr>
                <w:color w:val="000000"/>
              </w:rPr>
              <w:t> </w:t>
            </w:r>
          </w:p>
        </w:tc>
        <w:tc>
          <w:tcPr>
            <w:tcW w:w="834" w:type="dxa"/>
            <w:tcBorders>
              <w:top w:val="single" w:sz="6" w:space="0" w:color="000000"/>
              <w:left w:val="nil"/>
              <w:bottom w:val="nil"/>
              <w:right w:val="nil"/>
            </w:tcBorders>
            <w:vAlign w:val="center"/>
          </w:tcPr>
          <w:p w:rsidR="00D92D97" w:rsidRDefault="00D92D97" w:rsidP="0073298C">
            <w:pPr>
              <w:spacing w:before="22" w:after="22"/>
              <w:ind w:left="22" w:right="22"/>
              <w:jc w:val="center"/>
              <w:rPr>
                <w:rFonts w:ascii="Arial" w:hAnsi="Arial" w:cs="Arial"/>
                <w:color w:val="000000"/>
                <w:sz w:val="16"/>
                <w:szCs w:val="16"/>
              </w:rPr>
            </w:pPr>
            <w:r>
              <w:rPr>
                <w:rFonts w:ascii="Arial" w:hAnsi="Arial" w:cs="Arial"/>
                <w:color w:val="000000"/>
                <w:sz w:val="16"/>
                <w:szCs w:val="16"/>
              </w:rPr>
              <w:t>4</w:t>
            </w:r>
          </w:p>
        </w:tc>
        <w:tc>
          <w:tcPr>
            <w:tcW w:w="336" w:type="dxa"/>
            <w:tcBorders>
              <w:top w:val="nil"/>
              <w:left w:val="nil"/>
              <w:bottom w:val="nil"/>
              <w:right w:val="nil"/>
            </w:tcBorders>
            <w:vAlign w:val="bottom"/>
          </w:tcPr>
          <w:p w:rsidR="00D92D97" w:rsidRDefault="00D92D97" w:rsidP="0073298C">
            <w:pPr>
              <w:spacing w:before="22" w:after="22"/>
              <w:ind w:left="22" w:right="22"/>
              <w:rPr>
                <w:color w:val="000000"/>
              </w:rPr>
            </w:pPr>
            <w:r>
              <w:rPr>
                <w:color w:val="000000"/>
              </w:rPr>
              <w:t> </w:t>
            </w:r>
          </w:p>
        </w:tc>
        <w:tc>
          <w:tcPr>
            <w:tcW w:w="837" w:type="dxa"/>
            <w:tcBorders>
              <w:top w:val="single" w:sz="6" w:space="0" w:color="000000"/>
              <w:left w:val="nil"/>
              <w:bottom w:val="nil"/>
              <w:right w:val="nil"/>
            </w:tcBorders>
            <w:vAlign w:val="center"/>
          </w:tcPr>
          <w:p w:rsidR="00D92D97" w:rsidRDefault="00D92D97" w:rsidP="0073298C">
            <w:pPr>
              <w:spacing w:before="22" w:after="22"/>
              <w:ind w:left="22" w:right="22"/>
              <w:rPr>
                <w:color w:val="000000"/>
              </w:rPr>
            </w:pPr>
          </w:p>
          <w:p w:rsidR="00D92D97" w:rsidRDefault="00D92D97" w:rsidP="0073298C">
            <w:pPr>
              <w:rPr>
                <w:sz w:val="16"/>
                <w:szCs w:val="16"/>
              </w:rPr>
            </w:pPr>
            <w:r>
              <w:rPr>
                <w:sz w:val="16"/>
                <w:szCs w:val="16"/>
              </w:rPr>
              <w:t> </w:t>
            </w:r>
          </w:p>
        </w:tc>
        <w:tc>
          <w:tcPr>
            <w:tcW w:w="104" w:type="dxa"/>
            <w:tcBorders>
              <w:top w:val="nil"/>
              <w:left w:val="nil"/>
              <w:bottom w:val="nil"/>
              <w:right w:val="nil"/>
            </w:tcBorders>
            <w:shd w:val="clear" w:color="00467E" w:fill="00467E"/>
            <w:vAlign w:val="bottom"/>
          </w:tcPr>
          <w:p w:rsidR="00D92D97" w:rsidRDefault="00D92D97" w:rsidP="0073298C">
            <w:pPr>
              <w:spacing w:before="22" w:after="22"/>
              <w:ind w:left="22" w:right="22"/>
              <w:rPr>
                <w:color w:val="000000"/>
              </w:rPr>
            </w:pPr>
            <w:r>
              <w:rPr>
                <w:color w:val="000000"/>
              </w:rPr>
              <w:t> </w:t>
            </w:r>
          </w:p>
        </w:tc>
        <w:tc>
          <w:tcPr>
            <w:tcW w:w="1241" w:type="dxa"/>
            <w:tcBorders>
              <w:top w:val="single" w:sz="6" w:space="0" w:color="000000"/>
              <w:left w:val="nil"/>
              <w:bottom w:val="nil"/>
              <w:right w:val="nil"/>
            </w:tcBorders>
            <w:vAlign w:val="center"/>
          </w:tcPr>
          <w:p w:rsidR="00D92D97" w:rsidRDefault="00D92D97" w:rsidP="0073298C">
            <w:pPr>
              <w:spacing w:before="22" w:after="22"/>
              <w:ind w:left="22" w:right="22"/>
              <w:jc w:val="center"/>
              <w:rPr>
                <w:rFonts w:ascii="Arial" w:hAnsi="Arial" w:cs="Arial"/>
                <w:color w:val="000000"/>
                <w:sz w:val="16"/>
                <w:szCs w:val="16"/>
              </w:rPr>
            </w:pPr>
            <w:r>
              <w:rPr>
                <w:rFonts w:ascii="Arial" w:hAnsi="Arial" w:cs="Arial"/>
                <w:color w:val="000000"/>
                <w:sz w:val="16"/>
                <w:szCs w:val="16"/>
              </w:rPr>
              <w:t>2</w:t>
            </w:r>
          </w:p>
        </w:tc>
        <w:tc>
          <w:tcPr>
            <w:tcW w:w="104" w:type="dxa"/>
            <w:tcBorders>
              <w:top w:val="nil"/>
              <w:left w:val="nil"/>
              <w:bottom w:val="nil"/>
              <w:right w:val="nil"/>
            </w:tcBorders>
            <w:vAlign w:val="bottom"/>
          </w:tcPr>
          <w:p w:rsidR="00D92D97" w:rsidRDefault="00D92D97" w:rsidP="0073298C">
            <w:pPr>
              <w:spacing w:before="22" w:after="22"/>
              <w:ind w:left="22" w:right="22"/>
              <w:rPr>
                <w:color w:val="000000"/>
              </w:rPr>
            </w:pPr>
            <w:r>
              <w:rPr>
                <w:color w:val="000000"/>
              </w:rPr>
              <w:t> </w:t>
            </w:r>
          </w:p>
        </w:tc>
        <w:tc>
          <w:tcPr>
            <w:tcW w:w="1236" w:type="dxa"/>
            <w:tcBorders>
              <w:top w:val="single" w:sz="6" w:space="0" w:color="000000"/>
              <w:left w:val="nil"/>
              <w:bottom w:val="nil"/>
              <w:right w:val="nil"/>
            </w:tcBorders>
            <w:vAlign w:val="center"/>
          </w:tcPr>
          <w:p w:rsidR="00D92D97" w:rsidRDefault="00D92D97" w:rsidP="0073298C">
            <w:pPr>
              <w:spacing w:before="22" w:after="22"/>
              <w:ind w:left="22" w:right="22"/>
              <w:jc w:val="center"/>
              <w:rPr>
                <w:rFonts w:ascii="Arial" w:hAnsi="Arial" w:cs="Arial"/>
                <w:color w:val="000000"/>
                <w:sz w:val="16"/>
                <w:szCs w:val="16"/>
              </w:rPr>
            </w:pPr>
            <w:r>
              <w:rPr>
                <w:rFonts w:ascii="Arial" w:hAnsi="Arial" w:cs="Arial"/>
                <w:color w:val="000000"/>
                <w:sz w:val="16"/>
                <w:szCs w:val="16"/>
              </w:rPr>
              <w:t>2</w:t>
            </w:r>
          </w:p>
        </w:tc>
        <w:tc>
          <w:tcPr>
            <w:tcW w:w="104" w:type="dxa"/>
            <w:tcBorders>
              <w:top w:val="nil"/>
              <w:left w:val="nil"/>
              <w:bottom w:val="nil"/>
              <w:right w:val="nil"/>
            </w:tcBorders>
            <w:vAlign w:val="bottom"/>
          </w:tcPr>
          <w:p w:rsidR="00D92D97" w:rsidRDefault="00D92D97" w:rsidP="0073298C">
            <w:pPr>
              <w:spacing w:before="22" w:after="22"/>
              <w:ind w:left="22" w:right="22"/>
              <w:rPr>
                <w:color w:val="000000"/>
              </w:rPr>
            </w:pPr>
            <w:r>
              <w:rPr>
                <w:color w:val="000000"/>
              </w:rPr>
              <w:t> </w:t>
            </w:r>
          </w:p>
        </w:tc>
        <w:tc>
          <w:tcPr>
            <w:tcW w:w="1240" w:type="dxa"/>
            <w:tcBorders>
              <w:top w:val="single" w:sz="6" w:space="0" w:color="000000"/>
              <w:left w:val="nil"/>
              <w:bottom w:val="nil"/>
              <w:right w:val="nil"/>
            </w:tcBorders>
            <w:vAlign w:val="center"/>
          </w:tcPr>
          <w:p w:rsidR="00D92D97" w:rsidRDefault="00D92D97" w:rsidP="0073298C">
            <w:pPr>
              <w:spacing w:before="22" w:after="22"/>
              <w:ind w:left="22" w:right="22"/>
              <w:rPr>
                <w:color w:val="000000"/>
              </w:rPr>
            </w:pPr>
          </w:p>
          <w:p w:rsidR="00D92D97" w:rsidRDefault="00D92D97" w:rsidP="0073298C">
            <w:pPr>
              <w:rPr>
                <w:sz w:val="16"/>
                <w:szCs w:val="16"/>
              </w:rPr>
            </w:pPr>
            <w:r>
              <w:rPr>
                <w:sz w:val="16"/>
                <w:szCs w:val="16"/>
              </w:rPr>
              <w:t> </w:t>
            </w:r>
          </w:p>
        </w:tc>
        <w:tc>
          <w:tcPr>
            <w:tcW w:w="104" w:type="dxa"/>
            <w:tcBorders>
              <w:top w:val="nil"/>
              <w:left w:val="nil"/>
              <w:bottom w:val="nil"/>
              <w:right w:val="nil"/>
            </w:tcBorders>
            <w:vAlign w:val="bottom"/>
          </w:tcPr>
          <w:p w:rsidR="00D92D97" w:rsidRDefault="00D92D97" w:rsidP="0073298C">
            <w:pPr>
              <w:spacing w:before="22" w:after="22"/>
              <w:ind w:left="22" w:right="22"/>
              <w:rPr>
                <w:color w:val="000000"/>
              </w:rPr>
            </w:pPr>
            <w:r>
              <w:rPr>
                <w:color w:val="000000"/>
              </w:rPr>
              <w:t> </w:t>
            </w:r>
          </w:p>
        </w:tc>
        <w:tc>
          <w:tcPr>
            <w:tcW w:w="1244" w:type="dxa"/>
            <w:tcBorders>
              <w:top w:val="single" w:sz="6" w:space="0" w:color="000000"/>
              <w:left w:val="nil"/>
              <w:bottom w:val="nil"/>
              <w:right w:val="nil"/>
            </w:tcBorders>
            <w:vAlign w:val="center"/>
          </w:tcPr>
          <w:p w:rsidR="00D92D97" w:rsidRDefault="00D92D97" w:rsidP="0073298C">
            <w:pPr>
              <w:spacing w:before="22" w:after="22"/>
              <w:ind w:left="22" w:right="22"/>
              <w:rPr>
                <w:color w:val="000000"/>
              </w:rPr>
            </w:pPr>
          </w:p>
          <w:p w:rsidR="00D92D97" w:rsidRDefault="00D92D97" w:rsidP="0073298C">
            <w:pPr>
              <w:rPr>
                <w:sz w:val="16"/>
                <w:szCs w:val="16"/>
              </w:rPr>
            </w:pPr>
            <w:r>
              <w:rPr>
                <w:sz w:val="16"/>
                <w:szCs w:val="16"/>
              </w:rPr>
              <w:t> </w:t>
            </w:r>
          </w:p>
        </w:tc>
        <w:tc>
          <w:tcPr>
            <w:tcW w:w="104" w:type="dxa"/>
            <w:tcBorders>
              <w:top w:val="nil"/>
              <w:left w:val="nil"/>
              <w:bottom w:val="nil"/>
              <w:right w:val="nil"/>
            </w:tcBorders>
            <w:shd w:val="clear" w:color="00467E" w:fill="00467E"/>
            <w:vAlign w:val="bottom"/>
          </w:tcPr>
          <w:p w:rsidR="00D92D97" w:rsidRDefault="00D92D97" w:rsidP="0073298C">
            <w:pPr>
              <w:spacing w:before="22" w:after="22"/>
              <w:ind w:left="22" w:right="22"/>
              <w:rPr>
                <w:color w:val="000000"/>
              </w:rPr>
            </w:pPr>
            <w:r>
              <w:rPr>
                <w:color w:val="000000"/>
              </w:rPr>
              <w:t> </w:t>
            </w:r>
          </w:p>
        </w:tc>
        <w:tc>
          <w:tcPr>
            <w:tcW w:w="1244" w:type="dxa"/>
            <w:tcBorders>
              <w:top w:val="single" w:sz="6" w:space="0" w:color="000000"/>
              <w:left w:val="nil"/>
              <w:bottom w:val="nil"/>
              <w:right w:val="single" w:sz="6" w:space="0" w:color="00467E"/>
            </w:tcBorders>
            <w:vAlign w:val="center"/>
          </w:tcPr>
          <w:p w:rsidR="00D92D97" w:rsidRDefault="00D92D97" w:rsidP="0073298C">
            <w:pPr>
              <w:spacing w:before="22" w:after="22"/>
              <w:ind w:left="22" w:right="22"/>
              <w:jc w:val="center"/>
              <w:rPr>
                <w:rFonts w:ascii="Arial" w:hAnsi="Arial" w:cs="Arial"/>
                <w:color w:val="000000"/>
                <w:sz w:val="16"/>
                <w:szCs w:val="16"/>
              </w:rPr>
            </w:pPr>
            <w:r>
              <w:rPr>
                <w:rFonts w:ascii="Arial" w:hAnsi="Arial" w:cs="Arial"/>
                <w:color w:val="000000"/>
                <w:sz w:val="16"/>
                <w:szCs w:val="16"/>
              </w:rPr>
              <w:t>4</w:t>
            </w:r>
          </w:p>
        </w:tc>
      </w:tr>
      <w:tr w:rsidR="00D92D97" w:rsidTr="00D92D97">
        <w:tblPrEx>
          <w:tblCellMar>
            <w:top w:w="0" w:type="dxa"/>
            <w:left w:w="0" w:type="dxa"/>
            <w:bottom w:w="0" w:type="dxa"/>
            <w:right w:w="0" w:type="dxa"/>
          </w:tblCellMar>
        </w:tblPrEx>
        <w:trPr>
          <w:trHeight w:val="281"/>
        </w:trPr>
        <w:tc>
          <w:tcPr>
            <w:tcW w:w="1058" w:type="dxa"/>
            <w:tcBorders>
              <w:top w:val="nil"/>
              <w:left w:val="single" w:sz="6" w:space="0" w:color="00467E"/>
              <w:bottom w:val="nil"/>
              <w:right w:val="nil"/>
            </w:tcBorders>
            <w:shd w:val="clear" w:color="CFD4D8" w:fill="CFD4D8"/>
            <w:vAlign w:val="center"/>
          </w:tcPr>
          <w:p w:rsidR="00D92D97" w:rsidRDefault="00D92D97" w:rsidP="0073298C">
            <w:pPr>
              <w:spacing w:before="22" w:after="22"/>
              <w:ind w:left="22" w:right="22"/>
              <w:rPr>
                <w:rFonts w:ascii="Arial" w:hAnsi="Arial" w:cs="Arial"/>
                <w:b/>
                <w:bCs w:val="0"/>
                <w:i/>
                <w:iCs/>
                <w:color w:val="9D1B11"/>
                <w:sz w:val="16"/>
                <w:szCs w:val="16"/>
              </w:rPr>
            </w:pPr>
            <w:r>
              <w:rPr>
                <w:rFonts w:ascii="Arial" w:hAnsi="Arial" w:cs="Arial"/>
                <w:b/>
                <w:bCs w:val="0"/>
                <w:i/>
                <w:iCs/>
                <w:color w:val="9D1B11"/>
                <w:sz w:val="16"/>
                <w:szCs w:val="16"/>
              </w:rPr>
              <w:t>California</w:t>
            </w:r>
          </w:p>
        </w:tc>
        <w:tc>
          <w:tcPr>
            <w:tcW w:w="104" w:type="dxa"/>
            <w:tcBorders>
              <w:top w:val="nil"/>
              <w:left w:val="nil"/>
              <w:bottom w:val="nil"/>
              <w:right w:val="nil"/>
            </w:tcBorders>
            <w:shd w:val="clear" w:color="00467E" w:fill="00467E"/>
            <w:vAlign w:val="bottom"/>
          </w:tcPr>
          <w:p w:rsidR="00D92D97" w:rsidRDefault="00D92D97" w:rsidP="0073298C">
            <w:pPr>
              <w:spacing w:before="22" w:after="22"/>
              <w:ind w:left="22" w:right="22"/>
              <w:rPr>
                <w:color w:val="000000"/>
              </w:rPr>
            </w:pPr>
            <w:r>
              <w:rPr>
                <w:color w:val="000000"/>
              </w:rPr>
              <w:t> </w:t>
            </w:r>
          </w:p>
        </w:tc>
        <w:tc>
          <w:tcPr>
            <w:tcW w:w="834" w:type="dxa"/>
            <w:tcBorders>
              <w:top w:val="nil"/>
              <w:left w:val="nil"/>
              <w:bottom w:val="nil"/>
              <w:right w:val="nil"/>
            </w:tcBorders>
            <w:shd w:val="clear" w:color="CFD4D8" w:fill="CFD4D8"/>
            <w:vAlign w:val="center"/>
          </w:tcPr>
          <w:p w:rsidR="00D92D97" w:rsidRDefault="00D92D97" w:rsidP="0073298C">
            <w:pPr>
              <w:spacing w:before="22" w:after="22"/>
              <w:ind w:left="22" w:right="22"/>
              <w:jc w:val="center"/>
              <w:rPr>
                <w:rFonts w:ascii="Arial" w:hAnsi="Arial" w:cs="Arial"/>
                <w:color w:val="000000"/>
                <w:sz w:val="16"/>
                <w:szCs w:val="16"/>
              </w:rPr>
            </w:pPr>
            <w:r>
              <w:rPr>
                <w:rFonts w:ascii="Arial" w:hAnsi="Arial" w:cs="Arial"/>
                <w:color w:val="000000"/>
                <w:sz w:val="16"/>
                <w:szCs w:val="16"/>
              </w:rPr>
              <w:t>7</w:t>
            </w:r>
          </w:p>
        </w:tc>
        <w:tc>
          <w:tcPr>
            <w:tcW w:w="336" w:type="dxa"/>
            <w:tcBorders>
              <w:top w:val="nil"/>
              <w:left w:val="nil"/>
              <w:bottom w:val="nil"/>
              <w:right w:val="nil"/>
            </w:tcBorders>
            <w:shd w:val="clear" w:color="CFD4D8" w:fill="CFD4D8"/>
            <w:vAlign w:val="bottom"/>
          </w:tcPr>
          <w:p w:rsidR="00D92D97" w:rsidRDefault="00D92D97" w:rsidP="0073298C">
            <w:pPr>
              <w:spacing w:before="22" w:after="22"/>
              <w:ind w:left="22" w:right="22"/>
              <w:rPr>
                <w:color w:val="000000"/>
              </w:rPr>
            </w:pPr>
            <w:r>
              <w:rPr>
                <w:color w:val="000000"/>
              </w:rPr>
              <w:t> </w:t>
            </w:r>
          </w:p>
        </w:tc>
        <w:tc>
          <w:tcPr>
            <w:tcW w:w="837" w:type="dxa"/>
            <w:tcBorders>
              <w:top w:val="nil"/>
              <w:left w:val="nil"/>
              <w:bottom w:val="nil"/>
              <w:right w:val="nil"/>
            </w:tcBorders>
            <w:shd w:val="clear" w:color="CFD4D8" w:fill="CFD4D8"/>
            <w:vAlign w:val="center"/>
          </w:tcPr>
          <w:p w:rsidR="00D92D97" w:rsidRDefault="00D92D97" w:rsidP="0073298C">
            <w:pPr>
              <w:spacing w:before="22" w:after="22"/>
              <w:ind w:left="22" w:right="22"/>
              <w:jc w:val="center"/>
              <w:rPr>
                <w:rFonts w:ascii="Arial" w:hAnsi="Arial" w:cs="Arial"/>
                <w:color w:val="000000"/>
                <w:sz w:val="16"/>
                <w:szCs w:val="16"/>
              </w:rPr>
            </w:pPr>
            <w:r>
              <w:rPr>
                <w:rFonts w:ascii="Arial" w:hAnsi="Arial" w:cs="Arial"/>
                <w:color w:val="000000"/>
                <w:sz w:val="16"/>
                <w:szCs w:val="16"/>
              </w:rPr>
              <w:t>2</w:t>
            </w:r>
          </w:p>
        </w:tc>
        <w:tc>
          <w:tcPr>
            <w:tcW w:w="104" w:type="dxa"/>
            <w:tcBorders>
              <w:top w:val="nil"/>
              <w:left w:val="nil"/>
              <w:bottom w:val="nil"/>
              <w:right w:val="nil"/>
            </w:tcBorders>
            <w:shd w:val="clear" w:color="00467E" w:fill="00467E"/>
            <w:vAlign w:val="bottom"/>
          </w:tcPr>
          <w:p w:rsidR="00D92D97" w:rsidRDefault="00D92D97" w:rsidP="0073298C">
            <w:pPr>
              <w:spacing w:before="22" w:after="22"/>
              <w:ind w:left="22" w:right="22"/>
              <w:rPr>
                <w:color w:val="000000"/>
              </w:rPr>
            </w:pPr>
            <w:r>
              <w:rPr>
                <w:color w:val="000000"/>
              </w:rPr>
              <w:t> </w:t>
            </w:r>
          </w:p>
        </w:tc>
        <w:tc>
          <w:tcPr>
            <w:tcW w:w="1241" w:type="dxa"/>
            <w:tcBorders>
              <w:top w:val="nil"/>
              <w:left w:val="nil"/>
              <w:bottom w:val="nil"/>
              <w:right w:val="nil"/>
            </w:tcBorders>
            <w:shd w:val="clear" w:color="CFD4D8" w:fill="CFD4D8"/>
            <w:vAlign w:val="center"/>
          </w:tcPr>
          <w:p w:rsidR="00D92D97" w:rsidRDefault="00D92D97" w:rsidP="0073298C">
            <w:pPr>
              <w:spacing w:before="22" w:after="22"/>
              <w:ind w:left="22" w:right="22"/>
              <w:jc w:val="center"/>
              <w:rPr>
                <w:rFonts w:ascii="Arial" w:hAnsi="Arial" w:cs="Arial"/>
                <w:color w:val="000000"/>
                <w:sz w:val="16"/>
                <w:szCs w:val="16"/>
              </w:rPr>
            </w:pPr>
            <w:r>
              <w:rPr>
                <w:rFonts w:ascii="Arial" w:hAnsi="Arial" w:cs="Arial"/>
                <w:color w:val="000000"/>
                <w:sz w:val="16"/>
                <w:szCs w:val="16"/>
              </w:rPr>
              <w:t>3</w:t>
            </w:r>
          </w:p>
        </w:tc>
        <w:tc>
          <w:tcPr>
            <w:tcW w:w="104" w:type="dxa"/>
            <w:tcBorders>
              <w:top w:val="nil"/>
              <w:left w:val="nil"/>
              <w:bottom w:val="nil"/>
              <w:right w:val="nil"/>
            </w:tcBorders>
            <w:shd w:val="clear" w:color="CFD4D8" w:fill="CFD4D8"/>
            <w:vAlign w:val="bottom"/>
          </w:tcPr>
          <w:p w:rsidR="00D92D97" w:rsidRDefault="00D92D97" w:rsidP="0073298C">
            <w:pPr>
              <w:spacing w:before="22" w:after="22"/>
              <w:ind w:left="22" w:right="22"/>
              <w:rPr>
                <w:color w:val="000000"/>
              </w:rPr>
            </w:pPr>
            <w:r>
              <w:rPr>
                <w:color w:val="000000"/>
              </w:rPr>
              <w:t> </w:t>
            </w:r>
          </w:p>
        </w:tc>
        <w:tc>
          <w:tcPr>
            <w:tcW w:w="1236" w:type="dxa"/>
            <w:tcBorders>
              <w:top w:val="nil"/>
              <w:left w:val="nil"/>
              <w:bottom w:val="nil"/>
              <w:right w:val="nil"/>
            </w:tcBorders>
            <w:shd w:val="clear" w:color="CFD4D8" w:fill="CFD4D8"/>
            <w:vAlign w:val="center"/>
          </w:tcPr>
          <w:p w:rsidR="00D92D97" w:rsidRDefault="00D92D97" w:rsidP="0073298C">
            <w:pPr>
              <w:spacing w:before="22" w:after="22"/>
              <w:ind w:left="22" w:right="22"/>
              <w:jc w:val="center"/>
              <w:rPr>
                <w:rFonts w:ascii="Arial" w:hAnsi="Arial" w:cs="Arial"/>
                <w:color w:val="000000"/>
                <w:sz w:val="16"/>
                <w:szCs w:val="16"/>
              </w:rPr>
            </w:pPr>
            <w:r>
              <w:rPr>
                <w:rFonts w:ascii="Arial" w:hAnsi="Arial" w:cs="Arial"/>
                <w:color w:val="000000"/>
                <w:sz w:val="16"/>
                <w:szCs w:val="16"/>
              </w:rPr>
              <w:t>6</w:t>
            </w:r>
          </w:p>
        </w:tc>
        <w:tc>
          <w:tcPr>
            <w:tcW w:w="104" w:type="dxa"/>
            <w:tcBorders>
              <w:top w:val="nil"/>
              <w:left w:val="nil"/>
              <w:bottom w:val="nil"/>
              <w:right w:val="nil"/>
            </w:tcBorders>
            <w:shd w:val="clear" w:color="CFD4D8" w:fill="CFD4D8"/>
            <w:vAlign w:val="bottom"/>
          </w:tcPr>
          <w:p w:rsidR="00D92D97" w:rsidRDefault="00D92D97" w:rsidP="0073298C">
            <w:pPr>
              <w:spacing w:before="22" w:after="22"/>
              <w:ind w:left="22" w:right="22"/>
              <w:rPr>
                <w:color w:val="000000"/>
              </w:rPr>
            </w:pPr>
            <w:r>
              <w:rPr>
                <w:color w:val="000000"/>
              </w:rPr>
              <w:t> </w:t>
            </w:r>
          </w:p>
        </w:tc>
        <w:tc>
          <w:tcPr>
            <w:tcW w:w="1240" w:type="dxa"/>
            <w:tcBorders>
              <w:top w:val="nil"/>
              <w:left w:val="nil"/>
              <w:bottom w:val="nil"/>
              <w:right w:val="nil"/>
            </w:tcBorders>
            <w:shd w:val="clear" w:color="CFD4D8" w:fill="CFD4D8"/>
            <w:vAlign w:val="center"/>
          </w:tcPr>
          <w:p w:rsidR="00D92D97" w:rsidRDefault="00D92D97" w:rsidP="0073298C">
            <w:pPr>
              <w:spacing w:before="22" w:after="22"/>
              <w:ind w:left="22" w:right="22"/>
              <w:rPr>
                <w:color w:val="000000"/>
              </w:rPr>
            </w:pPr>
          </w:p>
          <w:p w:rsidR="00D92D97" w:rsidRDefault="00D92D97" w:rsidP="0073298C">
            <w:pPr>
              <w:rPr>
                <w:sz w:val="16"/>
                <w:szCs w:val="16"/>
              </w:rPr>
            </w:pPr>
            <w:r>
              <w:rPr>
                <w:sz w:val="16"/>
                <w:szCs w:val="16"/>
              </w:rPr>
              <w:t> </w:t>
            </w:r>
          </w:p>
        </w:tc>
        <w:tc>
          <w:tcPr>
            <w:tcW w:w="104" w:type="dxa"/>
            <w:tcBorders>
              <w:top w:val="nil"/>
              <w:left w:val="nil"/>
              <w:bottom w:val="nil"/>
              <w:right w:val="nil"/>
            </w:tcBorders>
            <w:shd w:val="clear" w:color="CFD4D8" w:fill="CFD4D8"/>
            <w:vAlign w:val="bottom"/>
          </w:tcPr>
          <w:p w:rsidR="00D92D97" w:rsidRDefault="00D92D97" w:rsidP="0073298C">
            <w:pPr>
              <w:spacing w:before="22" w:after="22"/>
              <w:ind w:left="22" w:right="22"/>
              <w:rPr>
                <w:color w:val="000000"/>
              </w:rPr>
            </w:pPr>
            <w:r>
              <w:rPr>
                <w:color w:val="000000"/>
              </w:rPr>
              <w:t> </w:t>
            </w:r>
          </w:p>
        </w:tc>
        <w:tc>
          <w:tcPr>
            <w:tcW w:w="1244" w:type="dxa"/>
            <w:tcBorders>
              <w:top w:val="nil"/>
              <w:left w:val="nil"/>
              <w:bottom w:val="nil"/>
              <w:right w:val="nil"/>
            </w:tcBorders>
            <w:shd w:val="clear" w:color="CFD4D8" w:fill="CFD4D8"/>
            <w:vAlign w:val="center"/>
          </w:tcPr>
          <w:p w:rsidR="00D92D97" w:rsidRDefault="00D92D97" w:rsidP="0073298C">
            <w:pPr>
              <w:spacing w:before="22" w:after="22"/>
              <w:ind w:left="22" w:right="22"/>
              <w:rPr>
                <w:color w:val="000000"/>
              </w:rPr>
            </w:pPr>
          </w:p>
          <w:p w:rsidR="00D92D97" w:rsidRDefault="00D92D97" w:rsidP="0073298C">
            <w:pPr>
              <w:rPr>
                <w:sz w:val="16"/>
                <w:szCs w:val="16"/>
              </w:rPr>
            </w:pPr>
            <w:r>
              <w:rPr>
                <w:sz w:val="16"/>
                <w:szCs w:val="16"/>
              </w:rPr>
              <w:t> </w:t>
            </w:r>
          </w:p>
        </w:tc>
        <w:tc>
          <w:tcPr>
            <w:tcW w:w="104" w:type="dxa"/>
            <w:tcBorders>
              <w:top w:val="nil"/>
              <w:left w:val="nil"/>
              <w:bottom w:val="nil"/>
              <w:right w:val="nil"/>
            </w:tcBorders>
            <w:shd w:val="clear" w:color="00467E" w:fill="00467E"/>
            <w:vAlign w:val="bottom"/>
          </w:tcPr>
          <w:p w:rsidR="00D92D97" w:rsidRDefault="00D92D97" w:rsidP="0073298C">
            <w:pPr>
              <w:spacing w:before="22" w:after="22"/>
              <w:ind w:left="22" w:right="22"/>
              <w:rPr>
                <w:color w:val="000000"/>
              </w:rPr>
            </w:pPr>
            <w:r>
              <w:rPr>
                <w:color w:val="000000"/>
              </w:rPr>
              <w:t> </w:t>
            </w:r>
          </w:p>
        </w:tc>
        <w:tc>
          <w:tcPr>
            <w:tcW w:w="1244" w:type="dxa"/>
            <w:tcBorders>
              <w:top w:val="nil"/>
              <w:left w:val="nil"/>
              <w:bottom w:val="nil"/>
              <w:right w:val="single" w:sz="6" w:space="0" w:color="00467E"/>
            </w:tcBorders>
            <w:shd w:val="clear" w:color="CFD4D8" w:fill="CFD4D8"/>
            <w:vAlign w:val="center"/>
          </w:tcPr>
          <w:p w:rsidR="00D92D97" w:rsidRDefault="00D92D97" w:rsidP="0073298C">
            <w:pPr>
              <w:spacing w:before="22" w:after="22"/>
              <w:ind w:left="22" w:right="22"/>
              <w:jc w:val="center"/>
              <w:rPr>
                <w:rFonts w:ascii="Arial" w:hAnsi="Arial" w:cs="Arial"/>
                <w:color w:val="000000"/>
                <w:sz w:val="16"/>
                <w:szCs w:val="16"/>
              </w:rPr>
            </w:pPr>
            <w:r>
              <w:rPr>
                <w:rFonts w:ascii="Arial" w:hAnsi="Arial" w:cs="Arial"/>
                <w:color w:val="000000"/>
                <w:sz w:val="16"/>
                <w:szCs w:val="16"/>
              </w:rPr>
              <w:t>9</w:t>
            </w:r>
          </w:p>
        </w:tc>
      </w:tr>
      <w:tr w:rsidR="00D92D97" w:rsidTr="00D92D97">
        <w:tblPrEx>
          <w:tblCellMar>
            <w:top w:w="0" w:type="dxa"/>
            <w:left w:w="0" w:type="dxa"/>
            <w:bottom w:w="0" w:type="dxa"/>
            <w:right w:w="0" w:type="dxa"/>
          </w:tblCellMar>
        </w:tblPrEx>
        <w:trPr>
          <w:trHeight w:val="281"/>
        </w:trPr>
        <w:tc>
          <w:tcPr>
            <w:tcW w:w="1058" w:type="dxa"/>
            <w:tcBorders>
              <w:top w:val="nil"/>
              <w:left w:val="single" w:sz="6" w:space="0" w:color="00467E"/>
              <w:bottom w:val="nil"/>
              <w:right w:val="nil"/>
            </w:tcBorders>
            <w:vAlign w:val="center"/>
          </w:tcPr>
          <w:p w:rsidR="00D92D97" w:rsidRDefault="00D92D97" w:rsidP="0073298C">
            <w:pPr>
              <w:spacing w:before="22" w:after="22"/>
              <w:ind w:left="22" w:right="22"/>
              <w:rPr>
                <w:rFonts w:ascii="Arial" w:hAnsi="Arial" w:cs="Arial"/>
                <w:b/>
                <w:bCs w:val="0"/>
                <w:i/>
                <w:iCs/>
                <w:color w:val="9D1B11"/>
                <w:sz w:val="16"/>
                <w:szCs w:val="16"/>
              </w:rPr>
            </w:pPr>
            <w:r>
              <w:rPr>
                <w:rFonts w:ascii="Arial" w:hAnsi="Arial" w:cs="Arial"/>
                <w:b/>
                <w:bCs w:val="0"/>
                <w:i/>
                <w:iCs/>
                <w:color w:val="9D1B11"/>
                <w:sz w:val="16"/>
                <w:szCs w:val="16"/>
              </w:rPr>
              <w:t>Colorado</w:t>
            </w:r>
          </w:p>
        </w:tc>
        <w:tc>
          <w:tcPr>
            <w:tcW w:w="104" w:type="dxa"/>
            <w:tcBorders>
              <w:top w:val="nil"/>
              <w:left w:val="nil"/>
              <w:bottom w:val="nil"/>
              <w:right w:val="nil"/>
            </w:tcBorders>
            <w:shd w:val="clear" w:color="00467E" w:fill="00467E"/>
            <w:vAlign w:val="bottom"/>
          </w:tcPr>
          <w:p w:rsidR="00D92D97" w:rsidRDefault="00D92D97" w:rsidP="0073298C">
            <w:pPr>
              <w:spacing w:before="22" w:after="22"/>
              <w:ind w:left="22" w:right="22"/>
              <w:rPr>
                <w:color w:val="000000"/>
              </w:rPr>
            </w:pPr>
            <w:r>
              <w:rPr>
                <w:color w:val="000000"/>
              </w:rPr>
              <w:t> </w:t>
            </w:r>
          </w:p>
        </w:tc>
        <w:tc>
          <w:tcPr>
            <w:tcW w:w="834" w:type="dxa"/>
            <w:tcBorders>
              <w:top w:val="nil"/>
              <w:left w:val="nil"/>
              <w:bottom w:val="nil"/>
              <w:right w:val="nil"/>
            </w:tcBorders>
            <w:vAlign w:val="center"/>
          </w:tcPr>
          <w:p w:rsidR="00D92D97" w:rsidRDefault="00D92D97" w:rsidP="0073298C">
            <w:pPr>
              <w:spacing w:before="22" w:after="22"/>
              <w:ind w:left="22" w:right="22"/>
              <w:jc w:val="center"/>
              <w:rPr>
                <w:rFonts w:ascii="Arial" w:hAnsi="Arial" w:cs="Arial"/>
                <w:color w:val="000000"/>
                <w:sz w:val="16"/>
                <w:szCs w:val="16"/>
              </w:rPr>
            </w:pPr>
            <w:r>
              <w:rPr>
                <w:rFonts w:ascii="Arial" w:hAnsi="Arial" w:cs="Arial"/>
                <w:color w:val="000000"/>
                <w:sz w:val="16"/>
                <w:szCs w:val="16"/>
              </w:rPr>
              <w:t>2</w:t>
            </w:r>
          </w:p>
        </w:tc>
        <w:tc>
          <w:tcPr>
            <w:tcW w:w="336" w:type="dxa"/>
            <w:tcBorders>
              <w:top w:val="nil"/>
              <w:left w:val="nil"/>
              <w:bottom w:val="nil"/>
              <w:right w:val="nil"/>
            </w:tcBorders>
            <w:vAlign w:val="bottom"/>
          </w:tcPr>
          <w:p w:rsidR="00D92D97" w:rsidRDefault="00D92D97" w:rsidP="0073298C">
            <w:pPr>
              <w:spacing w:before="22" w:after="22"/>
              <w:ind w:left="22" w:right="22"/>
              <w:rPr>
                <w:color w:val="000000"/>
              </w:rPr>
            </w:pPr>
            <w:r>
              <w:rPr>
                <w:color w:val="000000"/>
              </w:rPr>
              <w:t> </w:t>
            </w:r>
          </w:p>
        </w:tc>
        <w:tc>
          <w:tcPr>
            <w:tcW w:w="837" w:type="dxa"/>
            <w:tcBorders>
              <w:top w:val="nil"/>
              <w:left w:val="nil"/>
              <w:bottom w:val="nil"/>
              <w:right w:val="nil"/>
            </w:tcBorders>
            <w:vAlign w:val="center"/>
          </w:tcPr>
          <w:p w:rsidR="00D92D97" w:rsidRDefault="00D92D97" w:rsidP="0073298C">
            <w:pPr>
              <w:spacing w:before="22" w:after="22"/>
              <w:ind w:left="22" w:right="22"/>
              <w:rPr>
                <w:color w:val="000000"/>
              </w:rPr>
            </w:pPr>
          </w:p>
          <w:p w:rsidR="00D92D97" w:rsidRDefault="00D92D97" w:rsidP="0073298C">
            <w:pPr>
              <w:rPr>
                <w:sz w:val="16"/>
                <w:szCs w:val="16"/>
              </w:rPr>
            </w:pPr>
            <w:r>
              <w:rPr>
                <w:sz w:val="16"/>
                <w:szCs w:val="16"/>
              </w:rPr>
              <w:t> </w:t>
            </w:r>
          </w:p>
        </w:tc>
        <w:tc>
          <w:tcPr>
            <w:tcW w:w="104" w:type="dxa"/>
            <w:tcBorders>
              <w:top w:val="nil"/>
              <w:left w:val="nil"/>
              <w:bottom w:val="nil"/>
              <w:right w:val="nil"/>
            </w:tcBorders>
            <w:shd w:val="clear" w:color="00467E" w:fill="00467E"/>
            <w:vAlign w:val="bottom"/>
          </w:tcPr>
          <w:p w:rsidR="00D92D97" w:rsidRDefault="00D92D97" w:rsidP="0073298C">
            <w:pPr>
              <w:spacing w:before="22" w:after="22"/>
              <w:ind w:left="22" w:right="22"/>
              <w:rPr>
                <w:color w:val="000000"/>
              </w:rPr>
            </w:pPr>
            <w:r>
              <w:rPr>
                <w:color w:val="000000"/>
              </w:rPr>
              <w:t> </w:t>
            </w:r>
          </w:p>
        </w:tc>
        <w:tc>
          <w:tcPr>
            <w:tcW w:w="1241" w:type="dxa"/>
            <w:tcBorders>
              <w:top w:val="nil"/>
              <w:left w:val="nil"/>
              <w:bottom w:val="nil"/>
              <w:right w:val="nil"/>
            </w:tcBorders>
            <w:vAlign w:val="center"/>
          </w:tcPr>
          <w:p w:rsidR="00D92D97" w:rsidRDefault="00D92D97" w:rsidP="0073298C">
            <w:pPr>
              <w:spacing w:before="22" w:after="22"/>
              <w:ind w:left="22" w:right="22"/>
              <w:jc w:val="center"/>
              <w:rPr>
                <w:rFonts w:ascii="Arial" w:hAnsi="Arial" w:cs="Arial"/>
                <w:color w:val="000000"/>
                <w:sz w:val="16"/>
                <w:szCs w:val="16"/>
              </w:rPr>
            </w:pPr>
            <w:r>
              <w:rPr>
                <w:rFonts w:ascii="Arial" w:hAnsi="Arial" w:cs="Arial"/>
                <w:color w:val="000000"/>
                <w:sz w:val="16"/>
                <w:szCs w:val="16"/>
              </w:rPr>
              <w:t>1</w:t>
            </w:r>
          </w:p>
        </w:tc>
        <w:tc>
          <w:tcPr>
            <w:tcW w:w="104" w:type="dxa"/>
            <w:tcBorders>
              <w:top w:val="nil"/>
              <w:left w:val="nil"/>
              <w:bottom w:val="nil"/>
              <w:right w:val="nil"/>
            </w:tcBorders>
            <w:vAlign w:val="bottom"/>
          </w:tcPr>
          <w:p w:rsidR="00D92D97" w:rsidRDefault="00D92D97" w:rsidP="0073298C">
            <w:pPr>
              <w:spacing w:before="22" w:after="22"/>
              <w:ind w:left="22" w:right="22"/>
              <w:rPr>
                <w:color w:val="000000"/>
              </w:rPr>
            </w:pPr>
            <w:r>
              <w:rPr>
                <w:color w:val="000000"/>
              </w:rPr>
              <w:t> </w:t>
            </w:r>
          </w:p>
        </w:tc>
        <w:tc>
          <w:tcPr>
            <w:tcW w:w="1236" w:type="dxa"/>
            <w:tcBorders>
              <w:top w:val="nil"/>
              <w:left w:val="nil"/>
              <w:bottom w:val="nil"/>
              <w:right w:val="nil"/>
            </w:tcBorders>
            <w:vAlign w:val="center"/>
          </w:tcPr>
          <w:p w:rsidR="00D92D97" w:rsidRDefault="00D92D97" w:rsidP="0073298C">
            <w:pPr>
              <w:spacing w:before="22" w:after="22"/>
              <w:ind w:left="22" w:right="22"/>
              <w:jc w:val="center"/>
              <w:rPr>
                <w:rFonts w:ascii="Arial" w:hAnsi="Arial" w:cs="Arial"/>
                <w:color w:val="000000"/>
                <w:sz w:val="16"/>
                <w:szCs w:val="16"/>
              </w:rPr>
            </w:pPr>
            <w:r>
              <w:rPr>
                <w:rFonts w:ascii="Arial" w:hAnsi="Arial" w:cs="Arial"/>
                <w:color w:val="000000"/>
                <w:sz w:val="16"/>
                <w:szCs w:val="16"/>
              </w:rPr>
              <w:t>1</w:t>
            </w:r>
          </w:p>
        </w:tc>
        <w:tc>
          <w:tcPr>
            <w:tcW w:w="104" w:type="dxa"/>
            <w:tcBorders>
              <w:top w:val="nil"/>
              <w:left w:val="nil"/>
              <w:bottom w:val="nil"/>
              <w:right w:val="nil"/>
            </w:tcBorders>
            <w:vAlign w:val="bottom"/>
          </w:tcPr>
          <w:p w:rsidR="00D92D97" w:rsidRDefault="00D92D97" w:rsidP="0073298C">
            <w:pPr>
              <w:spacing w:before="22" w:after="22"/>
              <w:ind w:left="22" w:right="22"/>
              <w:rPr>
                <w:color w:val="000000"/>
              </w:rPr>
            </w:pPr>
            <w:r>
              <w:rPr>
                <w:color w:val="000000"/>
              </w:rPr>
              <w:t> </w:t>
            </w:r>
          </w:p>
        </w:tc>
        <w:tc>
          <w:tcPr>
            <w:tcW w:w="1240" w:type="dxa"/>
            <w:tcBorders>
              <w:top w:val="nil"/>
              <w:left w:val="nil"/>
              <w:bottom w:val="nil"/>
              <w:right w:val="nil"/>
            </w:tcBorders>
            <w:vAlign w:val="center"/>
          </w:tcPr>
          <w:p w:rsidR="00D92D97" w:rsidRDefault="00D92D97" w:rsidP="0073298C">
            <w:pPr>
              <w:spacing w:before="22" w:after="22"/>
              <w:ind w:left="22" w:right="22"/>
              <w:rPr>
                <w:color w:val="000000"/>
              </w:rPr>
            </w:pPr>
          </w:p>
          <w:p w:rsidR="00D92D97" w:rsidRDefault="00D92D97" w:rsidP="0073298C">
            <w:pPr>
              <w:rPr>
                <w:sz w:val="16"/>
                <w:szCs w:val="16"/>
              </w:rPr>
            </w:pPr>
            <w:r>
              <w:rPr>
                <w:sz w:val="16"/>
                <w:szCs w:val="16"/>
              </w:rPr>
              <w:t> </w:t>
            </w:r>
          </w:p>
        </w:tc>
        <w:tc>
          <w:tcPr>
            <w:tcW w:w="104" w:type="dxa"/>
            <w:tcBorders>
              <w:top w:val="nil"/>
              <w:left w:val="nil"/>
              <w:bottom w:val="nil"/>
              <w:right w:val="nil"/>
            </w:tcBorders>
            <w:vAlign w:val="bottom"/>
          </w:tcPr>
          <w:p w:rsidR="00D92D97" w:rsidRDefault="00D92D97" w:rsidP="0073298C">
            <w:pPr>
              <w:spacing w:before="22" w:after="22"/>
              <w:ind w:left="22" w:right="22"/>
              <w:rPr>
                <w:color w:val="000000"/>
              </w:rPr>
            </w:pPr>
            <w:r>
              <w:rPr>
                <w:color w:val="000000"/>
              </w:rPr>
              <w:t> </w:t>
            </w:r>
          </w:p>
        </w:tc>
        <w:tc>
          <w:tcPr>
            <w:tcW w:w="1244" w:type="dxa"/>
            <w:tcBorders>
              <w:top w:val="nil"/>
              <w:left w:val="nil"/>
              <w:bottom w:val="nil"/>
              <w:right w:val="nil"/>
            </w:tcBorders>
            <w:vAlign w:val="center"/>
          </w:tcPr>
          <w:p w:rsidR="00D92D97" w:rsidRDefault="00D92D97" w:rsidP="0073298C">
            <w:pPr>
              <w:spacing w:before="22" w:after="22"/>
              <w:ind w:left="22" w:right="22"/>
              <w:rPr>
                <w:color w:val="000000"/>
              </w:rPr>
            </w:pPr>
          </w:p>
          <w:p w:rsidR="00D92D97" w:rsidRDefault="00D92D97" w:rsidP="0073298C">
            <w:pPr>
              <w:rPr>
                <w:sz w:val="16"/>
                <w:szCs w:val="16"/>
              </w:rPr>
            </w:pPr>
            <w:r>
              <w:rPr>
                <w:sz w:val="16"/>
                <w:szCs w:val="16"/>
              </w:rPr>
              <w:t> </w:t>
            </w:r>
          </w:p>
        </w:tc>
        <w:tc>
          <w:tcPr>
            <w:tcW w:w="104" w:type="dxa"/>
            <w:tcBorders>
              <w:top w:val="nil"/>
              <w:left w:val="nil"/>
              <w:bottom w:val="nil"/>
              <w:right w:val="nil"/>
            </w:tcBorders>
            <w:shd w:val="clear" w:color="00467E" w:fill="00467E"/>
            <w:vAlign w:val="bottom"/>
          </w:tcPr>
          <w:p w:rsidR="00D92D97" w:rsidRDefault="00D92D97" w:rsidP="0073298C">
            <w:pPr>
              <w:spacing w:before="22" w:after="22"/>
              <w:ind w:left="22" w:right="22"/>
              <w:rPr>
                <w:color w:val="000000"/>
              </w:rPr>
            </w:pPr>
            <w:r>
              <w:rPr>
                <w:color w:val="000000"/>
              </w:rPr>
              <w:t> </w:t>
            </w:r>
          </w:p>
        </w:tc>
        <w:tc>
          <w:tcPr>
            <w:tcW w:w="1244" w:type="dxa"/>
            <w:tcBorders>
              <w:top w:val="nil"/>
              <w:left w:val="nil"/>
              <w:bottom w:val="nil"/>
              <w:right w:val="single" w:sz="6" w:space="0" w:color="00467E"/>
            </w:tcBorders>
            <w:vAlign w:val="center"/>
          </w:tcPr>
          <w:p w:rsidR="00D92D97" w:rsidRDefault="00D92D97" w:rsidP="0073298C">
            <w:pPr>
              <w:spacing w:before="22" w:after="22"/>
              <w:ind w:left="22" w:right="22"/>
              <w:jc w:val="center"/>
              <w:rPr>
                <w:rFonts w:ascii="Arial" w:hAnsi="Arial" w:cs="Arial"/>
                <w:color w:val="000000"/>
                <w:sz w:val="16"/>
                <w:szCs w:val="16"/>
              </w:rPr>
            </w:pPr>
            <w:r>
              <w:rPr>
                <w:rFonts w:ascii="Arial" w:hAnsi="Arial" w:cs="Arial"/>
                <w:color w:val="000000"/>
                <w:sz w:val="16"/>
                <w:szCs w:val="16"/>
              </w:rPr>
              <w:t>2</w:t>
            </w:r>
          </w:p>
        </w:tc>
      </w:tr>
      <w:tr w:rsidR="00D92D97" w:rsidTr="00D92D97">
        <w:tblPrEx>
          <w:tblCellMar>
            <w:top w:w="0" w:type="dxa"/>
            <w:left w:w="0" w:type="dxa"/>
            <w:bottom w:w="0" w:type="dxa"/>
            <w:right w:w="0" w:type="dxa"/>
          </w:tblCellMar>
        </w:tblPrEx>
        <w:trPr>
          <w:trHeight w:val="281"/>
        </w:trPr>
        <w:tc>
          <w:tcPr>
            <w:tcW w:w="1058" w:type="dxa"/>
            <w:tcBorders>
              <w:top w:val="nil"/>
              <w:left w:val="single" w:sz="6" w:space="0" w:color="00467E"/>
              <w:bottom w:val="nil"/>
              <w:right w:val="nil"/>
            </w:tcBorders>
            <w:shd w:val="clear" w:color="CFD4D8" w:fill="CFD4D8"/>
            <w:vAlign w:val="center"/>
          </w:tcPr>
          <w:p w:rsidR="00D92D97" w:rsidRDefault="00D92D97" w:rsidP="0073298C">
            <w:pPr>
              <w:spacing w:before="22" w:after="22"/>
              <w:ind w:left="22" w:right="22"/>
              <w:rPr>
                <w:rFonts w:ascii="Arial" w:hAnsi="Arial" w:cs="Arial"/>
                <w:b/>
                <w:bCs w:val="0"/>
                <w:i/>
                <w:iCs/>
                <w:color w:val="9D1B11"/>
                <w:sz w:val="16"/>
                <w:szCs w:val="16"/>
              </w:rPr>
            </w:pPr>
            <w:r>
              <w:rPr>
                <w:rFonts w:ascii="Arial" w:hAnsi="Arial" w:cs="Arial"/>
                <w:b/>
                <w:bCs w:val="0"/>
                <w:i/>
                <w:iCs/>
                <w:color w:val="9D1B11"/>
                <w:sz w:val="16"/>
                <w:szCs w:val="16"/>
              </w:rPr>
              <w:t>Florida</w:t>
            </w:r>
          </w:p>
        </w:tc>
        <w:tc>
          <w:tcPr>
            <w:tcW w:w="104" w:type="dxa"/>
            <w:tcBorders>
              <w:top w:val="nil"/>
              <w:left w:val="nil"/>
              <w:bottom w:val="nil"/>
              <w:right w:val="nil"/>
            </w:tcBorders>
            <w:shd w:val="clear" w:color="00467E" w:fill="00467E"/>
            <w:vAlign w:val="bottom"/>
          </w:tcPr>
          <w:p w:rsidR="00D92D97" w:rsidRDefault="00D92D97" w:rsidP="0073298C">
            <w:pPr>
              <w:spacing w:before="22" w:after="22"/>
              <w:ind w:left="22" w:right="22"/>
              <w:rPr>
                <w:color w:val="000000"/>
              </w:rPr>
            </w:pPr>
            <w:r>
              <w:rPr>
                <w:color w:val="000000"/>
              </w:rPr>
              <w:t> </w:t>
            </w:r>
          </w:p>
        </w:tc>
        <w:tc>
          <w:tcPr>
            <w:tcW w:w="834" w:type="dxa"/>
            <w:tcBorders>
              <w:top w:val="nil"/>
              <w:left w:val="nil"/>
              <w:bottom w:val="nil"/>
              <w:right w:val="nil"/>
            </w:tcBorders>
            <w:shd w:val="clear" w:color="CFD4D8" w:fill="CFD4D8"/>
            <w:vAlign w:val="center"/>
          </w:tcPr>
          <w:p w:rsidR="00D92D97" w:rsidRDefault="00D92D97" w:rsidP="0073298C">
            <w:pPr>
              <w:spacing w:before="22" w:after="22"/>
              <w:ind w:left="22" w:right="22"/>
              <w:jc w:val="center"/>
              <w:rPr>
                <w:rFonts w:ascii="Arial" w:hAnsi="Arial" w:cs="Arial"/>
                <w:color w:val="000000"/>
                <w:sz w:val="16"/>
                <w:szCs w:val="16"/>
              </w:rPr>
            </w:pPr>
            <w:r>
              <w:rPr>
                <w:rFonts w:ascii="Arial" w:hAnsi="Arial" w:cs="Arial"/>
                <w:color w:val="000000"/>
                <w:sz w:val="16"/>
                <w:szCs w:val="16"/>
              </w:rPr>
              <w:t>2</w:t>
            </w:r>
          </w:p>
        </w:tc>
        <w:tc>
          <w:tcPr>
            <w:tcW w:w="336" w:type="dxa"/>
            <w:tcBorders>
              <w:top w:val="nil"/>
              <w:left w:val="nil"/>
              <w:bottom w:val="nil"/>
              <w:right w:val="nil"/>
            </w:tcBorders>
            <w:shd w:val="clear" w:color="CFD4D8" w:fill="CFD4D8"/>
            <w:vAlign w:val="bottom"/>
          </w:tcPr>
          <w:p w:rsidR="00D92D97" w:rsidRDefault="00D92D97" w:rsidP="0073298C">
            <w:pPr>
              <w:spacing w:before="22" w:after="22"/>
              <w:ind w:left="22" w:right="22"/>
              <w:rPr>
                <w:color w:val="000000"/>
              </w:rPr>
            </w:pPr>
            <w:r>
              <w:rPr>
                <w:color w:val="000000"/>
              </w:rPr>
              <w:t> </w:t>
            </w:r>
          </w:p>
        </w:tc>
        <w:tc>
          <w:tcPr>
            <w:tcW w:w="837" w:type="dxa"/>
            <w:tcBorders>
              <w:top w:val="nil"/>
              <w:left w:val="nil"/>
              <w:bottom w:val="nil"/>
              <w:right w:val="nil"/>
            </w:tcBorders>
            <w:shd w:val="clear" w:color="CFD4D8" w:fill="CFD4D8"/>
            <w:vAlign w:val="center"/>
          </w:tcPr>
          <w:p w:rsidR="00D92D97" w:rsidRDefault="00D92D97" w:rsidP="0073298C">
            <w:pPr>
              <w:spacing w:before="22" w:after="22"/>
              <w:ind w:left="22" w:right="22"/>
              <w:jc w:val="center"/>
              <w:rPr>
                <w:rFonts w:ascii="Arial" w:hAnsi="Arial" w:cs="Arial"/>
                <w:color w:val="000000"/>
                <w:sz w:val="16"/>
                <w:szCs w:val="16"/>
              </w:rPr>
            </w:pPr>
            <w:r>
              <w:rPr>
                <w:rFonts w:ascii="Arial" w:hAnsi="Arial" w:cs="Arial"/>
                <w:color w:val="000000"/>
                <w:sz w:val="16"/>
                <w:szCs w:val="16"/>
              </w:rPr>
              <w:t>1</w:t>
            </w:r>
          </w:p>
        </w:tc>
        <w:tc>
          <w:tcPr>
            <w:tcW w:w="104" w:type="dxa"/>
            <w:tcBorders>
              <w:top w:val="nil"/>
              <w:left w:val="nil"/>
              <w:bottom w:val="nil"/>
              <w:right w:val="nil"/>
            </w:tcBorders>
            <w:shd w:val="clear" w:color="00467E" w:fill="00467E"/>
            <w:vAlign w:val="bottom"/>
          </w:tcPr>
          <w:p w:rsidR="00D92D97" w:rsidRDefault="00D92D97" w:rsidP="0073298C">
            <w:pPr>
              <w:spacing w:before="22" w:after="22"/>
              <w:ind w:left="22" w:right="22"/>
              <w:rPr>
                <w:color w:val="000000"/>
              </w:rPr>
            </w:pPr>
            <w:r>
              <w:rPr>
                <w:color w:val="000000"/>
              </w:rPr>
              <w:t> </w:t>
            </w:r>
          </w:p>
        </w:tc>
        <w:tc>
          <w:tcPr>
            <w:tcW w:w="1241" w:type="dxa"/>
            <w:tcBorders>
              <w:top w:val="nil"/>
              <w:left w:val="nil"/>
              <w:bottom w:val="nil"/>
              <w:right w:val="nil"/>
            </w:tcBorders>
            <w:shd w:val="clear" w:color="CFD4D8" w:fill="CFD4D8"/>
            <w:vAlign w:val="center"/>
          </w:tcPr>
          <w:p w:rsidR="00D92D97" w:rsidRDefault="00D92D97" w:rsidP="0073298C">
            <w:pPr>
              <w:spacing w:before="22" w:after="22"/>
              <w:ind w:left="22" w:right="22"/>
              <w:jc w:val="center"/>
              <w:rPr>
                <w:rFonts w:ascii="Arial" w:hAnsi="Arial" w:cs="Arial"/>
                <w:color w:val="000000"/>
                <w:sz w:val="16"/>
                <w:szCs w:val="16"/>
              </w:rPr>
            </w:pPr>
            <w:r>
              <w:rPr>
                <w:rFonts w:ascii="Arial" w:hAnsi="Arial" w:cs="Arial"/>
                <w:color w:val="000000"/>
                <w:sz w:val="16"/>
                <w:szCs w:val="16"/>
              </w:rPr>
              <w:t>1</w:t>
            </w:r>
          </w:p>
        </w:tc>
        <w:tc>
          <w:tcPr>
            <w:tcW w:w="104" w:type="dxa"/>
            <w:tcBorders>
              <w:top w:val="nil"/>
              <w:left w:val="nil"/>
              <w:bottom w:val="nil"/>
              <w:right w:val="nil"/>
            </w:tcBorders>
            <w:shd w:val="clear" w:color="CFD4D8" w:fill="CFD4D8"/>
            <w:vAlign w:val="bottom"/>
          </w:tcPr>
          <w:p w:rsidR="00D92D97" w:rsidRDefault="00D92D97" w:rsidP="0073298C">
            <w:pPr>
              <w:spacing w:before="22" w:after="22"/>
              <w:ind w:left="22" w:right="22"/>
              <w:rPr>
                <w:color w:val="000000"/>
              </w:rPr>
            </w:pPr>
            <w:r>
              <w:rPr>
                <w:color w:val="000000"/>
              </w:rPr>
              <w:t> </w:t>
            </w:r>
          </w:p>
        </w:tc>
        <w:tc>
          <w:tcPr>
            <w:tcW w:w="1236" w:type="dxa"/>
            <w:tcBorders>
              <w:top w:val="nil"/>
              <w:left w:val="nil"/>
              <w:bottom w:val="nil"/>
              <w:right w:val="nil"/>
            </w:tcBorders>
            <w:shd w:val="clear" w:color="CFD4D8" w:fill="CFD4D8"/>
            <w:vAlign w:val="center"/>
          </w:tcPr>
          <w:p w:rsidR="00D92D97" w:rsidRDefault="00D92D97" w:rsidP="0073298C">
            <w:pPr>
              <w:spacing w:before="22" w:after="22"/>
              <w:ind w:left="22" w:right="22"/>
              <w:jc w:val="center"/>
              <w:rPr>
                <w:rFonts w:ascii="Arial" w:hAnsi="Arial" w:cs="Arial"/>
                <w:color w:val="000000"/>
                <w:sz w:val="16"/>
                <w:szCs w:val="16"/>
              </w:rPr>
            </w:pPr>
            <w:r>
              <w:rPr>
                <w:rFonts w:ascii="Arial" w:hAnsi="Arial" w:cs="Arial"/>
                <w:color w:val="000000"/>
                <w:sz w:val="16"/>
                <w:szCs w:val="16"/>
              </w:rPr>
              <w:t>1</w:t>
            </w:r>
          </w:p>
        </w:tc>
        <w:tc>
          <w:tcPr>
            <w:tcW w:w="104" w:type="dxa"/>
            <w:tcBorders>
              <w:top w:val="nil"/>
              <w:left w:val="nil"/>
              <w:bottom w:val="nil"/>
              <w:right w:val="nil"/>
            </w:tcBorders>
            <w:shd w:val="clear" w:color="CFD4D8" w:fill="CFD4D8"/>
            <w:vAlign w:val="bottom"/>
          </w:tcPr>
          <w:p w:rsidR="00D92D97" w:rsidRDefault="00D92D97" w:rsidP="0073298C">
            <w:pPr>
              <w:spacing w:before="22" w:after="22"/>
              <w:ind w:left="22" w:right="22"/>
              <w:rPr>
                <w:color w:val="000000"/>
              </w:rPr>
            </w:pPr>
            <w:r>
              <w:rPr>
                <w:color w:val="000000"/>
              </w:rPr>
              <w:t> </w:t>
            </w:r>
          </w:p>
        </w:tc>
        <w:tc>
          <w:tcPr>
            <w:tcW w:w="1240" w:type="dxa"/>
            <w:tcBorders>
              <w:top w:val="nil"/>
              <w:left w:val="nil"/>
              <w:bottom w:val="nil"/>
              <w:right w:val="nil"/>
            </w:tcBorders>
            <w:shd w:val="clear" w:color="CFD4D8" w:fill="CFD4D8"/>
            <w:vAlign w:val="center"/>
          </w:tcPr>
          <w:p w:rsidR="00D92D97" w:rsidRDefault="00D92D97" w:rsidP="0073298C">
            <w:pPr>
              <w:spacing w:before="22" w:after="22"/>
              <w:ind w:left="22" w:right="22"/>
              <w:jc w:val="center"/>
              <w:rPr>
                <w:rFonts w:ascii="Arial" w:hAnsi="Arial" w:cs="Arial"/>
                <w:color w:val="000000"/>
                <w:sz w:val="16"/>
                <w:szCs w:val="16"/>
              </w:rPr>
            </w:pPr>
            <w:r>
              <w:rPr>
                <w:rFonts w:ascii="Arial" w:hAnsi="Arial" w:cs="Arial"/>
                <w:color w:val="000000"/>
                <w:sz w:val="16"/>
                <w:szCs w:val="16"/>
              </w:rPr>
              <w:t>1</w:t>
            </w:r>
          </w:p>
        </w:tc>
        <w:tc>
          <w:tcPr>
            <w:tcW w:w="104" w:type="dxa"/>
            <w:tcBorders>
              <w:top w:val="nil"/>
              <w:left w:val="nil"/>
              <w:bottom w:val="nil"/>
              <w:right w:val="nil"/>
            </w:tcBorders>
            <w:shd w:val="clear" w:color="CFD4D8" w:fill="CFD4D8"/>
            <w:vAlign w:val="bottom"/>
          </w:tcPr>
          <w:p w:rsidR="00D92D97" w:rsidRDefault="00D92D97" w:rsidP="0073298C">
            <w:pPr>
              <w:spacing w:before="22" w:after="22"/>
              <w:ind w:left="22" w:right="22"/>
              <w:rPr>
                <w:color w:val="000000"/>
              </w:rPr>
            </w:pPr>
            <w:r>
              <w:rPr>
                <w:color w:val="000000"/>
              </w:rPr>
              <w:t> </w:t>
            </w:r>
          </w:p>
        </w:tc>
        <w:tc>
          <w:tcPr>
            <w:tcW w:w="1244" w:type="dxa"/>
            <w:tcBorders>
              <w:top w:val="nil"/>
              <w:left w:val="nil"/>
              <w:bottom w:val="nil"/>
              <w:right w:val="nil"/>
            </w:tcBorders>
            <w:shd w:val="clear" w:color="CFD4D8" w:fill="CFD4D8"/>
            <w:vAlign w:val="center"/>
          </w:tcPr>
          <w:p w:rsidR="00D92D97" w:rsidRDefault="00D92D97" w:rsidP="0073298C">
            <w:pPr>
              <w:spacing w:before="22" w:after="22"/>
              <w:ind w:left="22" w:right="22"/>
              <w:rPr>
                <w:color w:val="000000"/>
              </w:rPr>
            </w:pPr>
          </w:p>
          <w:p w:rsidR="00D92D97" w:rsidRDefault="00D92D97" w:rsidP="0073298C">
            <w:pPr>
              <w:rPr>
                <w:sz w:val="16"/>
                <w:szCs w:val="16"/>
              </w:rPr>
            </w:pPr>
            <w:r>
              <w:rPr>
                <w:sz w:val="16"/>
                <w:szCs w:val="16"/>
              </w:rPr>
              <w:t> </w:t>
            </w:r>
          </w:p>
        </w:tc>
        <w:tc>
          <w:tcPr>
            <w:tcW w:w="104" w:type="dxa"/>
            <w:tcBorders>
              <w:top w:val="nil"/>
              <w:left w:val="nil"/>
              <w:bottom w:val="nil"/>
              <w:right w:val="nil"/>
            </w:tcBorders>
            <w:shd w:val="clear" w:color="00467E" w:fill="00467E"/>
            <w:vAlign w:val="bottom"/>
          </w:tcPr>
          <w:p w:rsidR="00D92D97" w:rsidRDefault="00D92D97" w:rsidP="0073298C">
            <w:pPr>
              <w:spacing w:before="22" w:after="22"/>
              <w:ind w:left="22" w:right="22"/>
              <w:rPr>
                <w:color w:val="000000"/>
              </w:rPr>
            </w:pPr>
            <w:r>
              <w:rPr>
                <w:color w:val="000000"/>
              </w:rPr>
              <w:t> </w:t>
            </w:r>
          </w:p>
        </w:tc>
        <w:tc>
          <w:tcPr>
            <w:tcW w:w="1244" w:type="dxa"/>
            <w:tcBorders>
              <w:top w:val="nil"/>
              <w:left w:val="nil"/>
              <w:bottom w:val="nil"/>
              <w:right w:val="single" w:sz="6" w:space="0" w:color="00467E"/>
            </w:tcBorders>
            <w:shd w:val="clear" w:color="CFD4D8" w:fill="CFD4D8"/>
            <w:vAlign w:val="center"/>
          </w:tcPr>
          <w:p w:rsidR="00D92D97" w:rsidRDefault="00D92D97" w:rsidP="0073298C">
            <w:pPr>
              <w:spacing w:before="22" w:after="22"/>
              <w:ind w:left="22" w:right="22"/>
              <w:jc w:val="center"/>
              <w:rPr>
                <w:rFonts w:ascii="Arial" w:hAnsi="Arial" w:cs="Arial"/>
                <w:color w:val="000000"/>
                <w:sz w:val="16"/>
                <w:szCs w:val="16"/>
              </w:rPr>
            </w:pPr>
            <w:r>
              <w:rPr>
                <w:rFonts w:ascii="Arial" w:hAnsi="Arial" w:cs="Arial"/>
                <w:color w:val="000000"/>
                <w:sz w:val="16"/>
                <w:szCs w:val="16"/>
              </w:rPr>
              <w:t>3</w:t>
            </w:r>
          </w:p>
        </w:tc>
      </w:tr>
      <w:tr w:rsidR="00D92D97" w:rsidTr="00D92D97">
        <w:tblPrEx>
          <w:tblCellMar>
            <w:top w:w="0" w:type="dxa"/>
            <w:left w:w="0" w:type="dxa"/>
            <w:bottom w:w="0" w:type="dxa"/>
            <w:right w:w="0" w:type="dxa"/>
          </w:tblCellMar>
        </w:tblPrEx>
        <w:trPr>
          <w:trHeight w:val="281"/>
        </w:trPr>
        <w:tc>
          <w:tcPr>
            <w:tcW w:w="1058" w:type="dxa"/>
            <w:tcBorders>
              <w:top w:val="nil"/>
              <w:left w:val="single" w:sz="6" w:space="0" w:color="00467E"/>
              <w:bottom w:val="nil"/>
              <w:right w:val="nil"/>
            </w:tcBorders>
            <w:vAlign w:val="center"/>
          </w:tcPr>
          <w:p w:rsidR="00D92D97" w:rsidRDefault="00D92D97" w:rsidP="0073298C">
            <w:pPr>
              <w:spacing w:before="22" w:after="22"/>
              <w:ind w:left="22" w:right="22"/>
              <w:rPr>
                <w:rFonts w:ascii="Arial" w:hAnsi="Arial" w:cs="Arial"/>
                <w:b/>
                <w:bCs w:val="0"/>
                <w:i/>
                <w:iCs/>
                <w:color w:val="9D1B11"/>
                <w:sz w:val="16"/>
                <w:szCs w:val="16"/>
              </w:rPr>
            </w:pPr>
            <w:r>
              <w:rPr>
                <w:rFonts w:ascii="Arial" w:hAnsi="Arial" w:cs="Arial"/>
                <w:b/>
                <w:bCs w:val="0"/>
                <w:i/>
                <w:iCs/>
                <w:color w:val="9D1B11"/>
                <w:sz w:val="16"/>
                <w:szCs w:val="16"/>
              </w:rPr>
              <w:t>Georgia</w:t>
            </w:r>
          </w:p>
        </w:tc>
        <w:tc>
          <w:tcPr>
            <w:tcW w:w="104" w:type="dxa"/>
            <w:tcBorders>
              <w:top w:val="nil"/>
              <w:left w:val="nil"/>
              <w:bottom w:val="nil"/>
              <w:right w:val="nil"/>
            </w:tcBorders>
            <w:shd w:val="clear" w:color="00467E" w:fill="00467E"/>
            <w:vAlign w:val="bottom"/>
          </w:tcPr>
          <w:p w:rsidR="00D92D97" w:rsidRDefault="00D92D97" w:rsidP="0073298C">
            <w:pPr>
              <w:spacing w:before="22" w:after="22"/>
              <w:ind w:left="22" w:right="22"/>
              <w:rPr>
                <w:color w:val="000000"/>
              </w:rPr>
            </w:pPr>
            <w:r>
              <w:rPr>
                <w:color w:val="000000"/>
              </w:rPr>
              <w:t> </w:t>
            </w:r>
          </w:p>
        </w:tc>
        <w:tc>
          <w:tcPr>
            <w:tcW w:w="834" w:type="dxa"/>
            <w:tcBorders>
              <w:top w:val="nil"/>
              <w:left w:val="nil"/>
              <w:bottom w:val="nil"/>
              <w:right w:val="nil"/>
            </w:tcBorders>
            <w:vAlign w:val="center"/>
          </w:tcPr>
          <w:p w:rsidR="00D92D97" w:rsidRDefault="00D92D97" w:rsidP="0073298C">
            <w:pPr>
              <w:spacing w:before="22" w:after="22"/>
              <w:ind w:left="22" w:right="22"/>
              <w:jc w:val="center"/>
              <w:rPr>
                <w:rFonts w:ascii="Arial" w:hAnsi="Arial" w:cs="Arial"/>
                <w:color w:val="000000"/>
                <w:sz w:val="16"/>
                <w:szCs w:val="16"/>
              </w:rPr>
            </w:pPr>
            <w:r>
              <w:rPr>
                <w:rFonts w:ascii="Arial" w:hAnsi="Arial" w:cs="Arial"/>
                <w:color w:val="000000"/>
                <w:sz w:val="16"/>
                <w:szCs w:val="16"/>
              </w:rPr>
              <w:t>2</w:t>
            </w:r>
          </w:p>
        </w:tc>
        <w:tc>
          <w:tcPr>
            <w:tcW w:w="336" w:type="dxa"/>
            <w:tcBorders>
              <w:top w:val="nil"/>
              <w:left w:val="nil"/>
              <w:bottom w:val="nil"/>
              <w:right w:val="nil"/>
            </w:tcBorders>
            <w:vAlign w:val="bottom"/>
          </w:tcPr>
          <w:p w:rsidR="00D92D97" w:rsidRDefault="00D92D97" w:rsidP="0073298C">
            <w:pPr>
              <w:spacing w:before="22" w:after="22"/>
              <w:ind w:left="22" w:right="22"/>
              <w:rPr>
                <w:color w:val="000000"/>
              </w:rPr>
            </w:pPr>
            <w:r>
              <w:rPr>
                <w:color w:val="000000"/>
              </w:rPr>
              <w:t> </w:t>
            </w:r>
          </w:p>
        </w:tc>
        <w:tc>
          <w:tcPr>
            <w:tcW w:w="837" w:type="dxa"/>
            <w:tcBorders>
              <w:top w:val="nil"/>
              <w:left w:val="nil"/>
              <w:bottom w:val="nil"/>
              <w:right w:val="nil"/>
            </w:tcBorders>
            <w:vAlign w:val="center"/>
          </w:tcPr>
          <w:p w:rsidR="00D92D97" w:rsidRDefault="00D92D97" w:rsidP="0073298C">
            <w:pPr>
              <w:spacing w:before="22" w:after="22"/>
              <w:ind w:left="22" w:right="22"/>
              <w:jc w:val="center"/>
              <w:rPr>
                <w:rFonts w:ascii="Arial" w:hAnsi="Arial" w:cs="Arial"/>
                <w:color w:val="000000"/>
                <w:sz w:val="16"/>
                <w:szCs w:val="16"/>
              </w:rPr>
            </w:pPr>
            <w:r>
              <w:rPr>
                <w:rFonts w:ascii="Arial" w:hAnsi="Arial" w:cs="Arial"/>
                <w:color w:val="000000"/>
                <w:sz w:val="16"/>
                <w:szCs w:val="16"/>
              </w:rPr>
              <w:t>1</w:t>
            </w:r>
          </w:p>
        </w:tc>
        <w:tc>
          <w:tcPr>
            <w:tcW w:w="104" w:type="dxa"/>
            <w:tcBorders>
              <w:top w:val="nil"/>
              <w:left w:val="nil"/>
              <w:bottom w:val="nil"/>
              <w:right w:val="nil"/>
            </w:tcBorders>
            <w:shd w:val="clear" w:color="00467E" w:fill="00467E"/>
            <w:vAlign w:val="bottom"/>
          </w:tcPr>
          <w:p w:rsidR="00D92D97" w:rsidRDefault="00D92D97" w:rsidP="0073298C">
            <w:pPr>
              <w:spacing w:before="22" w:after="22"/>
              <w:ind w:left="22" w:right="22"/>
              <w:rPr>
                <w:color w:val="000000"/>
              </w:rPr>
            </w:pPr>
            <w:r>
              <w:rPr>
                <w:color w:val="000000"/>
              </w:rPr>
              <w:t> </w:t>
            </w:r>
          </w:p>
        </w:tc>
        <w:tc>
          <w:tcPr>
            <w:tcW w:w="1241" w:type="dxa"/>
            <w:tcBorders>
              <w:top w:val="nil"/>
              <w:left w:val="nil"/>
              <w:bottom w:val="nil"/>
              <w:right w:val="nil"/>
            </w:tcBorders>
            <w:vAlign w:val="center"/>
          </w:tcPr>
          <w:p w:rsidR="00D92D97" w:rsidRDefault="00D92D97" w:rsidP="0073298C">
            <w:pPr>
              <w:spacing w:before="22" w:after="22"/>
              <w:ind w:left="22" w:right="22"/>
              <w:jc w:val="center"/>
              <w:rPr>
                <w:rFonts w:ascii="Arial" w:hAnsi="Arial" w:cs="Arial"/>
                <w:color w:val="000000"/>
                <w:sz w:val="16"/>
                <w:szCs w:val="16"/>
              </w:rPr>
            </w:pPr>
            <w:r>
              <w:rPr>
                <w:rFonts w:ascii="Arial" w:hAnsi="Arial" w:cs="Arial"/>
                <w:color w:val="000000"/>
                <w:sz w:val="16"/>
                <w:szCs w:val="16"/>
              </w:rPr>
              <w:t>1</w:t>
            </w:r>
          </w:p>
        </w:tc>
        <w:tc>
          <w:tcPr>
            <w:tcW w:w="104" w:type="dxa"/>
            <w:tcBorders>
              <w:top w:val="nil"/>
              <w:left w:val="nil"/>
              <w:bottom w:val="nil"/>
              <w:right w:val="nil"/>
            </w:tcBorders>
            <w:vAlign w:val="bottom"/>
          </w:tcPr>
          <w:p w:rsidR="00D92D97" w:rsidRDefault="00D92D97" w:rsidP="0073298C">
            <w:pPr>
              <w:spacing w:before="22" w:after="22"/>
              <w:ind w:left="22" w:right="22"/>
              <w:rPr>
                <w:color w:val="000000"/>
              </w:rPr>
            </w:pPr>
            <w:r>
              <w:rPr>
                <w:color w:val="000000"/>
              </w:rPr>
              <w:t> </w:t>
            </w:r>
          </w:p>
        </w:tc>
        <w:tc>
          <w:tcPr>
            <w:tcW w:w="1236" w:type="dxa"/>
            <w:tcBorders>
              <w:top w:val="nil"/>
              <w:left w:val="nil"/>
              <w:bottom w:val="nil"/>
              <w:right w:val="nil"/>
            </w:tcBorders>
            <w:vAlign w:val="center"/>
          </w:tcPr>
          <w:p w:rsidR="00D92D97" w:rsidRDefault="00D92D97" w:rsidP="0073298C">
            <w:pPr>
              <w:spacing w:before="22" w:after="22"/>
              <w:ind w:left="22" w:right="22"/>
              <w:jc w:val="center"/>
              <w:rPr>
                <w:rFonts w:ascii="Arial" w:hAnsi="Arial" w:cs="Arial"/>
                <w:color w:val="000000"/>
                <w:sz w:val="16"/>
                <w:szCs w:val="16"/>
              </w:rPr>
            </w:pPr>
            <w:r>
              <w:rPr>
                <w:rFonts w:ascii="Arial" w:hAnsi="Arial" w:cs="Arial"/>
                <w:color w:val="000000"/>
                <w:sz w:val="16"/>
                <w:szCs w:val="16"/>
              </w:rPr>
              <w:t>2</w:t>
            </w:r>
          </w:p>
        </w:tc>
        <w:tc>
          <w:tcPr>
            <w:tcW w:w="104" w:type="dxa"/>
            <w:tcBorders>
              <w:top w:val="nil"/>
              <w:left w:val="nil"/>
              <w:bottom w:val="nil"/>
              <w:right w:val="nil"/>
            </w:tcBorders>
            <w:vAlign w:val="bottom"/>
          </w:tcPr>
          <w:p w:rsidR="00D92D97" w:rsidRDefault="00D92D97" w:rsidP="0073298C">
            <w:pPr>
              <w:spacing w:before="22" w:after="22"/>
              <w:ind w:left="22" w:right="22"/>
              <w:rPr>
                <w:color w:val="000000"/>
              </w:rPr>
            </w:pPr>
            <w:r>
              <w:rPr>
                <w:color w:val="000000"/>
              </w:rPr>
              <w:t> </w:t>
            </w:r>
          </w:p>
        </w:tc>
        <w:tc>
          <w:tcPr>
            <w:tcW w:w="1240" w:type="dxa"/>
            <w:tcBorders>
              <w:top w:val="nil"/>
              <w:left w:val="nil"/>
              <w:bottom w:val="nil"/>
              <w:right w:val="nil"/>
            </w:tcBorders>
            <w:vAlign w:val="center"/>
          </w:tcPr>
          <w:p w:rsidR="00D92D97" w:rsidRDefault="00D92D97" w:rsidP="0073298C">
            <w:pPr>
              <w:spacing w:before="22" w:after="22"/>
              <w:ind w:left="22" w:right="22"/>
              <w:rPr>
                <w:color w:val="000000"/>
              </w:rPr>
            </w:pPr>
          </w:p>
          <w:p w:rsidR="00D92D97" w:rsidRDefault="00D92D97" w:rsidP="0073298C">
            <w:pPr>
              <w:rPr>
                <w:sz w:val="16"/>
                <w:szCs w:val="16"/>
              </w:rPr>
            </w:pPr>
            <w:r>
              <w:rPr>
                <w:sz w:val="16"/>
                <w:szCs w:val="16"/>
              </w:rPr>
              <w:t> </w:t>
            </w:r>
          </w:p>
        </w:tc>
        <w:tc>
          <w:tcPr>
            <w:tcW w:w="104" w:type="dxa"/>
            <w:tcBorders>
              <w:top w:val="nil"/>
              <w:left w:val="nil"/>
              <w:bottom w:val="nil"/>
              <w:right w:val="nil"/>
            </w:tcBorders>
            <w:vAlign w:val="bottom"/>
          </w:tcPr>
          <w:p w:rsidR="00D92D97" w:rsidRDefault="00D92D97" w:rsidP="0073298C">
            <w:pPr>
              <w:spacing w:before="22" w:after="22"/>
              <w:ind w:left="22" w:right="22"/>
              <w:rPr>
                <w:color w:val="000000"/>
              </w:rPr>
            </w:pPr>
            <w:r>
              <w:rPr>
                <w:color w:val="000000"/>
              </w:rPr>
              <w:t> </w:t>
            </w:r>
          </w:p>
        </w:tc>
        <w:tc>
          <w:tcPr>
            <w:tcW w:w="1244" w:type="dxa"/>
            <w:tcBorders>
              <w:top w:val="nil"/>
              <w:left w:val="nil"/>
              <w:bottom w:val="nil"/>
              <w:right w:val="nil"/>
            </w:tcBorders>
            <w:vAlign w:val="center"/>
          </w:tcPr>
          <w:p w:rsidR="00D92D97" w:rsidRDefault="00D92D97" w:rsidP="0073298C">
            <w:pPr>
              <w:spacing w:before="22" w:after="22"/>
              <w:ind w:left="22" w:right="22"/>
              <w:rPr>
                <w:color w:val="000000"/>
              </w:rPr>
            </w:pPr>
          </w:p>
          <w:p w:rsidR="00D92D97" w:rsidRDefault="00D92D97" w:rsidP="0073298C">
            <w:pPr>
              <w:rPr>
                <w:sz w:val="16"/>
                <w:szCs w:val="16"/>
              </w:rPr>
            </w:pPr>
            <w:r>
              <w:rPr>
                <w:sz w:val="16"/>
                <w:szCs w:val="16"/>
              </w:rPr>
              <w:t> </w:t>
            </w:r>
          </w:p>
        </w:tc>
        <w:tc>
          <w:tcPr>
            <w:tcW w:w="104" w:type="dxa"/>
            <w:tcBorders>
              <w:top w:val="nil"/>
              <w:left w:val="nil"/>
              <w:bottom w:val="nil"/>
              <w:right w:val="nil"/>
            </w:tcBorders>
            <w:shd w:val="clear" w:color="00467E" w:fill="00467E"/>
            <w:vAlign w:val="bottom"/>
          </w:tcPr>
          <w:p w:rsidR="00D92D97" w:rsidRDefault="00D92D97" w:rsidP="0073298C">
            <w:pPr>
              <w:spacing w:before="22" w:after="22"/>
              <w:ind w:left="22" w:right="22"/>
              <w:rPr>
                <w:color w:val="000000"/>
              </w:rPr>
            </w:pPr>
            <w:r>
              <w:rPr>
                <w:color w:val="000000"/>
              </w:rPr>
              <w:t> </w:t>
            </w:r>
          </w:p>
        </w:tc>
        <w:tc>
          <w:tcPr>
            <w:tcW w:w="1244" w:type="dxa"/>
            <w:tcBorders>
              <w:top w:val="nil"/>
              <w:left w:val="nil"/>
              <w:bottom w:val="nil"/>
              <w:right w:val="single" w:sz="6" w:space="0" w:color="00467E"/>
            </w:tcBorders>
            <w:vAlign w:val="center"/>
          </w:tcPr>
          <w:p w:rsidR="00D92D97" w:rsidRDefault="00D92D97" w:rsidP="0073298C">
            <w:pPr>
              <w:spacing w:before="22" w:after="22"/>
              <w:ind w:left="22" w:right="22"/>
              <w:jc w:val="center"/>
              <w:rPr>
                <w:rFonts w:ascii="Arial" w:hAnsi="Arial" w:cs="Arial"/>
                <w:color w:val="000000"/>
                <w:sz w:val="16"/>
                <w:szCs w:val="16"/>
              </w:rPr>
            </w:pPr>
            <w:r>
              <w:rPr>
                <w:rFonts w:ascii="Arial" w:hAnsi="Arial" w:cs="Arial"/>
                <w:color w:val="000000"/>
                <w:sz w:val="16"/>
                <w:szCs w:val="16"/>
              </w:rPr>
              <w:t>3</w:t>
            </w:r>
          </w:p>
        </w:tc>
      </w:tr>
      <w:tr w:rsidR="00D92D97" w:rsidTr="00D92D97">
        <w:tblPrEx>
          <w:tblCellMar>
            <w:top w:w="0" w:type="dxa"/>
            <w:left w:w="0" w:type="dxa"/>
            <w:bottom w:w="0" w:type="dxa"/>
            <w:right w:w="0" w:type="dxa"/>
          </w:tblCellMar>
        </w:tblPrEx>
        <w:trPr>
          <w:trHeight w:val="281"/>
        </w:trPr>
        <w:tc>
          <w:tcPr>
            <w:tcW w:w="1058" w:type="dxa"/>
            <w:tcBorders>
              <w:top w:val="nil"/>
              <w:left w:val="single" w:sz="6" w:space="0" w:color="00467E"/>
              <w:bottom w:val="nil"/>
              <w:right w:val="nil"/>
            </w:tcBorders>
            <w:shd w:val="clear" w:color="CFD4D8" w:fill="CFD4D8"/>
            <w:vAlign w:val="center"/>
          </w:tcPr>
          <w:p w:rsidR="00D92D97" w:rsidRDefault="00D92D97" w:rsidP="0073298C">
            <w:pPr>
              <w:spacing w:before="22" w:after="22"/>
              <w:ind w:left="22" w:right="22"/>
              <w:rPr>
                <w:rFonts w:ascii="Arial" w:hAnsi="Arial" w:cs="Arial"/>
                <w:b/>
                <w:bCs w:val="0"/>
                <w:i/>
                <w:iCs/>
                <w:color w:val="9D1B11"/>
                <w:sz w:val="16"/>
                <w:szCs w:val="16"/>
              </w:rPr>
            </w:pPr>
            <w:r>
              <w:rPr>
                <w:rFonts w:ascii="Arial" w:hAnsi="Arial" w:cs="Arial"/>
                <w:b/>
                <w:bCs w:val="0"/>
                <w:i/>
                <w:iCs/>
                <w:color w:val="9D1B11"/>
                <w:sz w:val="16"/>
                <w:szCs w:val="16"/>
              </w:rPr>
              <w:t>Idaho</w:t>
            </w:r>
          </w:p>
        </w:tc>
        <w:tc>
          <w:tcPr>
            <w:tcW w:w="104" w:type="dxa"/>
            <w:tcBorders>
              <w:top w:val="nil"/>
              <w:left w:val="nil"/>
              <w:bottom w:val="nil"/>
              <w:right w:val="nil"/>
            </w:tcBorders>
            <w:shd w:val="clear" w:color="00467E" w:fill="00467E"/>
            <w:vAlign w:val="bottom"/>
          </w:tcPr>
          <w:p w:rsidR="00D92D97" w:rsidRDefault="00D92D97" w:rsidP="0073298C">
            <w:pPr>
              <w:spacing w:before="22" w:after="22"/>
              <w:ind w:left="22" w:right="22"/>
              <w:rPr>
                <w:color w:val="000000"/>
              </w:rPr>
            </w:pPr>
            <w:r>
              <w:rPr>
                <w:color w:val="000000"/>
              </w:rPr>
              <w:t> </w:t>
            </w:r>
          </w:p>
        </w:tc>
        <w:tc>
          <w:tcPr>
            <w:tcW w:w="834" w:type="dxa"/>
            <w:tcBorders>
              <w:top w:val="nil"/>
              <w:left w:val="nil"/>
              <w:bottom w:val="nil"/>
              <w:right w:val="nil"/>
            </w:tcBorders>
            <w:shd w:val="clear" w:color="CFD4D8" w:fill="CFD4D8"/>
            <w:vAlign w:val="center"/>
          </w:tcPr>
          <w:p w:rsidR="00D92D97" w:rsidRDefault="00D92D97" w:rsidP="0073298C">
            <w:pPr>
              <w:spacing w:before="22" w:after="22"/>
              <w:ind w:left="22" w:right="22"/>
              <w:jc w:val="center"/>
              <w:rPr>
                <w:rFonts w:ascii="Arial" w:hAnsi="Arial" w:cs="Arial"/>
                <w:color w:val="000000"/>
                <w:sz w:val="16"/>
                <w:szCs w:val="16"/>
              </w:rPr>
            </w:pPr>
            <w:r>
              <w:rPr>
                <w:rFonts w:ascii="Arial" w:hAnsi="Arial" w:cs="Arial"/>
                <w:color w:val="000000"/>
                <w:sz w:val="16"/>
                <w:szCs w:val="16"/>
              </w:rPr>
              <w:t>1</w:t>
            </w:r>
          </w:p>
        </w:tc>
        <w:tc>
          <w:tcPr>
            <w:tcW w:w="336" w:type="dxa"/>
            <w:tcBorders>
              <w:top w:val="nil"/>
              <w:left w:val="nil"/>
              <w:bottom w:val="nil"/>
              <w:right w:val="nil"/>
            </w:tcBorders>
            <w:shd w:val="clear" w:color="CFD4D8" w:fill="CFD4D8"/>
            <w:vAlign w:val="bottom"/>
          </w:tcPr>
          <w:p w:rsidR="00D92D97" w:rsidRDefault="00D92D97" w:rsidP="0073298C">
            <w:pPr>
              <w:spacing w:before="22" w:after="22"/>
              <w:ind w:left="22" w:right="22"/>
              <w:rPr>
                <w:color w:val="000000"/>
              </w:rPr>
            </w:pPr>
            <w:r>
              <w:rPr>
                <w:color w:val="000000"/>
              </w:rPr>
              <w:t> </w:t>
            </w:r>
          </w:p>
        </w:tc>
        <w:tc>
          <w:tcPr>
            <w:tcW w:w="837" w:type="dxa"/>
            <w:tcBorders>
              <w:top w:val="nil"/>
              <w:left w:val="nil"/>
              <w:bottom w:val="nil"/>
              <w:right w:val="nil"/>
            </w:tcBorders>
            <w:shd w:val="clear" w:color="CFD4D8" w:fill="CFD4D8"/>
            <w:vAlign w:val="center"/>
          </w:tcPr>
          <w:p w:rsidR="00D92D97" w:rsidRDefault="00D92D97" w:rsidP="0073298C">
            <w:pPr>
              <w:spacing w:before="22" w:after="22"/>
              <w:ind w:left="22" w:right="22"/>
              <w:jc w:val="center"/>
              <w:rPr>
                <w:rFonts w:ascii="Arial" w:hAnsi="Arial" w:cs="Arial"/>
                <w:color w:val="000000"/>
                <w:sz w:val="16"/>
                <w:szCs w:val="16"/>
              </w:rPr>
            </w:pPr>
            <w:r>
              <w:rPr>
                <w:rFonts w:ascii="Arial" w:hAnsi="Arial" w:cs="Arial"/>
                <w:color w:val="000000"/>
                <w:sz w:val="16"/>
                <w:szCs w:val="16"/>
              </w:rPr>
              <w:t>2</w:t>
            </w:r>
          </w:p>
        </w:tc>
        <w:tc>
          <w:tcPr>
            <w:tcW w:w="104" w:type="dxa"/>
            <w:tcBorders>
              <w:top w:val="nil"/>
              <w:left w:val="nil"/>
              <w:bottom w:val="nil"/>
              <w:right w:val="nil"/>
            </w:tcBorders>
            <w:shd w:val="clear" w:color="00467E" w:fill="00467E"/>
            <w:vAlign w:val="bottom"/>
          </w:tcPr>
          <w:p w:rsidR="00D92D97" w:rsidRDefault="00D92D97" w:rsidP="0073298C">
            <w:pPr>
              <w:spacing w:before="22" w:after="22"/>
              <w:ind w:left="22" w:right="22"/>
              <w:rPr>
                <w:color w:val="000000"/>
              </w:rPr>
            </w:pPr>
            <w:r>
              <w:rPr>
                <w:color w:val="000000"/>
              </w:rPr>
              <w:t> </w:t>
            </w:r>
          </w:p>
        </w:tc>
        <w:tc>
          <w:tcPr>
            <w:tcW w:w="1241" w:type="dxa"/>
            <w:tcBorders>
              <w:top w:val="nil"/>
              <w:left w:val="nil"/>
              <w:bottom w:val="nil"/>
              <w:right w:val="nil"/>
            </w:tcBorders>
            <w:shd w:val="clear" w:color="CFD4D8" w:fill="CFD4D8"/>
            <w:vAlign w:val="center"/>
          </w:tcPr>
          <w:p w:rsidR="00D92D97" w:rsidRDefault="00D92D97" w:rsidP="0073298C">
            <w:pPr>
              <w:spacing w:before="22" w:after="22"/>
              <w:ind w:left="22" w:right="22"/>
              <w:jc w:val="center"/>
              <w:rPr>
                <w:rFonts w:ascii="Arial" w:hAnsi="Arial" w:cs="Arial"/>
                <w:color w:val="000000"/>
                <w:sz w:val="16"/>
                <w:szCs w:val="16"/>
              </w:rPr>
            </w:pPr>
            <w:r>
              <w:rPr>
                <w:rFonts w:ascii="Arial" w:hAnsi="Arial" w:cs="Arial"/>
                <w:color w:val="000000"/>
                <w:sz w:val="16"/>
                <w:szCs w:val="16"/>
              </w:rPr>
              <w:t>2</w:t>
            </w:r>
          </w:p>
        </w:tc>
        <w:tc>
          <w:tcPr>
            <w:tcW w:w="104" w:type="dxa"/>
            <w:tcBorders>
              <w:top w:val="nil"/>
              <w:left w:val="nil"/>
              <w:bottom w:val="nil"/>
              <w:right w:val="nil"/>
            </w:tcBorders>
            <w:shd w:val="clear" w:color="CFD4D8" w:fill="CFD4D8"/>
            <w:vAlign w:val="bottom"/>
          </w:tcPr>
          <w:p w:rsidR="00D92D97" w:rsidRDefault="00D92D97" w:rsidP="0073298C">
            <w:pPr>
              <w:spacing w:before="22" w:after="22"/>
              <w:ind w:left="22" w:right="22"/>
              <w:rPr>
                <w:color w:val="000000"/>
              </w:rPr>
            </w:pPr>
            <w:r>
              <w:rPr>
                <w:color w:val="000000"/>
              </w:rPr>
              <w:t> </w:t>
            </w:r>
          </w:p>
        </w:tc>
        <w:tc>
          <w:tcPr>
            <w:tcW w:w="1236" w:type="dxa"/>
            <w:tcBorders>
              <w:top w:val="nil"/>
              <w:left w:val="nil"/>
              <w:bottom w:val="nil"/>
              <w:right w:val="nil"/>
            </w:tcBorders>
            <w:shd w:val="clear" w:color="CFD4D8" w:fill="CFD4D8"/>
            <w:vAlign w:val="center"/>
          </w:tcPr>
          <w:p w:rsidR="00D92D97" w:rsidRDefault="00D92D97" w:rsidP="0073298C">
            <w:pPr>
              <w:spacing w:before="22" w:after="22"/>
              <w:ind w:left="22" w:right="22"/>
              <w:jc w:val="center"/>
              <w:rPr>
                <w:rFonts w:ascii="Arial" w:hAnsi="Arial" w:cs="Arial"/>
                <w:color w:val="000000"/>
                <w:sz w:val="16"/>
                <w:szCs w:val="16"/>
              </w:rPr>
            </w:pPr>
            <w:r>
              <w:rPr>
                <w:rFonts w:ascii="Arial" w:hAnsi="Arial" w:cs="Arial"/>
                <w:color w:val="000000"/>
                <w:sz w:val="16"/>
                <w:szCs w:val="16"/>
              </w:rPr>
              <w:t>1</w:t>
            </w:r>
          </w:p>
        </w:tc>
        <w:tc>
          <w:tcPr>
            <w:tcW w:w="104" w:type="dxa"/>
            <w:tcBorders>
              <w:top w:val="nil"/>
              <w:left w:val="nil"/>
              <w:bottom w:val="nil"/>
              <w:right w:val="nil"/>
            </w:tcBorders>
            <w:shd w:val="clear" w:color="CFD4D8" w:fill="CFD4D8"/>
            <w:vAlign w:val="bottom"/>
          </w:tcPr>
          <w:p w:rsidR="00D92D97" w:rsidRDefault="00D92D97" w:rsidP="0073298C">
            <w:pPr>
              <w:spacing w:before="22" w:after="22"/>
              <w:ind w:left="22" w:right="22"/>
              <w:rPr>
                <w:color w:val="000000"/>
              </w:rPr>
            </w:pPr>
            <w:r>
              <w:rPr>
                <w:color w:val="000000"/>
              </w:rPr>
              <w:t> </w:t>
            </w:r>
          </w:p>
        </w:tc>
        <w:tc>
          <w:tcPr>
            <w:tcW w:w="1240" w:type="dxa"/>
            <w:tcBorders>
              <w:top w:val="nil"/>
              <w:left w:val="nil"/>
              <w:bottom w:val="nil"/>
              <w:right w:val="nil"/>
            </w:tcBorders>
            <w:shd w:val="clear" w:color="CFD4D8" w:fill="CFD4D8"/>
            <w:vAlign w:val="center"/>
          </w:tcPr>
          <w:p w:rsidR="00D92D97" w:rsidRDefault="00D92D97" w:rsidP="0073298C">
            <w:pPr>
              <w:spacing w:before="22" w:after="22"/>
              <w:ind w:left="22" w:right="22"/>
              <w:rPr>
                <w:color w:val="000000"/>
              </w:rPr>
            </w:pPr>
          </w:p>
          <w:p w:rsidR="00D92D97" w:rsidRDefault="00D92D97" w:rsidP="0073298C">
            <w:pPr>
              <w:rPr>
                <w:sz w:val="16"/>
                <w:szCs w:val="16"/>
              </w:rPr>
            </w:pPr>
            <w:r>
              <w:rPr>
                <w:sz w:val="16"/>
                <w:szCs w:val="16"/>
              </w:rPr>
              <w:t> </w:t>
            </w:r>
          </w:p>
        </w:tc>
        <w:tc>
          <w:tcPr>
            <w:tcW w:w="104" w:type="dxa"/>
            <w:tcBorders>
              <w:top w:val="nil"/>
              <w:left w:val="nil"/>
              <w:bottom w:val="nil"/>
              <w:right w:val="nil"/>
            </w:tcBorders>
            <w:shd w:val="clear" w:color="CFD4D8" w:fill="CFD4D8"/>
            <w:vAlign w:val="bottom"/>
          </w:tcPr>
          <w:p w:rsidR="00D92D97" w:rsidRDefault="00D92D97" w:rsidP="0073298C">
            <w:pPr>
              <w:spacing w:before="22" w:after="22"/>
              <w:ind w:left="22" w:right="22"/>
              <w:rPr>
                <w:color w:val="000000"/>
              </w:rPr>
            </w:pPr>
            <w:r>
              <w:rPr>
                <w:color w:val="000000"/>
              </w:rPr>
              <w:t> </w:t>
            </w:r>
          </w:p>
        </w:tc>
        <w:tc>
          <w:tcPr>
            <w:tcW w:w="1244" w:type="dxa"/>
            <w:tcBorders>
              <w:top w:val="nil"/>
              <w:left w:val="nil"/>
              <w:bottom w:val="nil"/>
              <w:right w:val="nil"/>
            </w:tcBorders>
            <w:shd w:val="clear" w:color="CFD4D8" w:fill="CFD4D8"/>
            <w:vAlign w:val="center"/>
          </w:tcPr>
          <w:p w:rsidR="00D92D97" w:rsidRDefault="00D92D97" w:rsidP="0073298C">
            <w:pPr>
              <w:spacing w:before="22" w:after="22"/>
              <w:ind w:left="22" w:right="22"/>
              <w:rPr>
                <w:color w:val="000000"/>
              </w:rPr>
            </w:pPr>
          </w:p>
          <w:p w:rsidR="00D92D97" w:rsidRDefault="00D92D97" w:rsidP="0073298C">
            <w:pPr>
              <w:rPr>
                <w:sz w:val="16"/>
                <w:szCs w:val="16"/>
              </w:rPr>
            </w:pPr>
            <w:r>
              <w:rPr>
                <w:sz w:val="16"/>
                <w:szCs w:val="16"/>
              </w:rPr>
              <w:t> </w:t>
            </w:r>
          </w:p>
        </w:tc>
        <w:tc>
          <w:tcPr>
            <w:tcW w:w="104" w:type="dxa"/>
            <w:tcBorders>
              <w:top w:val="nil"/>
              <w:left w:val="nil"/>
              <w:bottom w:val="nil"/>
              <w:right w:val="nil"/>
            </w:tcBorders>
            <w:shd w:val="clear" w:color="00467E" w:fill="00467E"/>
            <w:vAlign w:val="bottom"/>
          </w:tcPr>
          <w:p w:rsidR="00D92D97" w:rsidRDefault="00D92D97" w:rsidP="0073298C">
            <w:pPr>
              <w:spacing w:before="22" w:after="22"/>
              <w:ind w:left="22" w:right="22"/>
              <w:rPr>
                <w:color w:val="000000"/>
              </w:rPr>
            </w:pPr>
            <w:r>
              <w:rPr>
                <w:color w:val="000000"/>
              </w:rPr>
              <w:t> </w:t>
            </w:r>
          </w:p>
        </w:tc>
        <w:tc>
          <w:tcPr>
            <w:tcW w:w="1244" w:type="dxa"/>
            <w:tcBorders>
              <w:top w:val="nil"/>
              <w:left w:val="nil"/>
              <w:bottom w:val="nil"/>
              <w:right w:val="single" w:sz="6" w:space="0" w:color="00467E"/>
            </w:tcBorders>
            <w:shd w:val="clear" w:color="CFD4D8" w:fill="CFD4D8"/>
            <w:vAlign w:val="center"/>
          </w:tcPr>
          <w:p w:rsidR="00D92D97" w:rsidRDefault="00D92D97" w:rsidP="0073298C">
            <w:pPr>
              <w:spacing w:before="22" w:after="22"/>
              <w:ind w:left="22" w:right="22"/>
              <w:jc w:val="center"/>
              <w:rPr>
                <w:rFonts w:ascii="Arial" w:hAnsi="Arial" w:cs="Arial"/>
                <w:color w:val="000000"/>
                <w:sz w:val="16"/>
                <w:szCs w:val="16"/>
              </w:rPr>
            </w:pPr>
            <w:r>
              <w:rPr>
                <w:rFonts w:ascii="Arial" w:hAnsi="Arial" w:cs="Arial"/>
                <w:color w:val="000000"/>
                <w:sz w:val="16"/>
                <w:szCs w:val="16"/>
              </w:rPr>
              <w:t>3</w:t>
            </w:r>
          </w:p>
        </w:tc>
      </w:tr>
      <w:tr w:rsidR="00D92D97" w:rsidTr="00D92D97">
        <w:tblPrEx>
          <w:tblCellMar>
            <w:top w:w="0" w:type="dxa"/>
            <w:left w:w="0" w:type="dxa"/>
            <w:bottom w:w="0" w:type="dxa"/>
            <w:right w:w="0" w:type="dxa"/>
          </w:tblCellMar>
        </w:tblPrEx>
        <w:trPr>
          <w:trHeight w:val="281"/>
        </w:trPr>
        <w:tc>
          <w:tcPr>
            <w:tcW w:w="1058" w:type="dxa"/>
            <w:tcBorders>
              <w:top w:val="nil"/>
              <w:left w:val="single" w:sz="6" w:space="0" w:color="00467E"/>
              <w:bottom w:val="nil"/>
              <w:right w:val="nil"/>
            </w:tcBorders>
            <w:vAlign w:val="center"/>
          </w:tcPr>
          <w:p w:rsidR="00D92D97" w:rsidRDefault="00D92D97" w:rsidP="0073298C">
            <w:pPr>
              <w:spacing w:before="22" w:after="22"/>
              <w:ind w:left="198" w:right="22" w:hanging="198"/>
              <w:rPr>
                <w:rFonts w:ascii="Arial" w:hAnsi="Arial" w:cs="Arial"/>
                <w:b/>
                <w:bCs w:val="0"/>
                <w:i/>
                <w:iCs/>
                <w:color w:val="9D1B11"/>
                <w:sz w:val="16"/>
                <w:szCs w:val="16"/>
              </w:rPr>
            </w:pPr>
            <w:r>
              <w:rPr>
                <w:rFonts w:ascii="Arial" w:hAnsi="Arial" w:cs="Arial"/>
                <w:b/>
                <w:bCs w:val="0"/>
                <w:i/>
                <w:iCs/>
                <w:color w:val="9D1B11"/>
                <w:sz w:val="16"/>
                <w:szCs w:val="16"/>
              </w:rPr>
              <w:t>Illinois</w:t>
            </w:r>
          </w:p>
        </w:tc>
        <w:tc>
          <w:tcPr>
            <w:tcW w:w="104" w:type="dxa"/>
            <w:tcBorders>
              <w:top w:val="nil"/>
              <w:left w:val="nil"/>
              <w:bottom w:val="nil"/>
              <w:right w:val="nil"/>
            </w:tcBorders>
            <w:shd w:val="clear" w:color="00467E" w:fill="00467E"/>
            <w:vAlign w:val="bottom"/>
          </w:tcPr>
          <w:p w:rsidR="00D92D97" w:rsidRDefault="00D92D97" w:rsidP="0073298C">
            <w:pPr>
              <w:spacing w:before="22" w:after="22"/>
              <w:ind w:left="22" w:right="22"/>
              <w:rPr>
                <w:color w:val="000000"/>
              </w:rPr>
            </w:pPr>
            <w:r>
              <w:rPr>
                <w:color w:val="000000"/>
              </w:rPr>
              <w:t> </w:t>
            </w:r>
          </w:p>
        </w:tc>
        <w:tc>
          <w:tcPr>
            <w:tcW w:w="834" w:type="dxa"/>
            <w:tcBorders>
              <w:top w:val="nil"/>
              <w:left w:val="nil"/>
              <w:bottom w:val="nil"/>
              <w:right w:val="nil"/>
            </w:tcBorders>
            <w:vAlign w:val="center"/>
          </w:tcPr>
          <w:p w:rsidR="00D92D97" w:rsidRDefault="00D92D97" w:rsidP="0073298C">
            <w:pPr>
              <w:spacing w:before="22" w:after="22"/>
              <w:ind w:left="22" w:right="22"/>
              <w:jc w:val="center"/>
              <w:rPr>
                <w:rFonts w:ascii="Arial" w:hAnsi="Arial" w:cs="Arial"/>
                <w:color w:val="000000"/>
                <w:sz w:val="16"/>
                <w:szCs w:val="16"/>
              </w:rPr>
            </w:pPr>
            <w:r>
              <w:rPr>
                <w:rFonts w:ascii="Arial" w:hAnsi="Arial" w:cs="Arial"/>
                <w:color w:val="000000"/>
                <w:sz w:val="16"/>
                <w:szCs w:val="16"/>
              </w:rPr>
              <w:t>2</w:t>
            </w:r>
          </w:p>
        </w:tc>
        <w:tc>
          <w:tcPr>
            <w:tcW w:w="336" w:type="dxa"/>
            <w:tcBorders>
              <w:top w:val="nil"/>
              <w:left w:val="nil"/>
              <w:bottom w:val="nil"/>
              <w:right w:val="nil"/>
            </w:tcBorders>
            <w:vAlign w:val="bottom"/>
          </w:tcPr>
          <w:p w:rsidR="00D92D97" w:rsidRDefault="00D92D97" w:rsidP="0073298C">
            <w:pPr>
              <w:spacing w:before="22" w:after="22"/>
              <w:ind w:left="22" w:right="22"/>
              <w:rPr>
                <w:color w:val="000000"/>
              </w:rPr>
            </w:pPr>
            <w:r>
              <w:rPr>
                <w:color w:val="000000"/>
              </w:rPr>
              <w:t> </w:t>
            </w:r>
          </w:p>
        </w:tc>
        <w:tc>
          <w:tcPr>
            <w:tcW w:w="837" w:type="dxa"/>
            <w:tcBorders>
              <w:top w:val="nil"/>
              <w:left w:val="nil"/>
              <w:bottom w:val="nil"/>
              <w:right w:val="nil"/>
            </w:tcBorders>
            <w:vAlign w:val="center"/>
          </w:tcPr>
          <w:p w:rsidR="00D92D97" w:rsidRDefault="00D92D97" w:rsidP="0073298C">
            <w:pPr>
              <w:spacing w:before="22" w:after="22"/>
              <w:ind w:left="22" w:right="22"/>
              <w:jc w:val="center"/>
              <w:rPr>
                <w:rFonts w:ascii="Arial" w:hAnsi="Arial" w:cs="Arial"/>
                <w:color w:val="000000"/>
                <w:sz w:val="16"/>
                <w:szCs w:val="16"/>
              </w:rPr>
            </w:pPr>
            <w:r>
              <w:rPr>
                <w:rFonts w:ascii="Arial" w:hAnsi="Arial" w:cs="Arial"/>
                <w:color w:val="000000"/>
                <w:sz w:val="16"/>
                <w:szCs w:val="16"/>
              </w:rPr>
              <w:t>1</w:t>
            </w:r>
          </w:p>
        </w:tc>
        <w:tc>
          <w:tcPr>
            <w:tcW w:w="104" w:type="dxa"/>
            <w:tcBorders>
              <w:top w:val="nil"/>
              <w:left w:val="nil"/>
              <w:bottom w:val="nil"/>
              <w:right w:val="nil"/>
            </w:tcBorders>
            <w:shd w:val="clear" w:color="00467E" w:fill="00467E"/>
            <w:vAlign w:val="bottom"/>
          </w:tcPr>
          <w:p w:rsidR="00D92D97" w:rsidRDefault="00D92D97" w:rsidP="0073298C">
            <w:pPr>
              <w:spacing w:before="22" w:after="22"/>
              <w:ind w:left="22" w:right="22"/>
              <w:rPr>
                <w:color w:val="000000"/>
              </w:rPr>
            </w:pPr>
            <w:r>
              <w:rPr>
                <w:color w:val="000000"/>
              </w:rPr>
              <w:t> </w:t>
            </w:r>
          </w:p>
        </w:tc>
        <w:tc>
          <w:tcPr>
            <w:tcW w:w="1241" w:type="dxa"/>
            <w:tcBorders>
              <w:top w:val="nil"/>
              <w:left w:val="nil"/>
              <w:bottom w:val="nil"/>
              <w:right w:val="nil"/>
            </w:tcBorders>
            <w:vAlign w:val="center"/>
          </w:tcPr>
          <w:p w:rsidR="00D92D97" w:rsidRDefault="00D92D97" w:rsidP="0073298C">
            <w:pPr>
              <w:spacing w:before="22" w:after="22"/>
              <w:ind w:left="22" w:right="22"/>
              <w:rPr>
                <w:color w:val="000000"/>
              </w:rPr>
            </w:pPr>
          </w:p>
          <w:p w:rsidR="00D92D97" w:rsidRDefault="00D92D97" w:rsidP="0073298C">
            <w:pPr>
              <w:rPr>
                <w:sz w:val="16"/>
                <w:szCs w:val="16"/>
              </w:rPr>
            </w:pPr>
            <w:r>
              <w:rPr>
                <w:sz w:val="16"/>
                <w:szCs w:val="16"/>
              </w:rPr>
              <w:t> </w:t>
            </w:r>
          </w:p>
        </w:tc>
        <w:tc>
          <w:tcPr>
            <w:tcW w:w="104" w:type="dxa"/>
            <w:tcBorders>
              <w:top w:val="nil"/>
              <w:left w:val="nil"/>
              <w:bottom w:val="nil"/>
              <w:right w:val="nil"/>
            </w:tcBorders>
            <w:vAlign w:val="bottom"/>
          </w:tcPr>
          <w:p w:rsidR="00D92D97" w:rsidRDefault="00D92D97" w:rsidP="0073298C">
            <w:pPr>
              <w:spacing w:before="22" w:after="22"/>
              <w:ind w:left="22" w:right="22"/>
              <w:rPr>
                <w:color w:val="000000"/>
              </w:rPr>
            </w:pPr>
            <w:r>
              <w:rPr>
                <w:color w:val="000000"/>
              </w:rPr>
              <w:t> </w:t>
            </w:r>
          </w:p>
        </w:tc>
        <w:tc>
          <w:tcPr>
            <w:tcW w:w="1236" w:type="dxa"/>
            <w:tcBorders>
              <w:top w:val="nil"/>
              <w:left w:val="nil"/>
              <w:bottom w:val="nil"/>
              <w:right w:val="nil"/>
            </w:tcBorders>
            <w:vAlign w:val="center"/>
          </w:tcPr>
          <w:p w:rsidR="00D92D97" w:rsidRDefault="00D92D97" w:rsidP="0073298C">
            <w:pPr>
              <w:spacing w:before="22" w:after="22"/>
              <w:ind w:left="22" w:right="22"/>
              <w:jc w:val="center"/>
              <w:rPr>
                <w:rFonts w:ascii="Arial" w:hAnsi="Arial" w:cs="Arial"/>
                <w:color w:val="000000"/>
                <w:sz w:val="16"/>
                <w:szCs w:val="16"/>
              </w:rPr>
            </w:pPr>
            <w:r>
              <w:rPr>
                <w:rFonts w:ascii="Arial" w:hAnsi="Arial" w:cs="Arial"/>
                <w:color w:val="000000"/>
                <w:sz w:val="16"/>
                <w:szCs w:val="16"/>
              </w:rPr>
              <w:t>3</w:t>
            </w:r>
          </w:p>
        </w:tc>
        <w:tc>
          <w:tcPr>
            <w:tcW w:w="104" w:type="dxa"/>
            <w:tcBorders>
              <w:top w:val="nil"/>
              <w:left w:val="nil"/>
              <w:bottom w:val="nil"/>
              <w:right w:val="nil"/>
            </w:tcBorders>
            <w:vAlign w:val="bottom"/>
          </w:tcPr>
          <w:p w:rsidR="00D92D97" w:rsidRDefault="00D92D97" w:rsidP="0073298C">
            <w:pPr>
              <w:spacing w:before="22" w:after="22"/>
              <w:ind w:left="22" w:right="22"/>
              <w:rPr>
                <w:color w:val="000000"/>
              </w:rPr>
            </w:pPr>
            <w:r>
              <w:rPr>
                <w:color w:val="000000"/>
              </w:rPr>
              <w:t> </w:t>
            </w:r>
          </w:p>
        </w:tc>
        <w:tc>
          <w:tcPr>
            <w:tcW w:w="1240" w:type="dxa"/>
            <w:tcBorders>
              <w:top w:val="nil"/>
              <w:left w:val="nil"/>
              <w:bottom w:val="nil"/>
              <w:right w:val="nil"/>
            </w:tcBorders>
            <w:vAlign w:val="center"/>
          </w:tcPr>
          <w:p w:rsidR="00D92D97" w:rsidRDefault="00D92D97" w:rsidP="0073298C">
            <w:pPr>
              <w:spacing w:before="22" w:after="22"/>
              <w:ind w:left="22" w:right="22"/>
              <w:rPr>
                <w:color w:val="000000"/>
              </w:rPr>
            </w:pPr>
          </w:p>
          <w:p w:rsidR="00D92D97" w:rsidRDefault="00D92D97" w:rsidP="0073298C">
            <w:pPr>
              <w:rPr>
                <w:sz w:val="16"/>
                <w:szCs w:val="16"/>
              </w:rPr>
            </w:pPr>
            <w:r>
              <w:rPr>
                <w:sz w:val="16"/>
                <w:szCs w:val="16"/>
              </w:rPr>
              <w:t> </w:t>
            </w:r>
          </w:p>
        </w:tc>
        <w:tc>
          <w:tcPr>
            <w:tcW w:w="104" w:type="dxa"/>
            <w:tcBorders>
              <w:top w:val="nil"/>
              <w:left w:val="nil"/>
              <w:bottom w:val="nil"/>
              <w:right w:val="nil"/>
            </w:tcBorders>
            <w:vAlign w:val="bottom"/>
          </w:tcPr>
          <w:p w:rsidR="00D92D97" w:rsidRDefault="00D92D97" w:rsidP="0073298C">
            <w:pPr>
              <w:spacing w:before="22" w:after="22"/>
              <w:ind w:left="22" w:right="22"/>
              <w:rPr>
                <w:color w:val="000000"/>
              </w:rPr>
            </w:pPr>
            <w:r>
              <w:rPr>
                <w:color w:val="000000"/>
              </w:rPr>
              <w:t> </w:t>
            </w:r>
          </w:p>
        </w:tc>
        <w:tc>
          <w:tcPr>
            <w:tcW w:w="1244" w:type="dxa"/>
            <w:tcBorders>
              <w:top w:val="nil"/>
              <w:left w:val="nil"/>
              <w:bottom w:val="nil"/>
              <w:right w:val="nil"/>
            </w:tcBorders>
            <w:vAlign w:val="center"/>
          </w:tcPr>
          <w:p w:rsidR="00D92D97" w:rsidRDefault="00D92D97" w:rsidP="0073298C">
            <w:pPr>
              <w:spacing w:before="22" w:after="22"/>
              <w:ind w:left="22" w:right="22"/>
              <w:rPr>
                <w:color w:val="000000"/>
              </w:rPr>
            </w:pPr>
          </w:p>
          <w:p w:rsidR="00D92D97" w:rsidRDefault="00D92D97" w:rsidP="0073298C">
            <w:pPr>
              <w:rPr>
                <w:sz w:val="16"/>
                <w:szCs w:val="16"/>
              </w:rPr>
            </w:pPr>
            <w:r>
              <w:rPr>
                <w:sz w:val="16"/>
                <w:szCs w:val="16"/>
              </w:rPr>
              <w:t> </w:t>
            </w:r>
          </w:p>
        </w:tc>
        <w:tc>
          <w:tcPr>
            <w:tcW w:w="104" w:type="dxa"/>
            <w:tcBorders>
              <w:top w:val="nil"/>
              <w:left w:val="nil"/>
              <w:bottom w:val="nil"/>
              <w:right w:val="nil"/>
            </w:tcBorders>
            <w:shd w:val="clear" w:color="00467E" w:fill="00467E"/>
            <w:vAlign w:val="bottom"/>
          </w:tcPr>
          <w:p w:rsidR="00D92D97" w:rsidRDefault="00D92D97" w:rsidP="0073298C">
            <w:pPr>
              <w:spacing w:before="22" w:after="22"/>
              <w:ind w:left="22" w:right="22"/>
              <w:rPr>
                <w:color w:val="000000"/>
              </w:rPr>
            </w:pPr>
            <w:r>
              <w:rPr>
                <w:color w:val="000000"/>
              </w:rPr>
              <w:t> </w:t>
            </w:r>
          </w:p>
        </w:tc>
        <w:tc>
          <w:tcPr>
            <w:tcW w:w="1244" w:type="dxa"/>
            <w:tcBorders>
              <w:top w:val="nil"/>
              <w:left w:val="nil"/>
              <w:bottom w:val="nil"/>
              <w:right w:val="single" w:sz="6" w:space="0" w:color="00467E"/>
            </w:tcBorders>
            <w:vAlign w:val="center"/>
          </w:tcPr>
          <w:p w:rsidR="00D92D97" w:rsidRDefault="00D92D97" w:rsidP="0073298C">
            <w:pPr>
              <w:spacing w:before="22" w:after="22"/>
              <w:ind w:left="22" w:right="22"/>
              <w:jc w:val="center"/>
              <w:rPr>
                <w:rFonts w:ascii="Arial" w:hAnsi="Arial" w:cs="Arial"/>
                <w:color w:val="000000"/>
                <w:sz w:val="16"/>
                <w:szCs w:val="16"/>
              </w:rPr>
            </w:pPr>
            <w:r>
              <w:rPr>
                <w:rFonts w:ascii="Arial" w:hAnsi="Arial" w:cs="Arial"/>
                <w:color w:val="000000"/>
                <w:sz w:val="16"/>
                <w:szCs w:val="16"/>
              </w:rPr>
              <w:t>3</w:t>
            </w:r>
          </w:p>
        </w:tc>
      </w:tr>
      <w:tr w:rsidR="00D92D97" w:rsidTr="00D92D97">
        <w:tblPrEx>
          <w:tblCellMar>
            <w:top w:w="0" w:type="dxa"/>
            <w:left w:w="0" w:type="dxa"/>
            <w:bottom w:w="0" w:type="dxa"/>
            <w:right w:w="0" w:type="dxa"/>
          </w:tblCellMar>
        </w:tblPrEx>
        <w:trPr>
          <w:trHeight w:val="281"/>
        </w:trPr>
        <w:tc>
          <w:tcPr>
            <w:tcW w:w="1058" w:type="dxa"/>
            <w:tcBorders>
              <w:top w:val="nil"/>
              <w:left w:val="single" w:sz="6" w:space="0" w:color="00467E"/>
              <w:bottom w:val="nil"/>
              <w:right w:val="nil"/>
            </w:tcBorders>
            <w:shd w:val="clear" w:color="CFD4D8" w:fill="CFD4D8"/>
            <w:vAlign w:val="center"/>
          </w:tcPr>
          <w:p w:rsidR="00D92D97" w:rsidRDefault="00D92D97" w:rsidP="0073298C">
            <w:pPr>
              <w:spacing w:before="22" w:after="22"/>
              <w:ind w:left="198" w:right="22" w:hanging="198"/>
              <w:rPr>
                <w:rFonts w:ascii="Arial" w:hAnsi="Arial" w:cs="Arial"/>
                <w:b/>
                <w:bCs w:val="0"/>
                <w:i/>
                <w:iCs/>
                <w:color w:val="9D1B11"/>
                <w:sz w:val="16"/>
                <w:szCs w:val="16"/>
              </w:rPr>
            </w:pPr>
            <w:r>
              <w:rPr>
                <w:rFonts w:ascii="Arial" w:hAnsi="Arial" w:cs="Arial"/>
                <w:b/>
                <w:bCs w:val="0"/>
                <w:i/>
                <w:iCs/>
                <w:color w:val="9D1B11"/>
                <w:sz w:val="16"/>
                <w:szCs w:val="16"/>
              </w:rPr>
              <w:t>Indiana</w:t>
            </w:r>
          </w:p>
        </w:tc>
        <w:tc>
          <w:tcPr>
            <w:tcW w:w="104" w:type="dxa"/>
            <w:tcBorders>
              <w:top w:val="nil"/>
              <w:left w:val="nil"/>
              <w:bottom w:val="nil"/>
              <w:right w:val="nil"/>
            </w:tcBorders>
            <w:shd w:val="clear" w:color="00467E" w:fill="00467E"/>
            <w:vAlign w:val="bottom"/>
          </w:tcPr>
          <w:p w:rsidR="00D92D97" w:rsidRDefault="00D92D97" w:rsidP="0073298C">
            <w:pPr>
              <w:spacing w:before="22" w:after="22"/>
              <w:ind w:left="22" w:right="22"/>
              <w:rPr>
                <w:color w:val="000000"/>
              </w:rPr>
            </w:pPr>
            <w:r>
              <w:rPr>
                <w:color w:val="000000"/>
              </w:rPr>
              <w:t> </w:t>
            </w:r>
          </w:p>
        </w:tc>
        <w:tc>
          <w:tcPr>
            <w:tcW w:w="834" w:type="dxa"/>
            <w:tcBorders>
              <w:top w:val="nil"/>
              <w:left w:val="nil"/>
              <w:bottom w:val="nil"/>
              <w:right w:val="nil"/>
            </w:tcBorders>
            <w:shd w:val="clear" w:color="CFD4D8" w:fill="CFD4D8"/>
            <w:vAlign w:val="center"/>
          </w:tcPr>
          <w:p w:rsidR="00D92D97" w:rsidRDefault="00D92D97" w:rsidP="0073298C">
            <w:pPr>
              <w:spacing w:before="22" w:after="22"/>
              <w:ind w:left="22" w:right="22"/>
              <w:jc w:val="center"/>
              <w:rPr>
                <w:rFonts w:ascii="Arial" w:hAnsi="Arial" w:cs="Arial"/>
                <w:color w:val="000000"/>
                <w:sz w:val="16"/>
                <w:szCs w:val="16"/>
              </w:rPr>
            </w:pPr>
            <w:r>
              <w:rPr>
                <w:rFonts w:ascii="Arial" w:hAnsi="Arial" w:cs="Arial"/>
                <w:color w:val="000000"/>
                <w:sz w:val="16"/>
                <w:szCs w:val="16"/>
              </w:rPr>
              <w:t>2</w:t>
            </w:r>
          </w:p>
        </w:tc>
        <w:tc>
          <w:tcPr>
            <w:tcW w:w="336" w:type="dxa"/>
            <w:tcBorders>
              <w:top w:val="nil"/>
              <w:left w:val="nil"/>
              <w:bottom w:val="nil"/>
              <w:right w:val="nil"/>
            </w:tcBorders>
            <w:shd w:val="clear" w:color="CFD4D8" w:fill="CFD4D8"/>
            <w:vAlign w:val="bottom"/>
          </w:tcPr>
          <w:p w:rsidR="00D92D97" w:rsidRDefault="00D92D97" w:rsidP="0073298C">
            <w:pPr>
              <w:spacing w:before="22" w:after="22"/>
              <w:ind w:left="22" w:right="22"/>
              <w:rPr>
                <w:color w:val="000000"/>
              </w:rPr>
            </w:pPr>
            <w:r>
              <w:rPr>
                <w:color w:val="000000"/>
              </w:rPr>
              <w:t> </w:t>
            </w:r>
          </w:p>
        </w:tc>
        <w:tc>
          <w:tcPr>
            <w:tcW w:w="837" w:type="dxa"/>
            <w:tcBorders>
              <w:top w:val="nil"/>
              <w:left w:val="nil"/>
              <w:bottom w:val="nil"/>
              <w:right w:val="nil"/>
            </w:tcBorders>
            <w:shd w:val="clear" w:color="CFD4D8" w:fill="CFD4D8"/>
            <w:vAlign w:val="center"/>
          </w:tcPr>
          <w:p w:rsidR="00D92D97" w:rsidRDefault="00D92D97" w:rsidP="0073298C">
            <w:pPr>
              <w:spacing w:before="22" w:after="22"/>
              <w:ind w:left="22" w:right="22"/>
              <w:rPr>
                <w:color w:val="000000"/>
              </w:rPr>
            </w:pPr>
          </w:p>
          <w:p w:rsidR="00D92D97" w:rsidRDefault="00D92D97" w:rsidP="0073298C">
            <w:pPr>
              <w:rPr>
                <w:sz w:val="16"/>
                <w:szCs w:val="16"/>
              </w:rPr>
            </w:pPr>
            <w:r>
              <w:rPr>
                <w:sz w:val="16"/>
                <w:szCs w:val="16"/>
              </w:rPr>
              <w:t> </w:t>
            </w:r>
          </w:p>
        </w:tc>
        <w:tc>
          <w:tcPr>
            <w:tcW w:w="104" w:type="dxa"/>
            <w:tcBorders>
              <w:top w:val="nil"/>
              <w:left w:val="nil"/>
              <w:bottom w:val="nil"/>
              <w:right w:val="nil"/>
            </w:tcBorders>
            <w:shd w:val="clear" w:color="00467E" w:fill="00467E"/>
            <w:vAlign w:val="bottom"/>
          </w:tcPr>
          <w:p w:rsidR="00D92D97" w:rsidRDefault="00D92D97" w:rsidP="0073298C">
            <w:pPr>
              <w:spacing w:before="22" w:after="22"/>
              <w:ind w:left="22" w:right="22"/>
              <w:rPr>
                <w:color w:val="000000"/>
              </w:rPr>
            </w:pPr>
            <w:r>
              <w:rPr>
                <w:color w:val="000000"/>
              </w:rPr>
              <w:t> </w:t>
            </w:r>
          </w:p>
        </w:tc>
        <w:tc>
          <w:tcPr>
            <w:tcW w:w="1241" w:type="dxa"/>
            <w:tcBorders>
              <w:top w:val="nil"/>
              <w:left w:val="nil"/>
              <w:bottom w:val="nil"/>
              <w:right w:val="nil"/>
            </w:tcBorders>
            <w:shd w:val="clear" w:color="CFD4D8" w:fill="CFD4D8"/>
            <w:vAlign w:val="center"/>
          </w:tcPr>
          <w:p w:rsidR="00D92D97" w:rsidRDefault="00D92D97" w:rsidP="0073298C">
            <w:pPr>
              <w:spacing w:before="22" w:after="22"/>
              <w:ind w:left="22" w:right="22"/>
              <w:jc w:val="center"/>
              <w:rPr>
                <w:rFonts w:ascii="Arial" w:hAnsi="Arial" w:cs="Arial"/>
                <w:color w:val="000000"/>
                <w:sz w:val="16"/>
                <w:szCs w:val="16"/>
              </w:rPr>
            </w:pPr>
            <w:r>
              <w:rPr>
                <w:rFonts w:ascii="Arial" w:hAnsi="Arial" w:cs="Arial"/>
                <w:color w:val="000000"/>
                <w:sz w:val="16"/>
                <w:szCs w:val="16"/>
              </w:rPr>
              <w:t>1</w:t>
            </w:r>
          </w:p>
        </w:tc>
        <w:tc>
          <w:tcPr>
            <w:tcW w:w="104" w:type="dxa"/>
            <w:tcBorders>
              <w:top w:val="nil"/>
              <w:left w:val="nil"/>
              <w:bottom w:val="nil"/>
              <w:right w:val="nil"/>
            </w:tcBorders>
            <w:shd w:val="clear" w:color="CFD4D8" w:fill="CFD4D8"/>
            <w:vAlign w:val="bottom"/>
          </w:tcPr>
          <w:p w:rsidR="00D92D97" w:rsidRDefault="00D92D97" w:rsidP="0073298C">
            <w:pPr>
              <w:spacing w:before="22" w:after="22"/>
              <w:ind w:left="22" w:right="22"/>
              <w:rPr>
                <w:color w:val="000000"/>
              </w:rPr>
            </w:pPr>
            <w:r>
              <w:rPr>
                <w:color w:val="000000"/>
              </w:rPr>
              <w:t> </w:t>
            </w:r>
          </w:p>
        </w:tc>
        <w:tc>
          <w:tcPr>
            <w:tcW w:w="1236" w:type="dxa"/>
            <w:tcBorders>
              <w:top w:val="nil"/>
              <w:left w:val="nil"/>
              <w:bottom w:val="nil"/>
              <w:right w:val="nil"/>
            </w:tcBorders>
            <w:shd w:val="clear" w:color="CFD4D8" w:fill="CFD4D8"/>
            <w:vAlign w:val="center"/>
          </w:tcPr>
          <w:p w:rsidR="00D92D97" w:rsidRDefault="00D92D97" w:rsidP="0073298C">
            <w:pPr>
              <w:spacing w:before="22" w:after="22"/>
              <w:ind w:left="22" w:right="22"/>
              <w:jc w:val="center"/>
              <w:rPr>
                <w:rFonts w:ascii="Arial" w:hAnsi="Arial" w:cs="Arial"/>
                <w:color w:val="000000"/>
                <w:sz w:val="16"/>
                <w:szCs w:val="16"/>
              </w:rPr>
            </w:pPr>
            <w:r>
              <w:rPr>
                <w:rFonts w:ascii="Arial" w:hAnsi="Arial" w:cs="Arial"/>
                <w:color w:val="000000"/>
                <w:sz w:val="16"/>
                <w:szCs w:val="16"/>
              </w:rPr>
              <w:t>1</w:t>
            </w:r>
          </w:p>
        </w:tc>
        <w:tc>
          <w:tcPr>
            <w:tcW w:w="104" w:type="dxa"/>
            <w:tcBorders>
              <w:top w:val="nil"/>
              <w:left w:val="nil"/>
              <w:bottom w:val="nil"/>
              <w:right w:val="nil"/>
            </w:tcBorders>
            <w:shd w:val="clear" w:color="CFD4D8" w:fill="CFD4D8"/>
            <w:vAlign w:val="bottom"/>
          </w:tcPr>
          <w:p w:rsidR="00D92D97" w:rsidRDefault="00D92D97" w:rsidP="0073298C">
            <w:pPr>
              <w:spacing w:before="22" w:after="22"/>
              <w:ind w:left="22" w:right="22"/>
              <w:rPr>
                <w:color w:val="000000"/>
              </w:rPr>
            </w:pPr>
            <w:r>
              <w:rPr>
                <w:color w:val="000000"/>
              </w:rPr>
              <w:t> </w:t>
            </w:r>
          </w:p>
        </w:tc>
        <w:tc>
          <w:tcPr>
            <w:tcW w:w="1240" w:type="dxa"/>
            <w:tcBorders>
              <w:top w:val="nil"/>
              <w:left w:val="nil"/>
              <w:bottom w:val="nil"/>
              <w:right w:val="nil"/>
            </w:tcBorders>
            <w:shd w:val="clear" w:color="CFD4D8" w:fill="CFD4D8"/>
            <w:vAlign w:val="center"/>
          </w:tcPr>
          <w:p w:rsidR="00D92D97" w:rsidRDefault="00D92D97" w:rsidP="0073298C">
            <w:pPr>
              <w:spacing w:before="22" w:after="22"/>
              <w:ind w:left="22" w:right="22"/>
              <w:rPr>
                <w:color w:val="000000"/>
              </w:rPr>
            </w:pPr>
          </w:p>
          <w:p w:rsidR="00D92D97" w:rsidRDefault="00D92D97" w:rsidP="0073298C">
            <w:pPr>
              <w:rPr>
                <w:sz w:val="16"/>
                <w:szCs w:val="16"/>
              </w:rPr>
            </w:pPr>
            <w:r>
              <w:rPr>
                <w:sz w:val="16"/>
                <w:szCs w:val="16"/>
              </w:rPr>
              <w:t> </w:t>
            </w:r>
          </w:p>
        </w:tc>
        <w:tc>
          <w:tcPr>
            <w:tcW w:w="104" w:type="dxa"/>
            <w:tcBorders>
              <w:top w:val="nil"/>
              <w:left w:val="nil"/>
              <w:bottom w:val="nil"/>
              <w:right w:val="nil"/>
            </w:tcBorders>
            <w:shd w:val="clear" w:color="CFD4D8" w:fill="CFD4D8"/>
            <w:vAlign w:val="bottom"/>
          </w:tcPr>
          <w:p w:rsidR="00D92D97" w:rsidRDefault="00D92D97" w:rsidP="0073298C">
            <w:pPr>
              <w:spacing w:before="22" w:after="22"/>
              <w:ind w:left="22" w:right="22"/>
              <w:rPr>
                <w:color w:val="000000"/>
              </w:rPr>
            </w:pPr>
            <w:r>
              <w:rPr>
                <w:color w:val="000000"/>
              </w:rPr>
              <w:t> </w:t>
            </w:r>
          </w:p>
        </w:tc>
        <w:tc>
          <w:tcPr>
            <w:tcW w:w="1244" w:type="dxa"/>
            <w:tcBorders>
              <w:top w:val="nil"/>
              <w:left w:val="nil"/>
              <w:bottom w:val="nil"/>
              <w:right w:val="nil"/>
            </w:tcBorders>
            <w:shd w:val="clear" w:color="CFD4D8" w:fill="CFD4D8"/>
            <w:vAlign w:val="center"/>
          </w:tcPr>
          <w:p w:rsidR="00D92D97" w:rsidRDefault="00D92D97" w:rsidP="0073298C">
            <w:pPr>
              <w:spacing w:before="22" w:after="22"/>
              <w:ind w:left="22" w:right="22"/>
              <w:rPr>
                <w:color w:val="000000"/>
              </w:rPr>
            </w:pPr>
          </w:p>
          <w:p w:rsidR="00D92D97" w:rsidRDefault="00D92D97" w:rsidP="0073298C">
            <w:pPr>
              <w:rPr>
                <w:sz w:val="16"/>
                <w:szCs w:val="16"/>
              </w:rPr>
            </w:pPr>
            <w:r>
              <w:rPr>
                <w:sz w:val="16"/>
                <w:szCs w:val="16"/>
              </w:rPr>
              <w:t> </w:t>
            </w:r>
          </w:p>
        </w:tc>
        <w:tc>
          <w:tcPr>
            <w:tcW w:w="104" w:type="dxa"/>
            <w:tcBorders>
              <w:top w:val="nil"/>
              <w:left w:val="nil"/>
              <w:bottom w:val="nil"/>
              <w:right w:val="nil"/>
            </w:tcBorders>
            <w:shd w:val="clear" w:color="00467E" w:fill="00467E"/>
            <w:vAlign w:val="bottom"/>
          </w:tcPr>
          <w:p w:rsidR="00D92D97" w:rsidRDefault="00D92D97" w:rsidP="0073298C">
            <w:pPr>
              <w:spacing w:before="22" w:after="22"/>
              <w:ind w:left="22" w:right="22"/>
              <w:rPr>
                <w:color w:val="000000"/>
              </w:rPr>
            </w:pPr>
            <w:r>
              <w:rPr>
                <w:color w:val="000000"/>
              </w:rPr>
              <w:t> </w:t>
            </w:r>
          </w:p>
        </w:tc>
        <w:tc>
          <w:tcPr>
            <w:tcW w:w="1244" w:type="dxa"/>
            <w:tcBorders>
              <w:top w:val="nil"/>
              <w:left w:val="nil"/>
              <w:bottom w:val="nil"/>
              <w:right w:val="single" w:sz="6" w:space="0" w:color="00467E"/>
            </w:tcBorders>
            <w:shd w:val="clear" w:color="CFD4D8" w:fill="CFD4D8"/>
            <w:vAlign w:val="center"/>
          </w:tcPr>
          <w:p w:rsidR="00D92D97" w:rsidRDefault="00D92D97" w:rsidP="0073298C">
            <w:pPr>
              <w:spacing w:before="22" w:after="22"/>
              <w:ind w:left="22" w:right="22"/>
              <w:jc w:val="center"/>
              <w:rPr>
                <w:rFonts w:ascii="Arial" w:hAnsi="Arial" w:cs="Arial"/>
                <w:color w:val="000000"/>
                <w:sz w:val="16"/>
                <w:szCs w:val="16"/>
              </w:rPr>
            </w:pPr>
            <w:r>
              <w:rPr>
                <w:rFonts w:ascii="Arial" w:hAnsi="Arial" w:cs="Arial"/>
                <w:color w:val="000000"/>
                <w:sz w:val="16"/>
                <w:szCs w:val="16"/>
              </w:rPr>
              <w:t>2</w:t>
            </w:r>
          </w:p>
        </w:tc>
      </w:tr>
      <w:tr w:rsidR="00D92D97" w:rsidTr="00D92D97">
        <w:tblPrEx>
          <w:tblCellMar>
            <w:top w:w="0" w:type="dxa"/>
            <w:left w:w="0" w:type="dxa"/>
            <w:bottom w:w="0" w:type="dxa"/>
            <w:right w:w="0" w:type="dxa"/>
          </w:tblCellMar>
        </w:tblPrEx>
        <w:trPr>
          <w:trHeight w:val="281"/>
        </w:trPr>
        <w:tc>
          <w:tcPr>
            <w:tcW w:w="1058" w:type="dxa"/>
            <w:tcBorders>
              <w:top w:val="nil"/>
              <w:left w:val="single" w:sz="6" w:space="0" w:color="00467E"/>
              <w:bottom w:val="nil"/>
              <w:right w:val="nil"/>
            </w:tcBorders>
            <w:vAlign w:val="center"/>
          </w:tcPr>
          <w:p w:rsidR="00D92D97" w:rsidRDefault="00D92D97" w:rsidP="0073298C">
            <w:pPr>
              <w:spacing w:before="22" w:after="22"/>
              <w:ind w:left="22" w:right="22"/>
              <w:rPr>
                <w:rFonts w:ascii="Arial" w:hAnsi="Arial" w:cs="Arial"/>
                <w:b/>
                <w:bCs w:val="0"/>
                <w:i/>
                <w:iCs/>
                <w:color w:val="9D1B11"/>
                <w:sz w:val="16"/>
                <w:szCs w:val="16"/>
              </w:rPr>
            </w:pPr>
            <w:r>
              <w:rPr>
                <w:rFonts w:ascii="Arial" w:hAnsi="Arial" w:cs="Arial"/>
                <w:b/>
                <w:bCs w:val="0"/>
                <w:i/>
                <w:iCs/>
                <w:color w:val="9D1B11"/>
                <w:sz w:val="16"/>
                <w:szCs w:val="16"/>
              </w:rPr>
              <w:t>Iowa</w:t>
            </w:r>
          </w:p>
        </w:tc>
        <w:tc>
          <w:tcPr>
            <w:tcW w:w="104" w:type="dxa"/>
            <w:tcBorders>
              <w:top w:val="nil"/>
              <w:left w:val="nil"/>
              <w:bottom w:val="nil"/>
              <w:right w:val="nil"/>
            </w:tcBorders>
            <w:shd w:val="clear" w:color="00467E" w:fill="00467E"/>
            <w:vAlign w:val="bottom"/>
          </w:tcPr>
          <w:p w:rsidR="00D92D97" w:rsidRDefault="00D92D97" w:rsidP="0073298C">
            <w:pPr>
              <w:spacing w:before="22" w:after="22"/>
              <w:ind w:left="22" w:right="22"/>
              <w:rPr>
                <w:color w:val="000000"/>
              </w:rPr>
            </w:pPr>
            <w:r>
              <w:rPr>
                <w:color w:val="000000"/>
              </w:rPr>
              <w:t> </w:t>
            </w:r>
          </w:p>
        </w:tc>
        <w:tc>
          <w:tcPr>
            <w:tcW w:w="834" w:type="dxa"/>
            <w:tcBorders>
              <w:top w:val="nil"/>
              <w:left w:val="nil"/>
              <w:bottom w:val="nil"/>
              <w:right w:val="nil"/>
            </w:tcBorders>
            <w:vAlign w:val="center"/>
          </w:tcPr>
          <w:p w:rsidR="00D92D97" w:rsidRDefault="00D92D97" w:rsidP="0073298C">
            <w:pPr>
              <w:spacing w:before="22" w:after="22"/>
              <w:ind w:left="22" w:right="22"/>
              <w:jc w:val="center"/>
              <w:rPr>
                <w:rFonts w:ascii="Arial" w:hAnsi="Arial" w:cs="Arial"/>
                <w:color w:val="000000"/>
                <w:sz w:val="16"/>
                <w:szCs w:val="16"/>
              </w:rPr>
            </w:pPr>
            <w:r>
              <w:rPr>
                <w:rFonts w:ascii="Arial" w:hAnsi="Arial" w:cs="Arial"/>
                <w:color w:val="000000"/>
                <w:sz w:val="16"/>
                <w:szCs w:val="16"/>
              </w:rPr>
              <w:t>1</w:t>
            </w:r>
          </w:p>
        </w:tc>
        <w:tc>
          <w:tcPr>
            <w:tcW w:w="336" w:type="dxa"/>
            <w:tcBorders>
              <w:top w:val="nil"/>
              <w:left w:val="nil"/>
              <w:bottom w:val="nil"/>
              <w:right w:val="nil"/>
            </w:tcBorders>
            <w:vAlign w:val="bottom"/>
          </w:tcPr>
          <w:p w:rsidR="00D92D97" w:rsidRDefault="00D92D97" w:rsidP="0073298C">
            <w:pPr>
              <w:spacing w:before="22" w:after="22"/>
              <w:ind w:left="22" w:right="22"/>
              <w:rPr>
                <w:color w:val="000000"/>
              </w:rPr>
            </w:pPr>
            <w:r>
              <w:rPr>
                <w:color w:val="000000"/>
              </w:rPr>
              <w:t> </w:t>
            </w:r>
          </w:p>
        </w:tc>
        <w:tc>
          <w:tcPr>
            <w:tcW w:w="837" w:type="dxa"/>
            <w:tcBorders>
              <w:top w:val="nil"/>
              <w:left w:val="nil"/>
              <w:bottom w:val="nil"/>
              <w:right w:val="nil"/>
            </w:tcBorders>
            <w:vAlign w:val="center"/>
          </w:tcPr>
          <w:p w:rsidR="00D92D97" w:rsidRDefault="00D92D97" w:rsidP="0073298C">
            <w:pPr>
              <w:spacing w:before="22" w:after="22"/>
              <w:ind w:left="22" w:right="22"/>
              <w:rPr>
                <w:color w:val="000000"/>
              </w:rPr>
            </w:pPr>
          </w:p>
          <w:p w:rsidR="00D92D97" w:rsidRDefault="00D92D97" w:rsidP="0073298C">
            <w:pPr>
              <w:rPr>
                <w:sz w:val="16"/>
                <w:szCs w:val="16"/>
              </w:rPr>
            </w:pPr>
            <w:r>
              <w:rPr>
                <w:sz w:val="16"/>
                <w:szCs w:val="16"/>
              </w:rPr>
              <w:t> </w:t>
            </w:r>
          </w:p>
        </w:tc>
        <w:tc>
          <w:tcPr>
            <w:tcW w:w="104" w:type="dxa"/>
            <w:tcBorders>
              <w:top w:val="nil"/>
              <w:left w:val="nil"/>
              <w:bottom w:val="nil"/>
              <w:right w:val="nil"/>
            </w:tcBorders>
            <w:shd w:val="clear" w:color="00467E" w:fill="00467E"/>
            <w:vAlign w:val="bottom"/>
          </w:tcPr>
          <w:p w:rsidR="00D92D97" w:rsidRDefault="00D92D97" w:rsidP="0073298C">
            <w:pPr>
              <w:spacing w:before="22" w:after="22"/>
              <w:ind w:left="22" w:right="22"/>
              <w:rPr>
                <w:color w:val="000000"/>
              </w:rPr>
            </w:pPr>
            <w:r>
              <w:rPr>
                <w:color w:val="000000"/>
              </w:rPr>
              <w:t> </w:t>
            </w:r>
          </w:p>
        </w:tc>
        <w:tc>
          <w:tcPr>
            <w:tcW w:w="1241" w:type="dxa"/>
            <w:tcBorders>
              <w:top w:val="nil"/>
              <w:left w:val="nil"/>
              <w:bottom w:val="nil"/>
              <w:right w:val="nil"/>
            </w:tcBorders>
            <w:vAlign w:val="center"/>
          </w:tcPr>
          <w:p w:rsidR="00D92D97" w:rsidRDefault="00D92D97" w:rsidP="0073298C">
            <w:pPr>
              <w:spacing w:before="22" w:after="22"/>
              <w:ind w:left="22" w:right="22"/>
              <w:jc w:val="center"/>
              <w:rPr>
                <w:rFonts w:ascii="Arial" w:hAnsi="Arial" w:cs="Arial"/>
                <w:color w:val="000000"/>
                <w:sz w:val="16"/>
                <w:szCs w:val="16"/>
              </w:rPr>
            </w:pPr>
            <w:r>
              <w:rPr>
                <w:rFonts w:ascii="Arial" w:hAnsi="Arial" w:cs="Arial"/>
                <w:color w:val="000000"/>
                <w:sz w:val="16"/>
                <w:szCs w:val="16"/>
              </w:rPr>
              <w:t>1</w:t>
            </w:r>
          </w:p>
        </w:tc>
        <w:tc>
          <w:tcPr>
            <w:tcW w:w="104" w:type="dxa"/>
            <w:tcBorders>
              <w:top w:val="nil"/>
              <w:left w:val="nil"/>
              <w:bottom w:val="nil"/>
              <w:right w:val="nil"/>
            </w:tcBorders>
            <w:vAlign w:val="bottom"/>
          </w:tcPr>
          <w:p w:rsidR="00D92D97" w:rsidRDefault="00D92D97" w:rsidP="0073298C">
            <w:pPr>
              <w:spacing w:before="22" w:after="22"/>
              <w:ind w:left="22" w:right="22"/>
              <w:rPr>
                <w:color w:val="000000"/>
              </w:rPr>
            </w:pPr>
            <w:r>
              <w:rPr>
                <w:color w:val="000000"/>
              </w:rPr>
              <w:t> </w:t>
            </w:r>
          </w:p>
        </w:tc>
        <w:tc>
          <w:tcPr>
            <w:tcW w:w="1236" w:type="dxa"/>
            <w:tcBorders>
              <w:top w:val="nil"/>
              <w:left w:val="nil"/>
              <w:bottom w:val="nil"/>
              <w:right w:val="nil"/>
            </w:tcBorders>
            <w:vAlign w:val="center"/>
          </w:tcPr>
          <w:p w:rsidR="00D92D97" w:rsidRDefault="00D92D97" w:rsidP="0073298C">
            <w:pPr>
              <w:spacing w:before="22" w:after="22"/>
              <w:ind w:left="22" w:right="22"/>
              <w:rPr>
                <w:color w:val="000000"/>
              </w:rPr>
            </w:pPr>
          </w:p>
          <w:p w:rsidR="00D92D97" w:rsidRDefault="00D92D97" w:rsidP="0073298C">
            <w:pPr>
              <w:rPr>
                <w:sz w:val="16"/>
                <w:szCs w:val="16"/>
              </w:rPr>
            </w:pPr>
            <w:r>
              <w:rPr>
                <w:sz w:val="16"/>
                <w:szCs w:val="16"/>
              </w:rPr>
              <w:t> </w:t>
            </w:r>
          </w:p>
        </w:tc>
        <w:tc>
          <w:tcPr>
            <w:tcW w:w="104" w:type="dxa"/>
            <w:tcBorders>
              <w:top w:val="nil"/>
              <w:left w:val="nil"/>
              <w:bottom w:val="nil"/>
              <w:right w:val="nil"/>
            </w:tcBorders>
            <w:vAlign w:val="bottom"/>
          </w:tcPr>
          <w:p w:rsidR="00D92D97" w:rsidRDefault="00D92D97" w:rsidP="0073298C">
            <w:pPr>
              <w:spacing w:before="22" w:after="22"/>
              <w:ind w:left="22" w:right="22"/>
              <w:rPr>
                <w:color w:val="000000"/>
              </w:rPr>
            </w:pPr>
            <w:r>
              <w:rPr>
                <w:color w:val="000000"/>
              </w:rPr>
              <w:t> </w:t>
            </w:r>
          </w:p>
        </w:tc>
        <w:tc>
          <w:tcPr>
            <w:tcW w:w="1240" w:type="dxa"/>
            <w:tcBorders>
              <w:top w:val="nil"/>
              <w:left w:val="nil"/>
              <w:bottom w:val="nil"/>
              <w:right w:val="nil"/>
            </w:tcBorders>
            <w:vAlign w:val="center"/>
          </w:tcPr>
          <w:p w:rsidR="00D92D97" w:rsidRDefault="00D92D97" w:rsidP="0073298C">
            <w:pPr>
              <w:spacing w:before="22" w:after="22"/>
              <w:ind w:left="22" w:right="22"/>
              <w:rPr>
                <w:color w:val="000000"/>
              </w:rPr>
            </w:pPr>
          </w:p>
          <w:p w:rsidR="00D92D97" w:rsidRDefault="00D92D97" w:rsidP="0073298C">
            <w:pPr>
              <w:rPr>
                <w:sz w:val="16"/>
                <w:szCs w:val="16"/>
              </w:rPr>
            </w:pPr>
            <w:r>
              <w:rPr>
                <w:sz w:val="16"/>
                <w:szCs w:val="16"/>
              </w:rPr>
              <w:t> </w:t>
            </w:r>
          </w:p>
        </w:tc>
        <w:tc>
          <w:tcPr>
            <w:tcW w:w="104" w:type="dxa"/>
            <w:tcBorders>
              <w:top w:val="nil"/>
              <w:left w:val="nil"/>
              <w:bottom w:val="nil"/>
              <w:right w:val="nil"/>
            </w:tcBorders>
            <w:vAlign w:val="bottom"/>
          </w:tcPr>
          <w:p w:rsidR="00D92D97" w:rsidRDefault="00D92D97" w:rsidP="0073298C">
            <w:pPr>
              <w:spacing w:before="22" w:after="22"/>
              <w:ind w:left="22" w:right="22"/>
              <w:rPr>
                <w:color w:val="000000"/>
              </w:rPr>
            </w:pPr>
            <w:r>
              <w:rPr>
                <w:color w:val="000000"/>
              </w:rPr>
              <w:t> </w:t>
            </w:r>
          </w:p>
        </w:tc>
        <w:tc>
          <w:tcPr>
            <w:tcW w:w="1244" w:type="dxa"/>
            <w:tcBorders>
              <w:top w:val="nil"/>
              <w:left w:val="nil"/>
              <w:bottom w:val="nil"/>
              <w:right w:val="nil"/>
            </w:tcBorders>
            <w:vAlign w:val="center"/>
          </w:tcPr>
          <w:p w:rsidR="00D92D97" w:rsidRDefault="00D92D97" w:rsidP="0073298C">
            <w:pPr>
              <w:spacing w:before="22" w:after="22"/>
              <w:ind w:left="22" w:right="22"/>
              <w:rPr>
                <w:color w:val="000000"/>
              </w:rPr>
            </w:pPr>
          </w:p>
          <w:p w:rsidR="00D92D97" w:rsidRDefault="00D92D97" w:rsidP="0073298C">
            <w:pPr>
              <w:rPr>
                <w:sz w:val="16"/>
                <w:szCs w:val="16"/>
              </w:rPr>
            </w:pPr>
            <w:r>
              <w:rPr>
                <w:sz w:val="16"/>
                <w:szCs w:val="16"/>
              </w:rPr>
              <w:t> </w:t>
            </w:r>
          </w:p>
        </w:tc>
        <w:tc>
          <w:tcPr>
            <w:tcW w:w="104" w:type="dxa"/>
            <w:tcBorders>
              <w:top w:val="nil"/>
              <w:left w:val="nil"/>
              <w:bottom w:val="nil"/>
              <w:right w:val="nil"/>
            </w:tcBorders>
            <w:shd w:val="clear" w:color="00467E" w:fill="00467E"/>
            <w:vAlign w:val="bottom"/>
          </w:tcPr>
          <w:p w:rsidR="00D92D97" w:rsidRDefault="00D92D97" w:rsidP="0073298C">
            <w:pPr>
              <w:spacing w:before="22" w:after="22"/>
              <w:ind w:left="22" w:right="22"/>
              <w:rPr>
                <w:color w:val="000000"/>
              </w:rPr>
            </w:pPr>
            <w:r>
              <w:rPr>
                <w:color w:val="000000"/>
              </w:rPr>
              <w:t> </w:t>
            </w:r>
          </w:p>
        </w:tc>
        <w:tc>
          <w:tcPr>
            <w:tcW w:w="1244" w:type="dxa"/>
            <w:tcBorders>
              <w:top w:val="nil"/>
              <w:left w:val="nil"/>
              <w:bottom w:val="nil"/>
              <w:right w:val="single" w:sz="6" w:space="0" w:color="00467E"/>
            </w:tcBorders>
            <w:vAlign w:val="center"/>
          </w:tcPr>
          <w:p w:rsidR="00D92D97" w:rsidRDefault="00D92D97" w:rsidP="0073298C">
            <w:pPr>
              <w:spacing w:before="22" w:after="22"/>
              <w:ind w:left="22" w:right="22"/>
              <w:jc w:val="center"/>
              <w:rPr>
                <w:rFonts w:ascii="Arial" w:hAnsi="Arial" w:cs="Arial"/>
                <w:color w:val="000000"/>
                <w:sz w:val="16"/>
                <w:szCs w:val="16"/>
              </w:rPr>
            </w:pPr>
            <w:r>
              <w:rPr>
                <w:rFonts w:ascii="Arial" w:hAnsi="Arial" w:cs="Arial"/>
                <w:color w:val="000000"/>
                <w:sz w:val="16"/>
                <w:szCs w:val="16"/>
              </w:rPr>
              <w:t>1</w:t>
            </w:r>
          </w:p>
        </w:tc>
      </w:tr>
      <w:tr w:rsidR="00D92D97" w:rsidTr="00D92D97">
        <w:tblPrEx>
          <w:tblCellMar>
            <w:top w:w="0" w:type="dxa"/>
            <w:left w:w="0" w:type="dxa"/>
            <w:bottom w:w="0" w:type="dxa"/>
            <w:right w:w="0" w:type="dxa"/>
          </w:tblCellMar>
        </w:tblPrEx>
        <w:trPr>
          <w:trHeight w:val="281"/>
        </w:trPr>
        <w:tc>
          <w:tcPr>
            <w:tcW w:w="1058" w:type="dxa"/>
            <w:tcBorders>
              <w:top w:val="nil"/>
              <w:left w:val="single" w:sz="6" w:space="0" w:color="00467E"/>
              <w:bottom w:val="nil"/>
              <w:right w:val="nil"/>
            </w:tcBorders>
            <w:shd w:val="clear" w:color="CFD4D8" w:fill="CFD4D8"/>
            <w:vAlign w:val="center"/>
          </w:tcPr>
          <w:p w:rsidR="00D92D97" w:rsidRDefault="00D92D97" w:rsidP="0073298C">
            <w:pPr>
              <w:spacing w:before="22" w:after="22"/>
              <w:ind w:left="22" w:right="22"/>
              <w:rPr>
                <w:rFonts w:ascii="Arial" w:hAnsi="Arial" w:cs="Arial"/>
                <w:b/>
                <w:bCs w:val="0"/>
                <w:i/>
                <w:iCs/>
                <w:color w:val="9D1B11"/>
                <w:sz w:val="16"/>
                <w:szCs w:val="16"/>
              </w:rPr>
            </w:pPr>
            <w:r>
              <w:rPr>
                <w:rFonts w:ascii="Arial" w:hAnsi="Arial" w:cs="Arial"/>
                <w:b/>
                <w:bCs w:val="0"/>
                <w:i/>
                <w:iCs/>
                <w:color w:val="9D1B11"/>
                <w:sz w:val="16"/>
                <w:szCs w:val="16"/>
              </w:rPr>
              <w:t>Kansas</w:t>
            </w:r>
          </w:p>
        </w:tc>
        <w:tc>
          <w:tcPr>
            <w:tcW w:w="104" w:type="dxa"/>
            <w:tcBorders>
              <w:top w:val="nil"/>
              <w:left w:val="nil"/>
              <w:bottom w:val="nil"/>
              <w:right w:val="nil"/>
            </w:tcBorders>
            <w:shd w:val="clear" w:color="00467E" w:fill="00467E"/>
            <w:vAlign w:val="bottom"/>
          </w:tcPr>
          <w:p w:rsidR="00D92D97" w:rsidRDefault="00D92D97" w:rsidP="0073298C">
            <w:pPr>
              <w:spacing w:before="22" w:after="22"/>
              <w:ind w:left="22" w:right="22"/>
              <w:rPr>
                <w:color w:val="000000"/>
              </w:rPr>
            </w:pPr>
            <w:r>
              <w:rPr>
                <w:color w:val="000000"/>
              </w:rPr>
              <w:t> </w:t>
            </w:r>
          </w:p>
        </w:tc>
        <w:tc>
          <w:tcPr>
            <w:tcW w:w="834" w:type="dxa"/>
            <w:tcBorders>
              <w:top w:val="nil"/>
              <w:left w:val="nil"/>
              <w:bottom w:val="nil"/>
              <w:right w:val="nil"/>
            </w:tcBorders>
            <w:shd w:val="clear" w:color="CFD4D8" w:fill="CFD4D8"/>
            <w:vAlign w:val="center"/>
          </w:tcPr>
          <w:p w:rsidR="00D92D97" w:rsidRDefault="00D92D97" w:rsidP="0073298C">
            <w:pPr>
              <w:spacing w:before="22" w:after="22"/>
              <w:ind w:left="22" w:right="22"/>
              <w:jc w:val="center"/>
              <w:rPr>
                <w:rFonts w:ascii="Arial" w:hAnsi="Arial" w:cs="Arial"/>
                <w:color w:val="000000"/>
                <w:sz w:val="16"/>
                <w:szCs w:val="16"/>
              </w:rPr>
            </w:pPr>
            <w:r>
              <w:rPr>
                <w:rFonts w:ascii="Arial" w:hAnsi="Arial" w:cs="Arial"/>
                <w:color w:val="000000"/>
                <w:sz w:val="16"/>
                <w:szCs w:val="16"/>
              </w:rPr>
              <w:t>2</w:t>
            </w:r>
          </w:p>
        </w:tc>
        <w:tc>
          <w:tcPr>
            <w:tcW w:w="336" w:type="dxa"/>
            <w:tcBorders>
              <w:top w:val="nil"/>
              <w:left w:val="nil"/>
              <w:bottom w:val="nil"/>
              <w:right w:val="nil"/>
            </w:tcBorders>
            <w:shd w:val="clear" w:color="CFD4D8" w:fill="CFD4D8"/>
            <w:vAlign w:val="bottom"/>
          </w:tcPr>
          <w:p w:rsidR="00D92D97" w:rsidRDefault="00D92D97" w:rsidP="0073298C">
            <w:pPr>
              <w:spacing w:before="22" w:after="22"/>
              <w:ind w:left="22" w:right="22"/>
              <w:rPr>
                <w:color w:val="000000"/>
              </w:rPr>
            </w:pPr>
            <w:r>
              <w:rPr>
                <w:color w:val="000000"/>
              </w:rPr>
              <w:t> </w:t>
            </w:r>
          </w:p>
        </w:tc>
        <w:tc>
          <w:tcPr>
            <w:tcW w:w="837" w:type="dxa"/>
            <w:tcBorders>
              <w:top w:val="nil"/>
              <w:left w:val="nil"/>
              <w:bottom w:val="nil"/>
              <w:right w:val="nil"/>
            </w:tcBorders>
            <w:shd w:val="clear" w:color="CFD4D8" w:fill="CFD4D8"/>
            <w:vAlign w:val="center"/>
          </w:tcPr>
          <w:p w:rsidR="00D92D97" w:rsidRDefault="00D92D97" w:rsidP="0073298C">
            <w:pPr>
              <w:spacing w:before="22" w:after="22"/>
              <w:ind w:left="22" w:right="22"/>
              <w:rPr>
                <w:color w:val="000000"/>
              </w:rPr>
            </w:pPr>
          </w:p>
          <w:p w:rsidR="00D92D97" w:rsidRDefault="00D92D97" w:rsidP="0073298C">
            <w:pPr>
              <w:rPr>
                <w:sz w:val="16"/>
                <w:szCs w:val="16"/>
              </w:rPr>
            </w:pPr>
            <w:r>
              <w:rPr>
                <w:sz w:val="16"/>
                <w:szCs w:val="16"/>
              </w:rPr>
              <w:t> </w:t>
            </w:r>
          </w:p>
        </w:tc>
        <w:tc>
          <w:tcPr>
            <w:tcW w:w="104" w:type="dxa"/>
            <w:tcBorders>
              <w:top w:val="nil"/>
              <w:left w:val="nil"/>
              <w:bottom w:val="nil"/>
              <w:right w:val="nil"/>
            </w:tcBorders>
            <w:shd w:val="clear" w:color="00467E" w:fill="00467E"/>
            <w:vAlign w:val="bottom"/>
          </w:tcPr>
          <w:p w:rsidR="00D92D97" w:rsidRDefault="00D92D97" w:rsidP="0073298C">
            <w:pPr>
              <w:spacing w:before="22" w:after="22"/>
              <w:ind w:left="22" w:right="22"/>
              <w:rPr>
                <w:color w:val="000000"/>
              </w:rPr>
            </w:pPr>
            <w:r>
              <w:rPr>
                <w:color w:val="000000"/>
              </w:rPr>
              <w:t> </w:t>
            </w:r>
          </w:p>
        </w:tc>
        <w:tc>
          <w:tcPr>
            <w:tcW w:w="1241" w:type="dxa"/>
            <w:tcBorders>
              <w:top w:val="nil"/>
              <w:left w:val="nil"/>
              <w:bottom w:val="nil"/>
              <w:right w:val="nil"/>
            </w:tcBorders>
            <w:shd w:val="clear" w:color="CFD4D8" w:fill="CFD4D8"/>
            <w:vAlign w:val="center"/>
          </w:tcPr>
          <w:p w:rsidR="00D92D97" w:rsidRDefault="00D92D97" w:rsidP="0073298C">
            <w:pPr>
              <w:spacing w:before="22" w:after="22"/>
              <w:ind w:left="22" w:right="22"/>
              <w:jc w:val="center"/>
              <w:rPr>
                <w:rFonts w:ascii="Arial" w:hAnsi="Arial" w:cs="Arial"/>
                <w:color w:val="000000"/>
                <w:sz w:val="16"/>
                <w:szCs w:val="16"/>
              </w:rPr>
            </w:pPr>
            <w:r>
              <w:rPr>
                <w:rFonts w:ascii="Arial" w:hAnsi="Arial" w:cs="Arial"/>
                <w:color w:val="000000"/>
                <w:sz w:val="16"/>
                <w:szCs w:val="16"/>
              </w:rPr>
              <w:t>1</w:t>
            </w:r>
          </w:p>
        </w:tc>
        <w:tc>
          <w:tcPr>
            <w:tcW w:w="104" w:type="dxa"/>
            <w:tcBorders>
              <w:top w:val="nil"/>
              <w:left w:val="nil"/>
              <w:bottom w:val="nil"/>
              <w:right w:val="nil"/>
            </w:tcBorders>
            <w:shd w:val="clear" w:color="CFD4D8" w:fill="CFD4D8"/>
            <w:vAlign w:val="bottom"/>
          </w:tcPr>
          <w:p w:rsidR="00D92D97" w:rsidRDefault="00D92D97" w:rsidP="0073298C">
            <w:pPr>
              <w:spacing w:before="22" w:after="22"/>
              <w:ind w:left="22" w:right="22"/>
              <w:rPr>
                <w:color w:val="000000"/>
              </w:rPr>
            </w:pPr>
            <w:r>
              <w:rPr>
                <w:color w:val="000000"/>
              </w:rPr>
              <w:t> </w:t>
            </w:r>
          </w:p>
        </w:tc>
        <w:tc>
          <w:tcPr>
            <w:tcW w:w="1236" w:type="dxa"/>
            <w:tcBorders>
              <w:top w:val="nil"/>
              <w:left w:val="nil"/>
              <w:bottom w:val="nil"/>
              <w:right w:val="nil"/>
            </w:tcBorders>
            <w:shd w:val="clear" w:color="CFD4D8" w:fill="CFD4D8"/>
            <w:vAlign w:val="center"/>
          </w:tcPr>
          <w:p w:rsidR="00D92D97" w:rsidRDefault="00D92D97" w:rsidP="0073298C">
            <w:pPr>
              <w:spacing w:before="22" w:after="22"/>
              <w:ind w:left="22" w:right="22"/>
              <w:jc w:val="center"/>
              <w:rPr>
                <w:rFonts w:ascii="Arial" w:hAnsi="Arial" w:cs="Arial"/>
                <w:color w:val="000000"/>
                <w:sz w:val="16"/>
                <w:szCs w:val="16"/>
              </w:rPr>
            </w:pPr>
            <w:r>
              <w:rPr>
                <w:rFonts w:ascii="Arial" w:hAnsi="Arial" w:cs="Arial"/>
                <w:color w:val="000000"/>
                <w:sz w:val="16"/>
                <w:szCs w:val="16"/>
              </w:rPr>
              <w:t>1</w:t>
            </w:r>
          </w:p>
        </w:tc>
        <w:tc>
          <w:tcPr>
            <w:tcW w:w="104" w:type="dxa"/>
            <w:tcBorders>
              <w:top w:val="nil"/>
              <w:left w:val="nil"/>
              <w:bottom w:val="nil"/>
              <w:right w:val="nil"/>
            </w:tcBorders>
            <w:shd w:val="clear" w:color="CFD4D8" w:fill="CFD4D8"/>
            <w:vAlign w:val="bottom"/>
          </w:tcPr>
          <w:p w:rsidR="00D92D97" w:rsidRDefault="00D92D97" w:rsidP="0073298C">
            <w:pPr>
              <w:spacing w:before="22" w:after="22"/>
              <w:ind w:left="22" w:right="22"/>
              <w:rPr>
                <w:color w:val="000000"/>
              </w:rPr>
            </w:pPr>
            <w:r>
              <w:rPr>
                <w:color w:val="000000"/>
              </w:rPr>
              <w:t> </w:t>
            </w:r>
          </w:p>
        </w:tc>
        <w:tc>
          <w:tcPr>
            <w:tcW w:w="1240" w:type="dxa"/>
            <w:tcBorders>
              <w:top w:val="nil"/>
              <w:left w:val="nil"/>
              <w:bottom w:val="nil"/>
              <w:right w:val="nil"/>
            </w:tcBorders>
            <w:shd w:val="clear" w:color="CFD4D8" w:fill="CFD4D8"/>
            <w:vAlign w:val="center"/>
          </w:tcPr>
          <w:p w:rsidR="00D92D97" w:rsidRDefault="00D92D97" w:rsidP="0073298C">
            <w:pPr>
              <w:spacing w:before="22" w:after="22"/>
              <w:ind w:left="22" w:right="22"/>
              <w:rPr>
                <w:color w:val="000000"/>
              </w:rPr>
            </w:pPr>
          </w:p>
          <w:p w:rsidR="00D92D97" w:rsidRDefault="00D92D97" w:rsidP="0073298C">
            <w:pPr>
              <w:rPr>
                <w:sz w:val="16"/>
                <w:szCs w:val="16"/>
              </w:rPr>
            </w:pPr>
            <w:r>
              <w:rPr>
                <w:sz w:val="16"/>
                <w:szCs w:val="16"/>
              </w:rPr>
              <w:t> </w:t>
            </w:r>
          </w:p>
        </w:tc>
        <w:tc>
          <w:tcPr>
            <w:tcW w:w="104" w:type="dxa"/>
            <w:tcBorders>
              <w:top w:val="nil"/>
              <w:left w:val="nil"/>
              <w:bottom w:val="nil"/>
              <w:right w:val="nil"/>
            </w:tcBorders>
            <w:shd w:val="clear" w:color="CFD4D8" w:fill="CFD4D8"/>
            <w:vAlign w:val="bottom"/>
          </w:tcPr>
          <w:p w:rsidR="00D92D97" w:rsidRDefault="00D92D97" w:rsidP="0073298C">
            <w:pPr>
              <w:spacing w:before="22" w:after="22"/>
              <w:ind w:left="22" w:right="22"/>
              <w:rPr>
                <w:color w:val="000000"/>
              </w:rPr>
            </w:pPr>
            <w:r>
              <w:rPr>
                <w:color w:val="000000"/>
              </w:rPr>
              <w:t> </w:t>
            </w:r>
          </w:p>
        </w:tc>
        <w:tc>
          <w:tcPr>
            <w:tcW w:w="1244" w:type="dxa"/>
            <w:tcBorders>
              <w:top w:val="nil"/>
              <w:left w:val="nil"/>
              <w:bottom w:val="nil"/>
              <w:right w:val="nil"/>
            </w:tcBorders>
            <w:shd w:val="clear" w:color="CFD4D8" w:fill="CFD4D8"/>
            <w:vAlign w:val="center"/>
          </w:tcPr>
          <w:p w:rsidR="00D92D97" w:rsidRDefault="00D92D97" w:rsidP="0073298C">
            <w:pPr>
              <w:spacing w:before="22" w:after="22"/>
              <w:ind w:left="22" w:right="22"/>
              <w:rPr>
                <w:color w:val="000000"/>
              </w:rPr>
            </w:pPr>
          </w:p>
          <w:p w:rsidR="00D92D97" w:rsidRDefault="00D92D97" w:rsidP="0073298C">
            <w:pPr>
              <w:rPr>
                <w:sz w:val="16"/>
                <w:szCs w:val="16"/>
              </w:rPr>
            </w:pPr>
            <w:r>
              <w:rPr>
                <w:sz w:val="16"/>
                <w:szCs w:val="16"/>
              </w:rPr>
              <w:t> </w:t>
            </w:r>
          </w:p>
        </w:tc>
        <w:tc>
          <w:tcPr>
            <w:tcW w:w="104" w:type="dxa"/>
            <w:tcBorders>
              <w:top w:val="nil"/>
              <w:left w:val="nil"/>
              <w:bottom w:val="nil"/>
              <w:right w:val="nil"/>
            </w:tcBorders>
            <w:shd w:val="clear" w:color="00467E" w:fill="00467E"/>
            <w:vAlign w:val="bottom"/>
          </w:tcPr>
          <w:p w:rsidR="00D92D97" w:rsidRDefault="00D92D97" w:rsidP="0073298C">
            <w:pPr>
              <w:spacing w:before="22" w:after="22"/>
              <w:ind w:left="22" w:right="22"/>
              <w:rPr>
                <w:color w:val="000000"/>
              </w:rPr>
            </w:pPr>
            <w:r>
              <w:rPr>
                <w:color w:val="000000"/>
              </w:rPr>
              <w:t> </w:t>
            </w:r>
          </w:p>
        </w:tc>
        <w:tc>
          <w:tcPr>
            <w:tcW w:w="1244" w:type="dxa"/>
            <w:tcBorders>
              <w:top w:val="nil"/>
              <w:left w:val="nil"/>
              <w:bottom w:val="nil"/>
              <w:right w:val="single" w:sz="6" w:space="0" w:color="00467E"/>
            </w:tcBorders>
            <w:shd w:val="clear" w:color="CFD4D8" w:fill="CFD4D8"/>
            <w:vAlign w:val="center"/>
          </w:tcPr>
          <w:p w:rsidR="00D92D97" w:rsidRDefault="00D92D97" w:rsidP="0073298C">
            <w:pPr>
              <w:spacing w:before="22" w:after="22"/>
              <w:ind w:left="22" w:right="22"/>
              <w:jc w:val="center"/>
              <w:rPr>
                <w:rFonts w:ascii="Arial" w:hAnsi="Arial" w:cs="Arial"/>
                <w:color w:val="000000"/>
                <w:sz w:val="16"/>
                <w:szCs w:val="16"/>
              </w:rPr>
            </w:pPr>
            <w:r>
              <w:rPr>
                <w:rFonts w:ascii="Arial" w:hAnsi="Arial" w:cs="Arial"/>
                <w:color w:val="000000"/>
                <w:sz w:val="16"/>
                <w:szCs w:val="16"/>
              </w:rPr>
              <w:t>2</w:t>
            </w:r>
          </w:p>
        </w:tc>
      </w:tr>
      <w:tr w:rsidR="00D92D97" w:rsidTr="00D92D97">
        <w:tblPrEx>
          <w:tblCellMar>
            <w:top w:w="0" w:type="dxa"/>
            <w:left w:w="0" w:type="dxa"/>
            <w:bottom w:w="0" w:type="dxa"/>
            <w:right w:w="0" w:type="dxa"/>
          </w:tblCellMar>
        </w:tblPrEx>
        <w:trPr>
          <w:trHeight w:val="281"/>
        </w:trPr>
        <w:tc>
          <w:tcPr>
            <w:tcW w:w="1058" w:type="dxa"/>
            <w:tcBorders>
              <w:top w:val="nil"/>
              <w:left w:val="single" w:sz="6" w:space="0" w:color="00467E"/>
              <w:bottom w:val="nil"/>
              <w:right w:val="nil"/>
            </w:tcBorders>
            <w:vAlign w:val="center"/>
          </w:tcPr>
          <w:p w:rsidR="00D92D97" w:rsidRDefault="00D92D97" w:rsidP="0073298C">
            <w:pPr>
              <w:spacing w:before="22" w:after="22"/>
              <w:ind w:left="22" w:right="22"/>
              <w:rPr>
                <w:rFonts w:ascii="Arial" w:hAnsi="Arial" w:cs="Arial"/>
                <w:b/>
                <w:bCs w:val="0"/>
                <w:i/>
                <w:iCs/>
                <w:color w:val="9D1B11"/>
                <w:sz w:val="16"/>
                <w:szCs w:val="16"/>
              </w:rPr>
            </w:pPr>
            <w:r>
              <w:rPr>
                <w:rFonts w:ascii="Arial" w:hAnsi="Arial" w:cs="Arial"/>
                <w:b/>
                <w:bCs w:val="0"/>
                <w:i/>
                <w:iCs/>
                <w:color w:val="9D1B11"/>
                <w:sz w:val="16"/>
                <w:szCs w:val="16"/>
              </w:rPr>
              <w:t>Massachusetts</w:t>
            </w:r>
          </w:p>
        </w:tc>
        <w:tc>
          <w:tcPr>
            <w:tcW w:w="104" w:type="dxa"/>
            <w:tcBorders>
              <w:top w:val="nil"/>
              <w:left w:val="nil"/>
              <w:bottom w:val="nil"/>
              <w:right w:val="nil"/>
            </w:tcBorders>
            <w:shd w:val="clear" w:color="00467E" w:fill="00467E"/>
            <w:vAlign w:val="bottom"/>
          </w:tcPr>
          <w:p w:rsidR="00D92D97" w:rsidRDefault="00D92D97" w:rsidP="0073298C">
            <w:pPr>
              <w:spacing w:before="22" w:after="22"/>
              <w:ind w:left="22" w:right="22"/>
              <w:rPr>
                <w:color w:val="000000"/>
              </w:rPr>
            </w:pPr>
            <w:r>
              <w:rPr>
                <w:color w:val="000000"/>
              </w:rPr>
              <w:t> </w:t>
            </w:r>
          </w:p>
        </w:tc>
        <w:tc>
          <w:tcPr>
            <w:tcW w:w="834" w:type="dxa"/>
            <w:tcBorders>
              <w:top w:val="nil"/>
              <w:left w:val="nil"/>
              <w:bottom w:val="nil"/>
              <w:right w:val="nil"/>
            </w:tcBorders>
            <w:vAlign w:val="center"/>
          </w:tcPr>
          <w:p w:rsidR="00D92D97" w:rsidRDefault="00D92D97" w:rsidP="0073298C">
            <w:pPr>
              <w:spacing w:before="22" w:after="22"/>
              <w:ind w:left="22" w:right="22"/>
              <w:rPr>
                <w:color w:val="000000"/>
              </w:rPr>
            </w:pPr>
          </w:p>
          <w:p w:rsidR="00D92D97" w:rsidRDefault="00D92D97" w:rsidP="0073298C">
            <w:pPr>
              <w:rPr>
                <w:sz w:val="16"/>
                <w:szCs w:val="16"/>
              </w:rPr>
            </w:pPr>
            <w:r>
              <w:rPr>
                <w:sz w:val="16"/>
                <w:szCs w:val="16"/>
              </w:rPr>
              <w:t> </w:t>
            </w:r>
          </w:p>
        </w:tc>
        <w:tc>
          <w:tcPr>
            <w:tcW w:w="336" w:type="dxa"/>
            <w:tcBorders>
              <w:top w:val="nil"/>
              <w:left w:val="nil"/>
              <w:bottom w:val="nil"/>
              <w:right w:val="nil"/>
            </w:tcBorders>
            <w:vAlign w:val="bottom"/>
          </w:tcPr>
          <w:p w:rsidR="00D92D97" w:rsidRDefault="00D92D97" w:rsidP="0073298C">
            <w:pPr>
              <w:spacing w:before="22" w:after="22"/>
              <w:ind w:left="22" w:right="22"/>
              <w:rPr>
                <w:color w:val="000000"/>
              </w:rPr>
            </w:pPr>
            <w:r>
              <w:rPr>
                <w:color w:val="000000"/>
              </w:rPr>
              <w:t> </w:t>
            </w:r>
          </w:p>
        </w:tc>
        <w:tc>
          <w:tcPr>
            <w:tcW w:w="837" w:type="dxa"/>
            <w:tcBorders>
              <w:top w:val="nil"/>
              <w:left w:val="nil"/>
              <w:bottom w:val="nil"/>
              <w:right w:val="nil"/>
            </w:tcBorders>
            <w:vAlign w:val="center"/>
          </w:tcPr>
          <w:p w:rsidR="00D92D97" w:rsidRDefault="00D92D97" w:rsidP="0073298C">
            <w:pPr>
              <w:spacing w:before="22" w:after="22"/>
              <w:ind w:left="22" w:right="22"/>
              <w:jc w:val="center"/>
              <w:rPr>
                <w:rFonts w:ascii="Arial" w:hAnsi="Arial" w:cs="Arial"/>
                <w:color w:val="000000"/>
                <w:sz w:val="16"/>
                <w:szCs w:val="16"/>
              </w:rPr>
            </w:pPr>
            <w:r>
              <w:rPr>
                <w:rFonts w:ascii="Arial" w:hAnsi="Arial" w:cs="Arial"/>
                <w:color w:val="000000"/>
                <w:sz w:val="16"/>
                <w:szCs w:val="16"/>
              </w:rPr>
              <w:t>1</w:t>
            </w:r>
          </w:p>
        </w:tc>
        <w:tc>
          <w:tcPr>
            <w:tcW w:w="104" w:type="dxa"/>
            <w:tcBorders>
              <w:top w:val="nil"/>
              <w:left w:val="nil"/>
              <w:bottom w:val="nil"/>
              <w:right w:val="nil"/>
            </w:tcBorders>
            <w:shd w:val="clear" w:color="00467E" w:fill="00467E"/>
            <w:vAlign w:val="bottom"/>
          </w:tcPr>
          <w:p w:rsidR="00D92D97" w:rsidRDefault="00D92D97" w:rsidP="0073298C">
            <w:pPr>
              <w:spacing w:before="22" w:after="22"/>
              <w:ind w:left="22" w:right="22"/>
              <w:rPr>
                <w:color w:val="000000"/>
              </w:rPr>
            </w:pPr>
            <w:r>
              <w:rPr>
                <w:color w:val="000000"/>
              </w:rPr>
              <w:t> </w:t>
            </w:r>
          </w:p>
        </w:tc>
        <w:tc>
          <w:tcPr>
            <w:tcW w:w="1241" w:type="dxa"/>
            <w:tcBorders>
              <w:top w:val="nil"/>
              <w:left w:val="nil"/>
              <w:bottom w:val="nil"/>
              <w:right w:val="nil"/>
            </w:tcBorders>
            <w:vAlign w:val="center"/>
          </w:tcPr>
          <w:p w:rsidR="00D92D97" w:rsidRDefault="00D92D97" w:rsidP="0073298C">
            <w:pPr>
              <w:spacing w:before="22" w:after="22"/>
              <w:ind w:left="22" w:right="22"/>
              <w:rPr>
                <w:color w:val="000000"/>
              </w:rPr>
            </w:pPr>
          </w:p>
          <w:p w:rsidR="00D92D97" w:rsidRDefault="00D92D97" w:rsidP="0073298C">
            <w:pPr>
              <w:rPr>
                <w:sz w:val="16"/>
                <w:szCs w:val="16"/>
              </w:rPr>
            </w:pPr>
            <w:r>
              <w:rPr>
                <w:sz w:val="16"/>
                <w:szCs w:val="16"/>
              </w:rPr>
              <w:t> </w:t>
            </w:r>
          </w:p>
        </w:tc>
        <w:tc>
          <w:tcPr>
            <w:tcW w:w="104" w:type="dxa"/>
            <w:tcBorders>
              <w:top w:val="nil"/>
              <w:left w:val="nil"/>
              <w:bottom w:val="nil"/>
              <w:right w:val="nil"/>
            </w:tcBorders>
            <w:vAlign w:val="bottom"/>
          </w:tcPr>
          <w:p w:rsidR="00D92D97" w:rsidRDefault="00D92D97" w:rsidP="0073298C">
            <w:pPr>
              <w:spacing w:before="22" w:after="22"/>
              <w:ind w:left="22" w:right="22"/>
              <w:rPr>
                <w:color w:val="000000"/>
              </w:rPr>
            </w:pPr>
            <w:r>
              <w:rPr>
                <w:color w:val="000000"/>
              </w:rPr>
              <w:t> </w:t>
            </w:r>
          </w:p>
        </w:tc>
        <w:tc>
          <w:tcPr>
            <w:tcW w:w="1236" w:type="dxa"/>
            <w:tcBorders>
              <w:top w:val="nil"/>
              <w:left w:val="nil"/>
              <w:bottom w:val="nil"/>
              <w:right w:val="nil"/>
            </w:tcBorders>
            <w:vAlign w:val="center"/>
          </w:tcPr>
          <w:p w:rsidR="00D92D97" w:rsidRDefault="00D92D97" w:rsidP="0073298C">
            <w:pPr>
              <w:spacing w:before="22" w:after="22"/>
              <w:ind w:left="22" w:right="22"/>
              <w:jc w:val="center"/>
              <w:rPr>
                <w:rFonts w:ascii="Arial" w:hAnsi="Arial" w:cs="Arial"/>
                <w:color w:val="000000"/>
                <w:sz w:val="16"/>
                <w:szCs w:val="16"/>
              </w:rPr>
            </w:pPr>
            <w:r>
              <w:rPr>
                <w:rFonts w:ascii="Arial" w:hAnsi="Arial" w:cs="Arial"/>
                <w:color w:val="000000"/>
                <w:sz w:val="16"/>
                <w:szCs w:val="16"/>
              </w:rPr>
              <w:t>1</w:t>
            </w:r>
          </w:p>
        </w:tc>
        <w:tc>
          <w:tcPr>
            <w:tcW w:w="104" w:type="dxa"/>
            <w:tcBorders>
              <w:top w:val="nil"/>
              <w:left w:val="nil"/>
              <w:bottom w:val="nil"/>
              <w:right w:val="nil"/>
            </w:tcBorders>
            <w:vAlign w:val="bottom"/>
          </w:tcPr>
          <w:p w:rsidR="00D92D97" w:rsidRDefault="00D92D97" w:rsidP="0073298C">
            <w:pPr>
              <w:spacing w:before="22" w:after="22"/>
              <w:ind w:left="22" w:right="22"/>
              <w:rPr>
                <w:color w:val="000000"/>
              </w:rPr>
            </w:pPr>
            <w:r>
              <w:rPr>
                <w:color w:val="000000"/>
              </w:rPr>
              <w:t> </w:t>
            </w:r>
          </w:p>
        </w:tc>
        <w:tc>
          <w:tcPr>
            <w:tcW w:w="1240" w:type="dxa"/>
            <w:tcBorders>
              <w:top w:val="nil"/>
              <w:left w:val="nil"/>
              <w:bottom w:val="nil"/>
              <w:right w:val="nil"/>
            </w:tcBorders>
            <w:vAlign w:val="center"/>
          </w:tcPr>
          <w:p w:rsidR="00D92D97" w:rsidRDefault="00D92D97" w:rsidP="0073298C">
            <w:pPr>
              <w:spacing w:before="22" w:after="22"/>
              <w:ind w:left="22" w:right="22"/>
              <w:rPr>
                <w:color w:val="000000"/>
              </w:rPr>
            </w:pPr>
          </w:p>
          <w:p w:rsidR="00D92D97" w:rsidRDefault="00D92D97" w:rsidP="0073298C">
            <w:pPr>
              <w:rPr>
                <w:sz w:val="16"/>
                <w:szCs w:val="16"/>
              </w:rPr>
            </w:pPr>
            <w:r>
              <w:rPr>
                <w:sz w:val="16"/>
                <w:szCs w:val="16"/>
              </w:rPr>
              <w:t> </w:t>
            </w:r>
          </w:p>
        </w:tc>
        <w:tc>
          <w:tcPr>
            <w:tcW w:w="104" w:type="dxa"/>
            <w:tcBorders>
              <w:top w:val="nil"/>
              <w:left w:val="nil"/>
              <w:bottom w:val="nil"/>
              <w:right w:val="nil"/>
            </w:tcBorders>
            <w:vAlign w:val="bottom"/>
          </w:tcPr>
          <w:p w:rsidR="00D92D97" w:rsidRDefault="00D92D97" w:rsidP="0073298C">
            <w:pPr>
              <w:spacing w:before="22" w:after="22"/>
              <w:ind w:left="22" w:right="22"/>
              <w:rPr>
                <w:color w:val="000000"/>
              </w:rPr>
            </w:pPr>
            <w:r>
              <w:rPr>
                <w:color w:val="000000"/>
              </w:rPr>
              <w:t> </w:t>
            </w:r>
          </w:p>
        </w:tc>
        <w:tc>
          <w:tcPr>
            <w:tcW w:w="1244" w:type="dxa"/>
            <w:tcBorders>
              <w:top w:val="nil"/>
              <w:left w:val="nil"/>
              <w:bottom w:val="nil"/>
              <w:right w:val="nil"/>
            </w:tcBorders>
            <w:vAlign w:val="center"/>
          </w:tcPr>
          <w:p w:rsidR="00D92D97" w:rsidRDefault="00D92D97" w:rsidP="0073298C">
            <w:pPr>
              <w:spacing w:before="22" w:after="22"/>
              <w:ind w:left="22" w:right="22"/>
              <w:rPr>
                <w:color w:val="000000"/>
              </w:rPr>
            </w:pPr>
          </w:p>
          <w:p w:rsidR="00D92D97" w:rsidRDefault="00D92D97" w:rsidP="0073298C">
            <w:pPr>
              <w:rPr>
                <w:sz w:val="16"/>
                <w:szCs w:val="16"/>
              </w:rPr>
            </w:pPr>
            <w:r>
              <w:rPr>
                <w:sz w:val="16"/>
                <w:szCs w:val="16"/>
              </w:rPr>
              <w:t> </w:t>
            </w:r>
          </w:p>
        </w:tc>
        <w:tc>
          <w:tcPr>
            <w:tcW w:w="104" w:type="dxa"/>
            <w:tcBorders>
              <w:top w:val="nil"/>
              <w:left w:val="nil"/>
              <w:bottom w:val="nil"/>
              <w:right w:val="nil"/>
            </w:tcBorders>
            <w:shd w:val="clear" w:color="00467E" w:fill="00467E"/>
            <w:vAlign w:val="bottom"/>
          </w:tcPr>
          <w:p w:rsidR="00D92D97" w:rsidRDefault="00D92D97" w:rsidP="0073298C">
            <w:pPr>
              <w:spacing w:before="22" w:after="22"/>
              <w:ind w:left="22" w:right="22"/>
              <w:rPr>
                <w:color w:val="000000"/>
              </w:rPr>
            </w:pPr>
            <w:r>
              <w:rPr>
                <w:color w:val="000000"/>
              </w:rPr>
              <w:t> </w:t>
            </w:r>
          </w:p>
        </w:tc>
        <w:tc>
          <w:tcPr>
            <w:tcW w:w="1244" w:type="dxa"/>
            <w:tcBorders>
              <w:top w:val="nil"/>
              <w:left w:val="nil"/>
              <w:bottom w:val="nil"/>
              <w:right w:val="single" w:sz="6" w:space="0" w:color="00467E"/>
            </w:tcBorders>
            <w:vAlign w:val="center"/>
          </w:tcPr>
          <w:p w:rsidR="00D92D97" w:rsidRDefault="00D92D97" w:rsidP="0073298C">
            <w:pPr>
              <w:spacing w:before="22" w:after="22"/>
              <w:ind w:left="22" w:right="22"/>
              <w:jc w:val="center"/>
              <w:rPr>
                <w:rFonts w:ascii="Arial" w:hAnsi="Arial" w:cs="Arial"/>
                <w:color w:val="000000"/>
                <w:sz w:val="16"/>
                <w:szCs w:val="16"/>
              </w:rPr>
            </w:pPr>
            <w:r>
              <w:rPr>
                <w:rFonts w:ascii="Arial" w:hAnsi="Arial" w:cs="Arial"/>
                <w:color w:val="000000"/>
                <w:sz w:val="16"/>
                <w:szCs w:val="16"/>
              </w:rPr>
              <w:t>1</w:t>
            </w:r>
          </w:p>
        </w:tc>
      </w:tr>
      <w:tr w:rsidR="00D92D97" w:rsidTr="00D92D97">
        <w:tblPrEx>
          <w:tblCellMar>
            <w:top w:w="0" w:type="dxa"/>
            <w:left w:w="0" w:type="dxa"/>
            <w:bottom w:w="0" w:type="dxa"/>
            <w:right w:w="0" w:type="dxa"/>
          </w:tblCellMar>
        </w:tblPrEx>
        <w:trPr>
          <w:trHeight w:val="281"/>
        </w:trPr>
        <w:tc>
          <w:tcPr>
            <w:tcW w:w="1058" w:type="dxa"/>
            <w:tcBorders>
              <w:top w:val="nil"/>
              <w:left w:val="single" w:sz="6" w:space="0" w:color="00467E"/>
              <w:bottom w:val="nil"/>
              <w:right w:val="nil"/>
            </w:tcBorders>
            <w:shd w:val="clear" w:color="CFD4D8" w:fill="CFD4D8"/>
            <w:vAlign w:val="center"/>
          </w:tcPr>
          <w:p w:rsidR="00D92D97" w:rsidRDefault="00D92D97" w:rsidP="0073298C">
            <w:pPr>
              <w:spacing w:before="22" w:after="22"/>
              <w:ind w:left="22" w:right="22"/>
              <w:rPr>
                <w:rFonts w:ascii="Arial" w:hAnsi="Arial" w:cs="Arial"/>
                <w:b/>
                <w:bCs w:val="0"/>
                <w:i/>
                <w:iCs/>
                <w:color w:val="9D1B11"/>
                <w:sz w:val="16"/>
                <w:szCs w:val="16"/>
              </w:rPr>
            </w:pPr>
            <w:r>
              <w:rPr>
                <w:rFonts w:ascii="Arial" w:hAnsi="Arial" w:cs="Arial"/>
                <w:b/>
                <w:bCs w:val="0"/>
                <w:i/>
                <w:iCs/>
                <w:color w:val="9D1B11"/>
                <w:sz w:val="16"/>
                <w:szCs w:val="16"/>
              </w:rPr>
              <w:t>Mexico</w:t>
            </w:r>
          </w:p>
        </w:tc>
        <w:tc>
          <w:tcPr>
            <w:tcW w:w="104" w:type="dxa"/>
            <w:tcBorders>
              <w:top w:val="nil"/>
              <w:left w:val="nil"/>
              <w:bottom w:val="nil"/>
              <w:right w:val="nil"/>
            </w:tcBorders>
            <w:shd w:val="clear" w:color="00467E" w:fill="00467E"/>
            <w:vAlign w:val="bottom"/>
          </w:tcPr>
          <w:p w:rsidR="00D92D97" w:rsidRDefault="00D92D97" w:rsidP="0073298C">
            <w:pPr>
              <w:spacing w:before="22" w:after="22"/>
              <w:ind w:left="22" w:right="22"/>
              <w:rPr>
                <w:color w:val="000000"/>
              </w:rPr>
            </w:pPr>
            <w:r>
              <w:rPr>
                <w:color w:val="000000"/>
              </w:rPr>
              <w:t> </w:t>
            </w:r>
          </w:p>
        </w:tc>
        <w:tc>
          <w:tcPr>
            <w:tcW w:w="834" w:type="dxa"/>
            <w:tcBorders>
              <w:top w:val="nil"/>
              <w:left w:val="nil"/>
              <w:bottom w:val="nil"/>
              <w:right w:val="nil"/>
            </w:tcBorders>
            <w:shd w:val="clear" w:color="CFD4D8" w:fill="CFD4D8"/>
            <w:vAlign w:val="center"/>
          </w:tcPr>
          <w:p w:rsidR="00D92D97" w:rsidRDefault="00D92D97" w:rsidP="0073298C">
            <w:pPr>
              <w:spacing w:before="22" w:after="22"/>
              <w:ind w:left="22" w:right="22"/>
              <w:jc w:val="center"/>
              <w:rPr>
                <w:rFonts w:ascii="Arial" w:hAnsi="Arial" w:cs="Arial"/>
                <w:color w:val="000000"/>
                <w:sz w:val="16"/>
                <w:szCs w:val="16"/>
              </w:rPr>
            </w:pPr>
            <w:r>
              <w:rPr>
                <w:rFonts w:ascii="Arial" w:hAnsi="Arial" w:cs="Arial"/>
                <w:color w:val="000000"/>
                <w:sz w:val="16"/>
                <w:szCs w:val="16"/>
              </w:rPr>
              <w:t>3</w:t>
            </w:r>
          </w:p>
        </w:tc>
        <w:tc>
          <w:tcPr>
            <w:tcW w:w="336" w:type="dxa"/>
            <w:tcBorders>
              <w:top w:val="nil"/>
              <w:left w:val="nil"/>
              <w:bottom w:val="nil"/>
              <w:right w:val="nil"/>
            </w:tcBorders>
            <w:shd w:val="clear" w:color="CFD4D8" w:fill="CFD4D8"/>
            <w:vAlign w:val="bottom"/>
          </w:tcPr>
          <w:p w:rsidR="00D92D97" w:rsidRDefault="00D92D97" w:rsidP="0073298C">
            <w:pPr>
              <w:spacing w:before="22" w:after="22"/>
              <w:ind w:left="22" w:right="22"/>
              <w:rPr>
                <w:color w:val="000000"/>
              </w:rPr>
            </w:pPr>
            <w:r>
              <w:rPr>
                <w:color w:val="000000"/>
              </w:rPr>
              <w:t> </w:t>
            </w:r>
          </w:p>
        </w:tc>
        <w:tc>
          <w:tcPr>
            <w:tcW w:w="837" w:type="dxa"/>
            <w:tcBorders>
              <w:top w:val="nil"/>
              <w:left w:val="nil"/>
              <w:bottom w:val="nil"/>
              <w:right w:val="nil"/>
            </w:tcBorders>
            <w:shd w:val="clear" w:color="CFD4D8" w:fill="CFD4D8"/>
            <w:vAlign w:val="center"/>
          </w:tcPr>
          <w:p w:rsidR="00D92D97" w:rsidRDefault="00D92D97" w:rsidP="0073298C">
            <w:pPr>
              <w:spacing w:before="22" w:after="22"/>
              <w:ind w:left="22" w:right="22"/>
              <w:rPr>
                <w:color w:val="000000"/>
              </w:rPr>
            </w:pPr>
          </w:p>
          <w:p w:rsidR="00D92D97" w:rsidRDefault="00D92D97" w:rsidP="0073298C">
            <w:pPr>
              <w:rPr>
                <w:sz w:val="16"/>
                <w:szCs w:val="16"/>
              </w:rPr>
            </w:pPr>
            <w:r>
              <w:rPr>
                <w:sz w:val="16"/>
                <w:szCs w:val="16"/>
              </w:rPr>
              <w:lastRenderedPageBreak/>
              <w:t> </w:t>
            </w:r>
          </w:p>
        </w:tc>
        <w:tc>
          <w:tcPr>
            <w:tcW w:w="104" w:type="dxa"/>
            <w:tcBorders>
              <w:top w:val="nil"/>
              <w:left w:val="nil"/>
              <w:bottom w:val="nil"/>
              <w:right w:val="nil"/>
            </w:tcBorders>
            <w:shd w:val="clear" w:color="00467E" w:fill="00467E"/>
            <w:vAlign w:val="bottom"/>
          </w:tcPr>
          <w:p w:rsidR="00D92D97" w:rsidRDefault="00D92D97" w:rsidP="0073298C">
            <w:pPr>
              <w:spacing w:before="22" w:after="22"/>
              <w:ind w:left="22" w:right="22"/>
              <w:rPr>
                <w:color w:val="000000"/>
              </w:rPr>
            </w:pPr>
            <w:r>
              <w:rPr>
                <w:color w:val="000000"/>
              </w:rPr>
              <w:lastRenderedPageBreak/>
              <w:t> </w:t>
            </w:r>
          </w:p>
        </w:tc>
        <w:tc>
          <w:tcPr>
            <w:tcW w:w="1241" w:type="dxa"/>
            <w:tcBorders>
              <w:top w:val="nil"/>
              <w:left w:val="nil"/>
              <w:bottom w:val="nil"/>
              <w:right w:val="nil"/>
            </w:tcBorders>
            <w:shd w:val="clear" w:color="CFD4D8" w:fill="CFD4D8"/>
            <w:vAlign w:val="center"/>
          </w:tcPr>
          <w:p w:rsidR="00D92D97" w:rsidRDefault="00D92D97" w:rsidP="0073298C">
            <w:pPr>
              <w:spacing w:before="22" w:after="22"/>
              <w:ind w:left="22" w:right="22"/>
              <w:rPr>
                <w:color w:val="000000"/>
              </w:rPr>
            </w:pPr>
          </w:p>
          <w:p w:rsidR="00D92D97" w:rsidRDefault="00D92D97" w:rsidP="0073298C">
            <w:pPr>
              <w:rPr>
                <w:sz w:val="16"/>
                <w:szCs w:val="16"/>
              </w:rPr>
            </w:pPr>
            <w:r>
              <w:rPr>
                <w:sz w:val="16"/>
                <w:szCs w:val="16"/>
              </w:rPr>
              <w:lastRenderedPageBreak/>
              <w:t> </w:t>
            </w:r>
          </w:p>
        </w:tc>
        <w:tc>
          <w:tcPr>
            <w:tcW w:w="104" w:type="dxa"/>
            <w:tcBorders>
              <w:top w:val="nil"/>
              <w:left w:val="nil"/>
              <w:bottom w:val="nil"/>
              <w:right w:val="nil"/>
            </w:tcBorders>
            <w:shd w:val="clear" w:color="CFD4D8" w:fill="CFD4D8"/>
            <w:vAlign w:val="bottom"/>
          </w:tcPr>
          <w:p w:rsidR="00D92D97" w:rsidRDefault="00D92D97" w:rsidP="0073298C">
            <w:pPr>
              <w:spacing w:before="22" w:after="22"/>
              <w:ind w:left="22" w:right="22"/>
              <w:rPr>
                <w:color w:val="000000"/>
              </w:rPr>
            </w:pPr>
            <w:r>
              <w:rPr>
                <w:color w:val="000000"/>
              </w:rPr>
              <w:lastRenderedPageBreak/>
              <w:t> </w:t>
            </w:r>
          </w:p>
        </w:tc>
        <w:tc>
          <w:tcPr>
            <w:tcW w:w="1236" w:type="dxa"/>
            <w:tcBorders>
              <w:top w:val="nil"/>
              <w:left w:val="nil"/>
              <w:bottom w:val="nil"/>
              <w:right w:val="nil"/>
            </w:tcBorders>
            <w:shd w:val="clear" w:color="CFD4D8" w:fill="CFD4D8"/>
            <w:vAlign w:val="center"/>
          </w:tcPr>
          <w:p w:rsidR="00D92D97" w:rsidRDefault="00D92D97" w:rsidP="0073298C">
            <w:pPr>
              <w:spacing w:before="22" w:after="22"/>
              <w:ind w:left="22" w:right="22"/>
              <w:jc w:val="center"/>
              <w:rPr>
                <w:rFonts w:ascii="Arial" w:hAnsi="Arial" w:cs="Arial"/>
                <w:color w:val="000000"/>
                <w:sz w:val="16"/>
                <w:szCs w:val="16"/>
              </w:rPr>
            </w:pPr>
            <w:r>
              <w:rPr>
                <w:rFonts w:ascii="Arial" w:hAnsi="Arial" w:cs="Arial"/>
                <w:color w:val="000000"/>
                <w:sz w:val="16"/>
                <w:szCs w:val="16"/>
              </w:rPr>
              <w:t>3</w:t>
            </w:r>
          </w:p>
        </w:tc>
        <w:tc>
          <w:tcPr>
            <w:tcW w:w="104" w:type="dxa"/>
            <w:tcBorders>
              <w:top w:val="nil"/>
              <w:left w:val="nil"/>
              <w:bottom w:val="nil"/>
              <w:right w:val="nil"/>
            </w:tcBorders>
            <w:shd w:val="clear" w:color="CFD4D8" w:fill="CFD4D8"/>
            <w:vAlign w:val="bottom"/>
          </w:tcPr>
          <w:p w:rsidR="00D92D97" w:rsidRDefault="00D92D97" w:rsidP="0073298C">
            <w:pPr>
              <w:spacing w:before="22" w:after="22"/>
              <w:ind w:left="22" w:right="22"/>
              <w:rPr>
                <w:color w:val="000000"/>
              </w:rPr>
            </w:pPr>
            <w:r>
              <w:rPr>
                <w:color w:val="000000"/>
              </w:rPr>
              <w:t> </w:t>
            </w:r>
          </w:p>
        </w:tc>
        <w:tc>
          <w:tcPr>
            <w:tcW w:w="1240" w:type="dxa"/>
            <w:tcBorders>
              <w:top w:val="nil"/>
              <w:left w:val="nil"/>
              <w:bottom w:val="nil"/>
              <w:right w:val="nil"/>
            </w:tcBorders>
            <w:shd w:val="clear" w:color="CFD4D8" w:fill="CFD4D8"/>
            <w:vAlign w:val="center"/>
          </w:tcPr>
          <w:p w:rsidR="00D92D97" w:rsidRDefault="00D92D97" w:rsidP="0073298C">
            <w:pPr>
              <w:spacing w:before="22" w:after="22"/>
              <w:ind w:left="22" w:right="22"/>
              <w:rPr>
                <w:color w:val="000000"/>
              </w:rPr>
            </w:pPr>
          </w:p>
          <w:p w:rsidR="00D92D97" w:rsidRDefault="00D92D97" w:rsidP="0073298C">
            <w:pPr>
              <w:rPr>
                <w:sz w:val="16"/>
                <w:szCs w:val="16"/>
              </w:rPr>
            </w:pPr>
            <w:r>
              <w:rPr>
                <w:sz w:val="16"/>
                <w:szCs w:val="16"/>
              </w:rPr>
              <w:lastRenderedPageBreak/>
              <w:t> </w:t>
            </w:r>
          </w:p>
        </w:tc>
        <w:tc>
          <w:tcPr>
            <w:tcW w:w="104" w:type="dxa"/>
            <w:tcBorders>
              <w:top w:val="nil"/>
              <w:left w:val="nil"/>
              <w:bottom w:val="nil"/>
              <w:right w:val="nil"/>
            </w:tcBorders>
            <w:shd w:val="clear" w:color="CFD4D8" w:fill="CFD4D8"/>
            <w:vAlign w:val="bottom"/>
          </w:tcPr>
          <w:p w:rsidR="00D92D97" w:rsidRDefault="00D92D97" w:rsidP="0073298C">
            <w:pPr>
              <w:spacing w:before="22" w:after="22"/>
              <w:ind w:left="22" w:right="22"/>
              <w:rPr>
                <w:color w:val="000000"/>
              </w:rPr>
            </w:pPr>
            <w:r>
              <w:rPr>
                <w:color w:val="000000"/>
              </w:rPr>
              <w:lastRenderedPageBreak/>
              <w:t> </w:t>
            </w:r>
          </w:p>
        </w:tc>
        <w:tc>
          <w:tcPr>
            <w:tcW w:w="1244" w:type="dxa"/>
            <w:tcBorders>
              <w:top w:val="nil"/>
              <w:left w:val="nil"/>
              <w:bottom w:val="nil"/>
              <w:right w:val="nil"/>
            </w:tcBorders>
            <w:shd w:val="clear" w:color="CFD4D8" w:fill="CFD4D8"/>
            <w:vAlign w:val="center"/>
          </w:tcPr>
          <w:p w:rsidR="00D92D97" w:rsidRDefault="00D92D97" w:rsidP="0073298C">
            <w:pPr>
              <w:spacing w:before="22" w:after="22"/>
              <w:ind w:left="22" w:right="22"/>
              <w:rPr>
                <w:color w:val="000000"/>
              </w:rPr>
            </w:pPr>
          </w:p>
          <w:p w:rsidR="00D92D97" w:rsidRDefault="00D92D97" w:rsidP="0073298C">
            <w:pPr>
              <w:rPr>
                <w:sz w:val="16"/>
                <w:szCs w:val="16"/>
              </w:rPr>
            </w:pPr>
            <w:r>
              <w:rPr>
                <w:sz w:val="16"/>
                <w:szCs w:val="16"/>
              </w:rPr>
              <w:lastRenderedPageBreak/>
              <w:t> </w:t>
            </w:r>
          </w:p>
        </w:tc>
        <w:tc>
          <w:tcPr>
            <w:tcW w:w="104" w:type="dxa"/>
            <w:tcBorders>
              <w:top w:val="nil"/>
              <w:left w:val="nil"/>
              <w:bottom w:val="nil"/>
              <w:right w:val="nil"/>
            </w:tcBorders>
            <w:shd w:val="clear" w:color="00467E" w:fill="00467E"/>
            <w:vAlign w:val="bottom"/>
          </w:tcPr>
          <w:p w:rsidR="00D92D97" w:rsidRDefault="00D92D97" w:rsidP="0073298C">
            <w:pPr>
              <w:spacing w:before="22" w:after="22"/>
              <w:ind w:left="22" w:right="22"/>
              <w:rPr>
                <w:color w:val="000000"/>
              </w:rPr>
            </w:pPr>
            <w:r>
              <w:rPr>
                <w:color w:val="000000"/>
              </w:rPr>
              <w:lastRenderedPageBreak/>
              <w:t> </w:t>
            </w:r>
          </w:p>
        </w:tc>
        <w:tc>
          <w:tcPr>
            <w:tcW w:w="1244" w:type="dxa"/>
            <w:tcBorders>
              <w:top w:val="nil"/>
              <w:left w:val="nil"/>
              <w:bottom w:val="nil"/>
              <w:right w:val="single" w:sz="6" w:space="0" w:color="00467E"/>
            </w:tcBorders>
            <w:shd w:val="clear" w:color="CFD4D8" w:fill="CFD4D8"/>
            <w:vAlign w:val="center"/>
          </w:tcPr>
          <w:p w:rsidR="00D92D97" w:rsidRDefault="00D92D97" w:rsidP="0073298C">
            <w:pPr>
              <w:spacing w:before="22" w:after="22"/>
              <w:ind w:left="22" w:right="22"/>
              <w:jc w:val="center"/>
              <w:rPr>
                <w:rFonts w:ascii="Arial" w:hAnsi="Arial" w:cs="Arial"/>
                <w:color w:val="000000"/>
                <w:sz w:val="16"/>
                <w:szCs w:val="16"/>
              </w:rPr>
            </w:pPr>
            <w:r>
              <w:rPr>
                <w:rFonts w:ascii="Arial" w:hAnsi="Arial" w:cs="Arial"/>
                <w:color w:val="000000"/>
                <w:sz w:val="16"/>
                <w:szCs w:val="16"/>
              </w:rPr>
              <w:t>3</w:t>
            </w:r>
          </w:p>
        </w:tc>
      </w:tr>
      <w:tr w:rsidR="00D92D97" w:rsidTr="00D92D97">
        <w:tblPrEx>
          <w:tblCellMar>
            <w:top w:w="0" w:type="dxa"/>
            <w:left w:w="0" w:type="dxa"/>
            <w:bottom w:w="0" w:type="dxa"/>
            <w:right w:w="0" w:type="dxa"/>
          </w:tblCellMar>
        </w:tblPrEx>
        <w:trPr>
          <w:trHeight w:val="281"/>
        </w:trPr>
        <w:tc>
          <w:tcPr>
            <w:tcW w:w="1058" w:type="dxa"/>
            <w:tcBorders>
              <w:top w:val="nil"/>
              <w:left w:val="single" w:sz="6" w:space="0" w:color="00467E"/>
              <w:bottom w:val="nil"/>
              <w:right w:val="nil"/>
            </w:tcBorders>
            <w:vAlign w:val="center"/>
          </w:tcPr>
          <w:p w:rsidR="00D92D97" w:rsidRDefault="00D92D97" w:rsidP="0073298C">
            <w:pPr>
              <w:spacing w:before="22" w:after="22"/>
              <w:ind w:left="22" w:right="22"/>
              <w:rPr>
                <w:rFonts w:ascii="Arial" w:hAnsi="Arial" w:cs="Arial"/>
                <w:b/>
                <w:bCs w:val="0"/>
                <w:i/>
                <w:iCs/>
                <w:color w:val="9D1B11"/>
                <w:sz w:val="16"/>
                <w:szCs w:val="16"/>
              </w:rPr>
            </w:pPr>
            <w:r>
              <w:rPr>
                <w:rFonts w:ascii="Arial" w:hAnsi="Arial" w:cs="Arial"/>
                <w:b/>
                <w:bCs w:val="0"/>
                <w:i/>
                <w:iCs/>
                <w:color w:val="9D1B11"/>
                <w:sz w:val="16"/>
                <w:szCs w:val="16"/>
              </w:rPr>
              <w:lastRenderedPageBreak/>
              <w:t>Michigan</w:t>
            </w:r>
          </w:p>
        </w:tc>
        <w:tc>
          <w:tcPr>
            <w:tcW w:w="104" w:type="dxa"/>
            <w:tcBorders>
              <w:top w:val="nil"/>
              <w:left w:val="nil"/>
              <w:bottom w:val="nil"/>
              <w:right w:val="nil"/>
            </w:tcBorders>
            <w:shd w:val="clear" w:color="00467E" w:fill="00467E"/>
            <w:vAlign w:val="bottom"/>
          </w:tcPr>
          <w:p w:rsidR="00D92D97" w:rsidRDefault="00D92D97" w:rsidP="0073298C">
            <w:pPr>
              <w:spacing w:before="22" w:after="22"/>
              <w:ind w:left="22" w:right="22"/>
              <w:rPr>
                <w:color w:val="000000"/>
              </w:rPr>
            </w:pPr>
            <w:r>
              <w:rPr>
                <w:color w:val="000000"/>
              </w:rPr>
              <w:t> </w:t>
            </w:r>
          </w:p>
        </w:tc>
        <w:tc>
          <w:tcPr>
            <w:tcW w:w="834" w:type="dxa"/>
            <w:tcBorders>
              <w:top w:val="nil"/>
              <w:left w:val="nil"/>
              <w:bottom w:val="nil"/>
              <w:right w:val="nil"/>
            </w:tcBorders>
            <w:vAlign w:val="center"/>
          </w:tcPr>
          <w:p w:rsidR="00D92D97" w:rsidRDefault="00D92D97" w:rsidP="0073298C">
            <w:pPr>
              <w:spacing w:before="22" w:after="22"/>
              <w:ind w:left="22" w:right="22"/>
              <w:jc w:val="center"/>
              <w:rPr>
                <w:rFonts w:ascii="Arial" w:hAnsi="Arial" w:cs="Arial"/>
                <w:color w:val="000000"/>
                <w:sz w:val="16"/>
                <w:szCs w:val="16"/>
              </w:rPr>
            </w:pPr>
            <w:r>
              <w:rPr>
                <w:rFonts w:ascii="Arial" w:hAnsi="Arial" w:cs="Arial"/>
                <w:color w:val="000000"/>
                <w:sz w:val="16"/>
                <w:szCs w:val="16"/>
              </w:rPr>
              <w:t>1</w:t>
            </w:r>
          </w:p>
        </w:tc>
        <w:tc>
          <w:tcPr>
            <w:tcW w:w="336" w:type="dxa"/>
            <w:tcBorders>
              <w:top w:val="nil"/>
              <w:left w:val="nil"/>
              <w:bottom w:val="nil"/>
              <w:right w:val="nil"/>
            </w:tcBorders>
            <w:vAlign w:val="bottom"/>
          </w:tcPr>
          <w:p w:rsidR="00D92D97" w:rsidRDefault="00D92D97" w:rsidP="0073298C">
            <w:pPr>
              <w:spacing w:before="22" w:after="22"/>
              <w:ind w:left="22" w:right="22"/>
              <w:rPr>
                <w:color w:val="000000"/>
              </w:rPr>
            </w:pPr>
            <w:r>
              <w:rPr>
                <w:color w:val="000000"/>
              </w:rPr>
              <w:t> </w:t>
            </w:r>
          </w:p>
        </w:tc>
        <w:tc>
          <w:tcPr>
            <w:tcW w:w="837" w:type="dxa"/>
            <w:tcBorders>
              <w:top w:val="nil"/>
              <w:left w:val="nil"/>
              <w:bottom w:val="nil"/>
              <w:right w:val="nil"/>
            </w:tcBorders>
            <w:vAlign w:val="center"/>
          </w:tcPr>
          <w:p w:rsidR="00D92D97" w:rsidRDefault="00D92D97" w:rsidP="0073298C">
            <w:pPr>
              <w:spacing w:before="22" w:after="22"/>
              <w:ind w:left="22" w:right="22"/>
              <w:jc w:val="center"/>
              <w:rPr>
                <w:rFonts w:ascii="Arial" w:hAnsi="Arial" w:cs="Arial"/>
                <w:color w:val="000000"/>
                <w:sz w:val="16"/>
                <w:szCs w:val="16"/>
              </w:rPr>
            </w:pPr>
            <w:r>
              <w:rPr>
                <w:rFonts w:ascii="Arial" w:hAnsi="Arial" w:cs="Arial"/>
                <w:color w:val="000000"/>
                <w:sz w:val="16"/>
                <w:szCs w:val="16"/>
              </w:rPr>
              <w:t>1</w:t>
            </w:r>
          </w:p>
        </w:tc>
        <w:tc>
          <w:tcPr>
            <w:tcW w:w="104" w:type="dxa"/>
            <w:tcBorders>
              <w:top w:val="nil"/>
              <w:left w:val="nil"/>
              <w:bottom w:val="nil"/>
              <w:right w:val="nil"/>
            </w:tcBorders>
            <w:shd w:val="clear" w:color="00467E" w:fill="00467E"/>
            <w:vAlign w:val="bottom"/>
          </w:tcPr>
          <w:p w:rsidR="00D92D97" w:rsidRDefault="00D92D97" w:rsidP="0073298C">
            <w:pPr>
              <w:spacing w:before="22" w:after="22"/>
              <w:ind w:left="22" w:right="22"/>
              <w:rPr>
                <w:color w:val="000000"/>
              </w:rPr>
            </w:pPr>
            <w:r>
              <w:rPr>
                <w:color w:val="000000"/>
              </w:rPr>
              <w:t> </w:t>
            </w:r>
          </w:p>
        </w:tc>
        <w:tc>
          <w:tcPr>
            <w:tcW w:w="1241" w:type="dxa"/>
            <w:tcBorders>
              <w:top w:val="nil"/>
              <w:left w:val="nil"/>
              <w:bottom w:val="nil"/>
              <w:right w:val="nil"/>
            </w:tcBorders>
            <w:vAlign w:val="center"/>
          </w:tcPr>
          <w:p w:rsidR="00D92D97" w:rsidRDefault="00D92D97" w:rsidP="0073298C">
            <w:pPr>
              <w:spacing w:before="22" w:after="22"/>
              <w:ind w:left="22" w:right="22"/>
              <w:jc w:val="center"/>
              <w:rPr>
                <w:rFonts w:ascii="Arial" w:hAnsi="Arial" w:cs="Arial"/>
                <w:color w:val="000000"/>
                <w:sz w:val="16"/>
                <w:szCs w:val="16"/>
              </w:rPr>
            </w:pPr>
            <w:r>
              <w:rPr>
                <w:rFonts w:ascii="Arial" w:hAnsi="Arial" w:cs="Arial"/>
                <w:color w:val="000000"/>
                <w:sz w:val="16"/>
                <w:szCs w:val="16"/>
              </w:rPr>
              <w:t>1</w:t>
            </w:r>
          </w:p>
        </w:tc>
        <w:tc>
          <w:tcPr>
            <w:tcW w:w="104" w:type="dxa"/>
            <w:tcBorders>
              <w:top w:val="nil"/>
              <w:left w:val="nil"/>
              <w:bottom w:val="nil"/>
              <w:right w:val="nil"/>
            </w:tcBorders>
            <w:vAlign w:val="bottom"/>
          </w:tcPr>
          <w:p w:rsidR="00D92D97" w:rsidRDefault="00D92D97" w:rsidP="0073298C">
            <w:pPr>
              <w:spacing w:before="22" w:after="22"/>
              <w:ind w:left="22" w:right="22"/>
              <w:rPr>
                <w:color w:val="000000"/>
              </w:rPr>
            </w:pPr>
            <w:r>
              <w:rPr>
                <w:color w:val="000000"/>
              </w:rPr>
              <w:t> </w:t>
            </w:r>
          </w:p>
        </w:tc>
        <w:tc>
          <w:tcPr>
            <w:tcW w:w="1236" w:type="dxa"/>
            <w:tcBorders>
              <w:top w:val="nil"/>
              <w:left w:val="nil"/>
              <w:bottom w:val="nil"/>
              <w:right w:val="nil"/>
            </w:tcBorders>
            <w:vAlign w:val="center"/>
          </w:tcPr>
          <w:p w:rsidR="00D92D97" w:rsidRDefault="00D92D97" w:rsidP="0073298C">
            <w:pPr>
              <w:spacing w:before="22" w:after="22"/>
              <w:ind w:left="22" w:right="22"/>
              <w:jc w:val="center"/>
              <w:rPr>
                <w:rFonts w:ascii="Arial" w:hAnsi="Arial" w:cs="Arial"/>
                <w:color w:val="000000"/>
                <w:sz w:val="16"/>
                <w:szCs w:val="16"/>
              </w:rPr>
            </w:pPr>
            <w:r>
              <w:rPr>
                <w:rFonts w:ascii="Arial" w:hAnsi="Arial" w:cs="Arial"/>
                <w:color w:val="000000"/>
                <w:sz w:val="16"/>
                <w:szCs w:val="16"/>
              </w:rPr>
              <w:t>1</w:t>
            </w:r>
          </w:p>
        </w:tc>
        <w:tc>
          <w:tcPr>
            <w:tcW w:w="104" w:type="dxa"/>
            <w:tcBorders>
              <w:top w:val="nil"/>
              <w:left w:val="nil"/>
              <w:bottom w:val="nil"/>
              <w:right w:val="nil"/>
            </w:tcBorders>
            <w:vAlign w:val="bottom"/>
          </w:tcPr>
          <w:p w:rsidR="00D92D97" w:rsidRDefault="00D92D97" w:rsidP="0073298C">
            <w:pPr>
              <w:spacing w:before="22" w:after="22"/>
              <w:ind w:left="22" w:right="22"/>
              <w:rPr>
                <w:color w:val="000000"/>
              </w:rPr>
            </w:pPr>
            <w:r>
              <w:rPr>
                <w:color w:val="000000"/>
              </w:rPr>
              <w:t> </w:t>
            </w:r>
          </w:p>
        </w:tc>
        <w:tc>
          <w:tcPr>
            <w:tcW w:w="1240" w:type="dxa"/>
            <w:tcBorders>
              <w:top w:val="nil"/>
              <w:left w:val="nil"/>
              <w:bottom w:val="nil"/>
              <w:right w:val="nil"/>
            </w:tcBorders>
            <w:vAlign w:val="center"/>
          </w:tcPr>
          <w:p w:rsidR="00D92D97" w:rsidRDefault="00D92D97" w:rsidP="0073298C">
            <w:pPr>
              <w:spacing w:before="22" w:after="22"/>
              <w:ind w:left="22" w:right="22"/>
              <w:rPr>
                <w:color w:val="000000"/>
              </w:rPr>
            </w:pPr>
          </w:p>
          <w:p w:rsidR="00D92D97" w:rsidRDefault="00D92D97" w:rsidP="0073298C">
            <w:pPr>
              <w:rPr>
                <w:sz w:val="16"/>
                <w:szCs w:val="16"/>
              </w:rPr>
            </w:pPr>
            <w:r>
              <w:rPr>
                <w:sz w:val="16"/>
                <w:szCs w:val="16"/>
              </w:rPr>
              <w:t> </w:t>
            </w:r>
          </w:p>
        </w:tc>
        <w:tc>
          <w:tcPr>
            <w:tcW w:w="104" w:type="dxa"/>
            <w:tcBorders>
              <w:top w:val="nil"/>
              <w:left w:val="nil"/>
              <w:bottom w:val="nil"/>
              <w:right w:val="nil"/>
            </w:tcBorders>
            <w:vAlign w:val="bottom"/>
          </w:tcPr>
          <w:p w:rsidR="00D92D97" w:rsidRDefault="00D92D97" w:rsidP="0073298C">
            <w:pPr>
              <w:spacing w:before="22" w:after="22"/>
              <w:ind w:left="22" w:right="22"/>
              <w:rPr>
                <w:color w:val="000000"/>
              </w:rPr>
            </w:pPr>
            <w:r>
              <w:rPr>
                <w:color w:val="000000"/>
              </w:rPr>
              <w:t> </w:t>
            </w:r>
          </w:p>
        </w:tc>
        <w:tc>
          <w:tcPr>
            <w:tcW w:w="1244" w:type="dxa"/>
            <w:tcBorders>
              <w:top w:val="nil"/>
              <w:left w:val="nil"/>
              <w:bottom w:val="nil"/>
              <w:right w:val="nil"/>
            </w:tcBorders>
            <w:vAlign w:val="center"/>
          </w:tcPr>
          <w:p w:rsidR="00D92D97" w:rsidRDefault="00D92D97" w:rsidP="0073298C">
            <w:pPr>
              <w:spacing w:before="22" w:after="22"/>
              <w:ind w:left="22" w:right="22"/>
              <w:rPr>
                <w:color w:val="000000"/>
              </w:rPr>
            </w:pPr>
          </w:p>
          <w:p w:rsidR="00D92D97" w:rsidRDefault="00D92D97" w:rsidP="0073298C">
            <w:pPr>
              <w:rPr>
                <w:sz w:val="16"/>
                <w:szCs w:val="16"/>
              </w:rPr>
            </w:pPr>
            <w:r>
              <w:rPr>
                <w:sz w:val="16"/>
                <w:szCs w:val="16"/>
              </w:rPr>
              <w:t> </w:t>
            </w:r>
          </w:p>
        </w:tc>
        <w:tc>
          <w:tcPr>
            <w:tcW w:w="104" w:type="dxa"/>
            <w:tcBorders>
              <w:top w:val="nil"/>
              <w:left w:val="nil"/>
              <w:bottom w:val="nil"/>
              <w:right w:val="nil"/>
            </w:tcBorders>
            <w:shd w:val="clear" w:color="00467E" w:fill="00467E"/>
            <w:vAlign w:val="bottom"/>
          </w:tcPr>
          <w:p w:rsidR="00D92D97" w:rsidRDefault="00D92D97" w:rsidP="0073298C">
            <w:pPr>
              <w:spacing w:before="22" w:after="22"/>
              <w:ind w:left="22" w:right="22"/>
              <w:rPr>
                <w:color w:val="000000"/>
              </w:rPr>
            </w:pPr>
            <w:r>
              <w:rPr>
                <w:color w:val="000000"/>
              </w:rPr>
              <w:t> </w:t>
            </w:r>
          </w:p>
        </w:tc>
        <w:tc>
          <w:tcPr>
            <w:tcW w:w="1244" w:type="dxa"/>
            <w:tcBorders>
              <w:top w:val="nil"/>
              <w:left w:val="nil"/>
              <w:bottom w:val="nil"/>
              <w:right w:val="single" w:sz="6" w:space="0" w:color="00467E"/>
            </w:tcBorders>
            <w:vAlign w:val="center"/>
          </w:tcPr>
          <w:p w:rsidR="00D92D97" w:rsidRDefault="00D92D97" w:rsidP="0073298C">
            <w:pPr>
              <w:spacing w:before="22" w:after="22"/>
              <w:ind w:left="22" w:right="22"/>
              <w:jc w:val="center"/>
              <w:rPr>
                <w:rFonts w:ascii="Arial" w:hAnsi="Arial" w:cs="Arial"/>
                <w:color w:val="000000"/>
                <w:sz w:val="16"/>
                <w:szCs w:val="16"/>
              </w:rPr>
            </w:pPr>
            <w:r>
              <w:rPr>
                <w:rFonts w:ascii="Arial" w:hAnsi="Arial" w:cs="Arial"/>
                <w:color w:val="000000"/>
                <w:sz w:val="16"/>
                <w:szCs w:val="16"/>
              </w:rPr>
              <w:t>2</w:t>
            </w:r>
          </w:p>
        </w:tc>
      </w:tr>
      <w:tr w:rsidR="00D92D97" w:rsidTr="00D92D97">
        <w:tblPrEx>
          <w:tblCellMar>
            <w:top w:w="0" w:type="dxa"/>
            <w:left w:w="0" w:type="dxa"/>
            <w:bottom w:w="0" w:type="dxa"/>
            <w:right w:w="0" w:type="dxa"/>
          </w:tblCellMar>
        </w:tblPrEx>
        <w:trPr>
          <w:trHeight w:val="281"/>
        </w:trPr>
        <w:tc>
          <w:tcPr>
            <w:tcW w:w="1058" w:type="dxa"/>
            <w:tcBorders>
              <w:top w:val="nil"/>
              <w:left w:val="single" w:sz="6" w:space="0" w:color="00467E"/>
              <w:bottom w:val="nil"/>
              <w:right w:val="nil"/>
            </w:tcBorders>
            <w:shd w:val="clear" w:color="CFD4D8" w:fill="CFD4D8"/>
            <w:vAlign w:val="center"/>
          </w:tcPr>
          <w:p w:rsidR="00D92D97" w:rsidRDefault="00D92D97" w:rsidP="0073298C">
            <w:pPr>
              <w:spacing w:before="22" w:after="22"/>
              <w:ind w:left="22" w:right="22"/>
              <w:rPr>
                <w:rFonts w:ascii="Arial" w:hAnsi="Arial" w:cs="Arial"/>
                <w:b/>
                <w:bCs w:val="0"/>
                <w:i/>
                <w:iCs/>
                <w:color w:val="9D1B11"/>
                <w:sz w:val="16"/>
                <w:szCs w:val="16"/>
              </w:rPr>
            </w:pPr>
            <w:r>
              <w:rPr>
                <w:rFonts w:ascii="Arial" w:hAnsi="Arial" w:cs="Arial"/>
                <w:b/>
                <w:bCs w:val="0"/>
                <w:i/>
                <w:iCs/>
                <w:color w:val="9D1B11"/>
                <w:sz w:val="16"/>
                <w:szCs w:val="16"/>
              </w:rPr>
              <w:t>Minnesota</w:t>
            </w:r>
          </w:p>
        </w:tc>
        <w:tc>
          <w:tcPr>
            <w:tcW w:w="104" w:type="dxa"/>
            <w:tcBorders>
              <w:top w:val="nil"/>
              <w:left w:val="nil"/>
              <w:bottom w:val="nil"/>
              <w:right w:val="nil"/>
            </w:tcBorders>
            <w:shd w:val="clear" w:color="00467E" w:fill="00467E"/>
            <w:vAlign w:val="bottom"/>
          </w:tcPr>
          <w:p w:rsidR="00D92D97" w:rsidRDefault="00D92D97" w:rsidP="0073298C">
            <w:pPr>
              <w:spacing w:before="22" w:after="22"/>
              <w:ind w:left="22" w:right="22"/>
              <w:rPr>
                <w:color w:val="000000"/>
              </w:rPr>
            </w:pPr>
            <w:r>
              <w:rPr>
                <w:color w:val="000000"/>
              </w:rPr>
              <w:t> </w:t>
            </w:r>
          </w:p>
        </w:tc>
        <w:tc>
          <w:tcPr>
            <w:tcW w:w="834" w:type="dxa"/>
            <w:tcBorders>
              <w:top w:val="nil"/>
              <w:left w:val="nil"/>
              <w:bottom w:val="nil"/>
              <w:right w:val="nil"/>
            </w:tcBorders>
            <w:shd w:val="clear" w:color="CFD4D8" w:fill="CFD4D8"/>
            <w:vAlign w:val="center"/>
          </w:tcPr>
          <w:p w:rsidR="00D92D97" w:rsidRDefault="00D92D97" w:rsidP="0073298C">
            <w:pPr>
              <w:spacing w:before="22" w:after="22"/>
              <w:ind w:left="22" w:right="22"/>
              <w:jc w:val="center"/>
              <w:rPr>
                <w:rFonts w:ascii="Arial" w:hAnsi="Arial" w:cs="Arial"/>
                <w:color w:val="000000"/>
                <w:sz w:val="16"/>
                <w:szCs w:val="16"/>
              </w:rPr>
            </w:pPr>
            <w:r>
              <w:rPr>
                <w:rFonts w:ascii="Arial" w:hAnsi="Arial" w:cs="Arial"/>
                <w:color w:val="000000"/>
                <w:sz w:val="16"/>
                <w:szCs w:val="16"/>
              </w:rPr>
              <w:t>1</w:t>
            </w:r>
          </w:p>
        </w:tc>
        <w:tc>
          <w:tcPr>
            <w:tcW w:w="336" w:type="dxa"/>
            <w:tcBorders>
              <w:top w:val="nil"/>
              <w:left w:val="nil"/>
              <w:bottom w:val="nil"/>
              <w:right w:val="nil"/>
            </w:tcBorders>
            <w:shd w:val="clear" w:color="CFD4D8" w:fill="CFD4D8"/>
            <w:vAlign w:val="bottom"/>
          </w:tcPr>
          <w:p w:rsidR="00D92D97" w:rsidRDefault="00D92D97" w:rsidP="0073298C">
            <w:pPr>
              <w:spacing w:before="22" w:after="22"/>
              <w:ind w:left="22" w:right="22"/>
              <w:rPr>
                <w:color w:val="000000"/>
              </w:rPr>
            </w:pPr>
            <w:r>
              <w:rPr>
                <w:color w:val="000000"/>
              </w:rPr>
              <w:t> </w:t>
            </w:r>
          </w:p>
        </w:tc>
        <w:tc>
          <w:tcPr>
            <w:tcW w:w="837" w:type="dxa"/>
            <w:tcBorders>
              <w:top w:val="nil"/>
              <w:left w:val="nil"/>
              <w:bottom w:val="nil"/>
              <w:right w:val="nil"/>
            </w:tcBorders>
            <w:shd w:val="clear" w:color="CFD4D8" w:fill="CFD4D8"/>
            <w:vAlign w:val="center"/>
          </w:tcPr>
          <w:p w:rsidR="00D92D97" w:rsidRDefault="00D92D97" w:rsidP="0073298C">
            <w:pPr>
              <w:spacing w:before="22" w:after="22"/>
              <w:ind w:left="22" w:right="22"/>
              <w:rPr>
                <w:color w:val="000000"/>
              </w:rPr>
            </w:pPr>
          </w:p>
          <w:p w:rsidR="00D92D97" w:rsidRDefault="00D92D97" w:rsidP="0073298C">
            <w:pPr>
              <w:rPr>
                <w:sz w:val="16"/>
                <w:szCs w:val="16"/>
              </w:rPr>
            </w:pPr>
            <w:r>
              <w:rPr>
                <w:sz w:val="16"/>
                <w:szCs w:val="16"/>
              </w:rPr>
              <w:t> </w:t>
            </w:r>
          </w:p>
        </w:tc>
        <w:tc>
          <w:tcPr>
            <w:tcW w:w="104" w:type="dxa"/>
            <w:tcBorders>
              <w:top w:val="nil"/>
              <w:left w:val="nil"/>
              <w:bottom w:val="nil"/>
              <w:right w:val="nil"/>
            </w:tcBorders>
            <w:shd w:val="clear" w:color="00467E" w:fill="00467E"/>
            <w:vAlign w:val="bottom"/>
          </w:tcPr>
          <w:p w:rsidR="00D92D97" w:rsidRDefault="00D92D97" w:rsidP="0073298C">
            <w:pPr>
              <w:spacing w:before="22" w:after="22"/>
              <w:ind w:left="22" w:right="22"/>
              <w:rPr>
                <w:color w:val="000000"/>
              </w:rPr>
            </w:pPr>
            <w:r>
              <w:rPr>
                <w:color w:val="000000"/>
              </w:rPr>
              <w:t> </w:t>
            </w:r>
          </w:p>
        </w:tc>
        <w:tc>
          <w:tcPr>
            <w:tcW w:w="1241" w:type="dxa"/>
            <w:tcBorders>
              <w:top w:val="nil"/>
              <w:left w:val="nil"/>
              <w:bottom w:val="nil"/>
              <w:right w:val="nil"/>
            </w:tcBorders>
            <w:shd w:val="clear" w:color="CFD4D8" w:fill="CFD4D8"/>
            <w:vAlign w:val="center"/>
          </w:tcPr>
          <w:p w:rsidR="00D92D97" w:rsidRDefault="00D92D97" w:rsidP="0073298C">
            <w:pPr>
              <w:spacing w:before="22" w:after="22"/>
              <w:ind w:left="22" w:right="22"/>
              <w:rPr>
                <w:color w:val="000000"/>
              </w:rPr>
            </w:pPr>
          </w:p>
          <w:p w:rsidR="00D92D97" w:rsidRDefault="00D92D97" w:rsidP="0073298C">
            <w:pPr>
              <w:rPr>
                <w:sz w:val="16"/>
                <w:szCs w:val="16"/>
              </w:rPr>
            </w:pPr>
            <w:r>
              <w:rPr>
                <w:sz w:val="16"/>
                <w:szCs w:val="16"/>
              </w:rPr>
              <w:t> </w:t>
            </w:r>
          </w:p>
        </w:tc>
        <w:tc>
          <w:tcPr>
            <w:tcW w:w="104" w:type="dxa"/>
            <w:tcBorders>
              <w:top w:val="nil"/>
              <w:left w:val="nil"/>
              <w:bottom w:val="nil"/>
              <w:right w:val="nil"/>
            </w:tcBorders>
            <w:shd w:val="clear" w:color="CFD4D8" w:fill="CFD4D8"/>
            <w:vAlign w:val="bottom"/>
          </w:tcPr>
          <w:p w:rsidR="00D92D97" w:rsidRDefault="00D92D97" w:rsidP="0073298C">
            <w:pPr>
              <w:spacing w:before="22" w:after="22"/>
              <w:ind w:left="22" w:right="22"/>
              <w:rPr>
                <w:color w:val="000000"/>
              </w:rPr>
            </w:pPr>
            <w:r>
              <w:rPr>
                <w:color w:val="000000"/>
              </w:rPr>
              <w:t> </w:t>
            </w:r>
          </w:p>
        </w:tc>
        <w:tc>
          <w:tcPr>
            <w:tcW w:w="1236" w:type="dxa"/>
            <w:tcBorders>
              <w:top w:val="nil"/>
              <w:left w:val="nil"/>
              <w:bottom w:val="nil"/>
              <w:right w:val="nil"/>
            </w:tcBorders>
            <w:shd w:val="clear" w:color="CFD4D8" w:fill="CFD4D8"/>
            <w:vAlign w:val="center"/>
          </w:tcPr>
          <w:p w:rsidR="00D92D97" w:rsidRDefault="00D92D97" w:rsidP="0073298C">
            <w:pPr>
              <w:spacing w:before="22" w:after="22"/>
              <w:ind w:left="22" w:right="22"/>
              <w:jc w:val="center"/>
              <w:rPr>
                <w:rFonts w:ascii="Arial" w:hAnsi="Arial" w:cs="Arial"/>
                <w:color w:val="000000"/>
                <w:sz w:val="16"/>
                <w:szCs w:val="16"/>
              </w:rPr>
            </w:pPr>
            <w:r>
              <w:rPr>
                <w:rFonts w:ascii="Arial" w:hAnsi="Arial" w:cs="Arial"/>
                <w:color w:val="000000"/>
                <w:sz w:val="16"/>
                <w:szCs w:val="16"/>
              </w:rPr>
              <w:t>1</w:t>
            </w:r>
          </w:p>
        </w:tc>
        <w:tc>
          <w:tcPr>
            <w:tcW w:w="104" w:type="dxa"/>
            <w:tcBorders>
              <w:top w:val="nil"/>
              <w:left w:val="nil"/>
              <w:bottom w:val="nil"/>
              <w:right w:val="nil"/>
            </w:tcBorders>
            <w:shd w:val="clear" w:color="CFD4D8" w:fill="CFD4D8"/>
            <w:vAlign w:val="bottom"/>
          </w:tcPr>
          <w:p w:rsidR="00D92D97" w:rsidRDefault="00D92D97" w:rsidP="0073298C">
            <w:pPr>
              <w:spacing w:before="22" w:after="22"/>
              <w:ind w:left="22" w:right="22"/>
              <w:rPr>
                <w:color w:val="000000"/>
              </w:rPr>
            </w:pPr>
            <w:r>
              <w:rPr>
                <w:color w:val="000000"/>
              </w:rPr>
              <w:t> </w:t>
            </w:r>
          </w:p>
        </w:tc>
        <w:tc>
          <w:tcPr>
            <w:tcW w:w="1240" w:type="dxa"/>
            <w:tcBorders>
              <w:top w:val="nil"/>
              <w:left w:val="nil"/>
              <w:bottom w:val="nil"/>
              <w:right w:val="nil"/>
            </w:tcBorders>
            <w:shd w:val="clear" w:color="CFD4D8" w:fill="CFD4D8"/>
            <w:vAlign w:val="center"/>
          </w:tcPr>
          <w:p w:rsidR="00D92D97" w:rsidRDefault="00D92D97" w:rsidP="0073298C">
            <w:pPr>
              <w:spacing w:before="22" w:after="22"/>
              <w:ind w:left="22" w:right="22"/>
              <w:rPr>
                <w:color w:val="000000"/>
              </w:rPr>
            </w:pPr>
          </w:p>
          <w:p w:rsidR="00D92D97" w:rsidRDefault="00D92D97" w:rsidP="0073298C">
            <w:pPr>
              <w:rPr>
                <w:sz w:val="16"/>
                <w:szCs w:val="16"/>
              </w:rPr>
            </w:pPr>
            <w:r>
              <w:rPr>
                <w:sz w:val="16"/>
                <w:szCs w:val="16"/>
              </w:rPr>
              <w:t> </w:t>
            </w:r>
          </w:p>
        </w:tc>
        <w:tc>
          <w:tcPr>
            <w:tcW w:w="104" w:type="dxa"/>
            <w:tcBorders>
              <w:top w:val="nil"/>
              <w:left w:val="nil"/>
              <w:bottom w:val="nil"/>
              <w:right w:val="nil"/>
            </w:tcBorders>
            <w:shd w:val="clear" w:color="CFD4D8" w:fill="CFD4D8"/>
            <w:vAlign w:val="bottom"/>
          </w:tcPr>
          <w:p w:rsidR="00D92D97" w:rsidRDefault="00D92D97" w:rsidP="0073298C">
            <w:pPr>
              <w:spacing w:before="22" w:after="22"/>
              <w:ind w:left="22" w:right="22"/>
              <w:rPr>
                <w:color w:val="000000"/>
              </w:rPr>
            </w:pPr>
            <w:r>
              <w:rPr>
                <w:color w:val="000000"/>
              </w:rPr>
              <w:t> </w:t>
            </w:r>
          </w:p>
        </w:tc>
        <w:tc>
          <w:tcPr>
            <w:tcW w:w="1244" w:type="dxa"/>
            <w:tcBorders>
              <w:top w:val="nil"/>
              <w:left w:val="nil"/>
              <w:bottom w:val="nil"/>
              <w:right w:val="nil"/>
            </w:tcBorders>
            <w:shd w:val="clear" w:color="CFD4D8" w:fill="CFD4D8"/>
            <w:vAlign w:val="center"/>
          </w:tcPr>
          <w:p w:rsidR="00D92D97" w:rsidRDefault="00D92D97" w:rsidP="0073298C">
            <w:pPr>
              <w:spacing w:before="22" w:after="22"/>
              <w:ind w:left="22" w:right="22"/>
              <w:rPr>
                <w:color w:val="000000"/>
              </w:rPr>
            </w:pPr>
          </w:p>
          <w:p w:rsidR="00D92D97" w:rsidRDefault="00D92D97" w:rsidP="0073298C">
            <w:pPr>
              <w:rPr>
                <w:sz w:val="16"/>
                <w:szCs w:val="16"/>
              </w:rPr>
            </w:pPr>
            <w:r>
              <w:rPr>
                <w:sz w:val="16"/>
                <w:szCs w:val="16"/>
              </w:rPr>
              <w:t> </w:t>
            </w:r>
          </w:p>
        </w:tc>
        <w:tc>
          <w:tcPr>
            <w:tcW w:w="104" w:type="dxa"/>
            <w:tcBorders>
              <w:top w:val="nil"/>
              <w:left w:val="nil"/>
              <w:bottom w:val="nil"/>
              <w:right w:val="nil"/>
            </w:tcBorders>
            <w:shd w:val="clear" w:color="00467E" w:fill="00467E"/>
            <w:vAlign w:val="bottom"/>
          </w:tcPr>
          <w:p w:rsidR="00D92D97" w:rsidRDefault="00D92D97" w:rsidP="0073298C">
            <w:pPr>
              <w:spacing w:before="22" w:after="22"/>
              <w:ind w:left="22" w:right="22"/>
              <w:rPr>
                <w:color w:val="000000"/>
              </w:rPr>
            </w:pPr>
            <w:r>
              <w:rPr>
                <w:color w:val="000000"/>
              </w:rPr>
              <w:t> </w:t>
            </w:r>
          </w:p>
        </w:tc>
        <w:tc>
          <w:tcPr>
            <w:tcW w:w="1244" w:type="dxa"/>
            <w:tcBorders>
              <w:top w:val="nil"/>
              <w:left w:val="nil"/>
              <w:bottom w:val="nil"/>
              <w:right w:val="single" w:sz="6" w:space="0" w:color="00467E"/>
            </w:tcBorders>
            <w:shd w:val="clear" w:color="CFD4D8" w:fill="CFD4D8"/>
            <w:vAlign w:val="center"/>
          </w:tcPr>
          <w:p w:rsidR="00D92D97" w:rsidRDefault="00D92D97" w:rsidP="0073298C">
            <w:pPr>
              <w:spacing w:before="22" w:after="22"/>
              <w:ind w:left="22" w:right="22"/>
              <w:jc w:val="center"/>
              <w:rPr>
                <w:rFonts w:ascii="Arial" w:hAnsi="Arial" w:cs="Arial"/>
                <w:color w:val="000000"/>
                <w:sz w:val="16"/>
                <w:szCs w:val="16"/>
              </w:rPr>
            </w:pPr>
            <w:r>
              <w:rPr>
                <w:rFonts w:ascii="Arial" w:hAnsi="Arial" w:cs="Arial"/>
                <w:color w:val="000000"/>
                <w:sz w:val="16"/>
                <w:szCs w:val="16"/>
              </w:rPr>
              <w:t>1</w:t>
            </w:r>
          </w:p>
        </w:tc>
      </w:tr>
      <w:tr w:rsidR="00D92D97" w:rsidTr="00D92D97">
        <w:tblPrEx>
          <w:tblCellMar>
            <w:top w:w="0" w:type="dxa"/>
            <w:left w:w="0" w:type="dxa"/>
            <w:bottom w:w="0" w:type="dxa"/>
            <w:right w:w="0" w:type="dxa"/>
          </w:tblCellMar>
        </w:tblPrEx>
        <w:trPr>
          <w:trHeight w:val="281"/>
        </w:trPr>
        <w:tc>
          <w:tcPr>
            <w:tcW w:w="1058" w:type="dxa"/>
            <w:tcBorders>
              <w:top w:val="nil"/>
              <w:left w:val="single" w:sz="6" w:space="0" w:color="00467E"/>
              <w:bottom w:val="nil"/>
              <w:right w:val="nil"/>
            </w:tcBorders>
            <w:vAlign w:val="center"/>
          </w:tcPr>
          <w:p w:rsidR="00D92D97" w:rsidRDefault="00D92D97" w:rsidP="0073298C">
            <w:pPr>
              <w:spacing w:before="22" w:after="22"/>
              <w:ind w:left="22" w:right="22"/>
              <w:rPr>
                <w:rFonts w:ascii="Arial" w:hAnsi="Arial" w:cs="Arial"/>
                <w:b/>
                <w:bCs w:val="0"/>
                <w:i/>
                <w:iCs/>
                <w:color w:val="9D1B11"/>
                <w:sz w:val="16"/>
                <w:szCs w:val="16"/>
              </w:rPr>
            </w:pPr>
            <w:r>
              <w:rPr>
                <w:rFonts w:ascii="Arial" w:hAnsi="Arial" w:cs="Arial"/>
                <w:b/>
                <w:bCs w:val="0"/>
                <w:i/>
                <w:iCs/>
                <w:color w:val="9D1B11"/>
                <w:sz w:val="16"/>
                <w:szCs w:val="16"/>
              </w:rPr>
              <w:t>Mississippi</w:t>
            </w:r>
          </w:p>
        </w:tc>
        <w:tc>
          <w:tcPr>
            <w:tcW w:w="104" w:type="dxa"/>
            <w:tcBorders>
              <w:top w:val="nil"/>
              <w:left w:val="nil"/>
              <w:bottom w:val="nil"/>
              <w:right w:val="nil"/>
            </w:tcBorders>
            <w:shd w:val="clear" w:color="00467E" w:fill="00467E"/>
            <w:vAlign w:val="bottom"/>
          </w:tcPr>
          <w:p w:rsidR="00D92D97" w:rsidRDefault="00D92D97" w:rsidP="0073298C">
            <w:pPr>
              <w:spacing w:before="22" w:after="22"/>
              <w:ind w:left="22" w:right="22"/>
              <w:rPr>
                <w:color w:val="000000"/>
              </w:rPr>
            </w:pPr>
            <w:r>
              <w:rPr>
                <w:color w:val="000000"/>
              </w:rPr>
              <w:t> </w:t>
            </w:r>
          </w:p>
        </w:tc>
        <w:tc>
          <w:tcPr>
            <w:tcW w:w="834" w:type="dxa"/>
            <w:tcBorders>
              <w:top w:val="nil"/>
              <w:left w:val="nil"/>
              <w:bottom w:val="nil"/>
              <w:right w:val="nil"/>
            </w:tcBorders>
            <w:vAlign w:val="center"/>
          </w:tcPr>
          <w:p w:rsidR="00D92D97" w:rsidRDefault="00D92D97" w:rsidP="0073298C">
            <w:pPr>
              <w:spacing w:before="22" w:after="22"/>
              <w:ind w:left="22" w:right="22"/>
              <w:jc w:val="center"/>
              <w:rPr>
                <w:rFonts w:ascii="Arial" w:hAnsi="Arial" w:cs="Arial"/>
                <w:color w:val="000000"/>
                <w:sz w:val="16"/>
                <w:szCs w:val="16"/>
              </w:rPr>
            </w:pPr>
            <w:r>
              <w:rPr>
                <w:rFonts w:ascii="Arial" w:hAnsi="Arial" w:cs="Arial"/>
                <w:color w:val="000000"/>
                <w:sz w:val="16"/>
                <w:szCs w:val="16"/>
              </w:rPr>
              <w:t>2</w:t>
            </w:r>
          </w:p>
        </w:tc>
        <w:tc>
          <w:tcPr>
            <w:tcW w:w="336" w:type="dxa"/>
            <w:tcBorders>
              <w:top w:val="nil"/>
              <w:left w:val="nil"/>
              <w:bottom w:val="nil"/>
              <w:right w:val="nil"/>
            </w:tcBorders>
            <w:vAlign w:val="bottom"/>
          </w:tcPr>
          <w:p w:rsidR="00D92D97" w:rsidRDefault="00D92D97" w:rsidP="0073298C">
            <w:pPr>
              <w:spacing w:before="22" w:after="22"/>
              <w:ind w:left="22" w:right="22"/>
              <w:rPr>
                <w:color w:val="000000"/>
              </w:rPr>
            </w:pPr>
            <w:r>
              <w:rPr>
                <w:color w:val="000000"/>
              </w:rPr>
              <w:t> </w:t>
            </w:r>
          </w:p>
        </w:tc>
        <w:tc>
          <w:tcPr>
            <w:tcW w:w="837" w:type="dxa"/>
            <w:tcBorders>
              <w:top w:val="nil"/>
              <w:left w:val="nil"/>
              <w:bottom w:val="nil"/>
              <w:right w:val="nil"/>
            </w:tcBorders>
            <w:vAlign w:val="center"/>
          </w:tcPr>
          <w:p w:rsidR="00D92D97" w:rsidRDefault="00D92D97" w:rsidP="0073298C">
            <w:pPr>
              <w:spacing w:before="22" w:after="22"/>
              <w:ind w:left="22" w:right="22"/>
              <w:rPr>
                <w:color w:val="000000"/>
              </w:rPr>
            </w:pPr>
          </w:p>
          <w:p w:rsidR="00D92D97" w:rsidRDefault="00D92D97" w:rsidP="0073298C">
            <w:pPr>
              <w:rPr>
                <w:sz w:val="16"/>
                <w:szCs w:val="16"/>
              </w:rPr>
            </w:pPr>
            <w:r>
              <w:rPr>
                <w:sz w:val="16"/>
                <w:szCs w:val="16"/>
              </w:rPr>
              <w:t> </w:t>
            </w:r>
          </w:p>
        </w:tc>
        <w:tc>
          <w:tcPr>
            <w:tcW w:w="104" w:type="dxa"/>
            <w:tcBorders>
              <w:top w:val="nil"/>
              <w:left w:val="nil"/>
              <w:bottom w:val="nil"/>
              <w:right w:val="nil"/>
            </w:tcBorders>
            <w:shd w:val="clear" w:color="00467E" w:fill="00467E"/>
            <w:vAlign w:val="bottom"/>
          </w:tcPr>
          <w:p w:rsidR="00D92D97" w:rsidRDefault="00D92D97" w:rsidP="0073298C">
            <w:pPr>
              <w:spacing w:before="22" w:after="22"/>
              <w:ind w:left="22" w:right="22"/>
              <w:rPr>
                <w:color w:val="000000"/>
              </w:rPr>
            </w:pPr>
            <w:r>
              <w:rPr>
                <w:color w:val="000000"/>
              </w:rPr>
              <w:t> </w:t>
            </w:r>
          </w:p>
        </w:tc>
        <w:tc>
          <w:tcPr>
            <w:tcW w:w="1241" w:type="dxa"/>
            <w:tcBorders>
              <w:top w:val="nil"/>
              <w:left w:val="nil"/>
              <w:bottom w:val="nil"/>
              <w:right w:val="nil"/>
            </w:tcBorders>
            <w:vAlign w:val="center"/>
          </w:tcPr>
          <w:p w:rsidR="00D92D97" w:rsidRDefault="00D92D97" w:rsidP="0073298C">
            <w:pPr>
              <w:spacing w:before="22" w:after="22"/>
              <w:ind w:left="22" w:right="22"/>
              <w:jc w:val="center"/>
              <w:rPr>
                <w:rFonts w:ascii="Arial" w:hAnsi="Arial" w:cs="Arial"/>
                <w:color w:val="000000"/>
                <w:sz w:val="16"/>
                <w:szCs w:val="16"/>
              </w:rPr>
            </w:pPr>
            <w:r>
              <w:rPr>
                <w:rFonts w:ascii="Arial" w:hAnsi="Arial" w:cs="Arial"/>
                <w:color w:val="000000"/>
                <w:sz w:val="16"/>
                <w:szCs w:val="16"/>
              </w:rPr>
              <w:t>2</w:t>
            </w:r>
          </w:p>
        </w:tc>
        <w:tc>
          <w:tcPr>
            <w:tcW w:w="104" w:type="dxa"/>
            <w:tcBorders>
              <w:top w:val="nil"/>
              <w:left w:val="nil"/>
              <w:bottom w:val="nil"/>
              <w:right w:val="nil"/>
            </w:tcBorders>
            <w:vAlign w:val="bottom"/>
          </w:tcPr>
          <w:p w:rsidR="00D92D97" w:rsidRDefault="00D92D97" w:rsidP="0073298C">
            <w:pPr>
              <w:spacing w:before="22" w:after="22"/>
              <w:ind w:left="22" w:right="22"/>
              <w:rPr>
                <w:color w:val="000000"/>
              </w:rPr>
            </w:pPr>
            <w:r>
              <w:rPr>
                <w:color w:val="000000"/>
              </w:rPr>
              <w:t> </w:t>
            </w:r>
          </w:p>
        </w:tc>
        <w:tc>
          <w:tcPr>
            <w:tcW w:w="1236" w:type="dxa"/>
            <w:tcBorders>
              <w:top w:val="nil"/>
              <w:left w:val="nil"/>
              <w:bottom w:val="nil"/>
              <w:right w:val="nil"/>
            </w:tcBorders>
            <w:vAlign w:val="center"/>
          </w:tcPr>
          <w:p w:rsidR="00D92D97" w:rsidRDefault="00D92D97" w:rsidP="0073298C">
            <w:pPr>
              <w:spacing w:before="22" w:after="22"/>
              <w:ind w:left="22" w:right="22"/>
              <w:rPr>
                <w:color w:val="000000"/>
              </w:rPr>
            </w:pPr>
          </w:p>
          <w:p w:rsidR="00D92D97" w:rsidRDefault="00D92D97" w:rsidP="0073298C">
            <w:pPr>
              <w:rPr>
                <w:sz w:val="16"/>
                <w:szCs w:val="16"/>
              </w:rPr>
            </w:pPr>
            <w:r>
              <w:rPr>
                <w:sz w:val="16"/>
                <w:szCs w:val="16"/>
              </w:rPr>
              <w:t> </w:t>
            </w:r>
          </w:p>
        </w:tc>
        <w:tc>
          <w:tcPr>
            <w:tcW w:w="104" w:type="dxa"/>
            <w:tcBorders>
              <w:top w:val="nil"/>
              <w:left w:val="nil"/>
              <w:bottom w:val="nil"/>
              <w:right w:val="nil"/>
            </w:tcBorders>
            <w:vAlign w:val="bottom"/>
          </w:tcPr>
          <w:p w:rsidR="00D92D97" w:rsidRDefault="00D92D97" w:rsidP="0073298C">
            <w:pPr>
              <w:spacing w:before="22" w:after="22"/>
              <w:ind w:left="22" w:right="22"/>
              <w:rPr>
                <w:color w:val="000000"/>
              </w:rPr>
            </w:pPr>
            <w:r>
              <w:rPr>
                <w:color w:val="000000"/>
              </w:rPr>
              <w:t> </w:t>
            </w:r>
          </w:p>
        </w:tc>
        <w:tc>
          <w:tcPr>
            <w:tcW w:w="1240" w:type="dxa"/>
            <w:tcBorders>
              <w:top w:val="nil"/>
              <w:left w:val="nil"/>
              <w:bottom w:val="nil"/>
              <w:right w:val="nil"/>
            </w:tcBorders>
            <w:vAlign w:val="center"/>
          </w:tcPr>
          <w:p w:rsidR="00D92D97" w:rsidRDefault="00D92D97" w:rsidP="0073298C">
            <w:pPr>
              <w:spacing w:before="22" w:after="22"/>
              <w:ind w:left="22" w:right="22"/>
              <w:rPr>
                <w:color w:val="000000"/>
              </w:rPr>
            </w:pPr>
          </w:p>
          <w:p w:rsidR="00D92D97" w:rsidRDefault="00D92D97" w:rsidP="0073298C">
            <w:pPr>
              <w:rPr>
                <w:sz w:val="16"/>
                <w:szCs w:val="16"/>
              </w:rPr>
            </w:pPr>
            <w:r>
              <w:rPr>
                <w:sz w:val="16"/>
                <w:szCs w:val="16"/>
              </w:rPr>
              <w:t> </w:t>
            </w:r>
          </w:p>
        </w:tc>
        <w:tc>
          <w:tcPr>
            <w:tcW w:w="104" w:type="dxa"/>
            <w:tcBorders>
              <w:top w:val="nil"/>
              <w:left w:val="nil"/>
              <w:bottom w:val="nil"/>
              <w:right w:val="nil"/>
            </w:tcBorders>
            <w:vAlign w:val="bottom"/>
          </w:tcPr>
          <w:p w:rsidR="00D92D97" w:rsidRDefault="00D92D97" w:rsidP="0073298C">
            <w:pPr>
              <w:spacing w:before="22" w:after="22"/>
              <w:ind w:left="22" w:right="22"/>
              <w:rPr>
                <w:color w:val="000000"/>
              </w:rPr>
            </w:pPr>
            <w:r>
              <w:rPr>
                <w:color w:val="000000"/>
              </w:rPr>
              <w:t> </w:t>
            </w:r>
          </w:p>
        </w:tc>
        <w:tc>
          <w:tcPr>
            <w:tcW w:w="1244" w:type="dxa"/>
            <w:tcBorders>
              <w:top w:val="nil"/>
              <w:left w:val="nil"/>
              <w:bottom w:val="nil"/>
              <w:right w:val="nil"/>
            </w:tcBorders>
            <w:vAlign w:val="center"/>
          </w:tcPr>
          <w:p w:rsidR="00D92D97" w:rsidRDefault="00D92D97" w:rsidP="0073298C">
            <w:pPr>
              <w:spacing w:before="22" w:after="22"/>
              <w:ind w:left="22" w:right="22"/>
              <w:rPr>
                <w:color w:val="000000"/>
              </w:rPr>
            </w:pPr>
          </w:p>
          <w:p w:rsidR="00D92D97" w:rsidRDefault="00D92D97" w:rsidP="0073298C">
            <w:pPr>
              <w:rPr>
                <w:sz w:val="16"/>
                <w:szCs w:val="16"/>
              </w:rPr>
            </w:pPr>
            <w:r>
              <w:rPr>
                <w:sz w:val="16"/>
                <w:szCs w:val="16"/>
              </w:rPr>
              <w:t> </w:t>
            </w:r>
          </w:p>
        </w:tc>
        <w:tc>
          <w:tcPr>
            <w:tcW w:w="104" w:type="dxa"/>
            <w:tcBorders>
              <w:top w:val="nil"/>
              <w:left w:val="nil"/>
              <w:bottom w:val="nil"/>
              <w:right w:val="nil"/>
            </w:tcBorders>
            <w:shd w:val="clear" w:color="00467E" w:fill="00467E"/>
            <w:vAlign w:val="bottom"/>
          </w:tcPr>
          <w:p w:rsidR="00D92D97" w:rsidRDefault="00D92D97" w:rsidP="0073298C">
            <w:pPr>
              <w:spacing w:before="22" w:after="22"/>
              <w:ind w:left="22" w:right="22"/>
              <w:rPr>
                <w:color w:val="000000"/>
              </w:rPr>
            </w:pPr>
            <w:r>
              <w:rPr>
                <w:color w:val="000000"/>
              </w:rPr>
              <w:t> </w:t>
            </w:r>
          </w:p>
        </w:tc>
        <w:tc>
          <w:tcPr>
            <w:tcW w:w="1244" w:type="dxa"/>
            <w:tcBorders>
              <w:top w:val="nil"/>
              <w:left w:val="nil"/>
              <w:bottom w:val="nil"/>
              <w:right w:val="single" w:sz="6" w:space="0" w:color="00467E"/>
            </w:tcBorders>
            <w:vAlign w:val="center"/>
          </w:tcPr>
          <w:p w:rsidR="00D92D97" w:rsidRDefault="00D92D97" w:rsidP="0073298C">
            <w:pPr>
              <w:spacing w:before="22" w:after="22"/>
              <w:ind w:left="22" w:right="22"/>
              <w:jc w:val="center"/>
              <w:rPr>
                <w:rFonts w:ascii="Arial" w:hAnsi="Arial" w:cs="Arial"/>
                <w:color w:val="000000"/>
                <w:sz w:val="16"/>
                <w:szCs w:val="16"/>
              </w:rPr>
            </w:pPr>
            <w:r>
              <w:rPr>
                <w:rFonts w:ascii="Arial" w:hAnsi="Arial" w:cs="Arial"/>
                <w:color w:val="000000"/>
                <w:sz w:val="16"/>
                <w:szCs w:val="16"/>
              </w:rPr>
              <w:t>2</w:t>
            </w:r>
          </w:p>
        </w:tc>
      </w:tr>
      <w:tr w:rsidR="00D92D97" w:rsidTr="00D92D97">
        <w:tblPrEx>
          <w:tblCellMar>
            <w:top w:w="0" w:type="dxa"/>
            <w:left w:w="0" w:type="dxa"/>
            <w:bottom w:w="0" w:type="dxa"/>
            <w:right w:w="0" w:type="dxa"/>
          </w:tblCellMar>
        </w:tblPrEx>
        <w:trPr>
          <w:trHeight w:val="281"/>
        </w:trPr>
        <w:tc>
          <w:tcPr>
            <w:tcW w:w="1058" w:type="dxa"/>
            <w:tcBorders>
              <w:top w:val="nil"/>
              <w:left w:val="single" w:sz="6" w:space="0" w:color="00467E"/>
              <w:bottom w:val="nil"/>
              <w:right w:val="nil"/>
            </w:tcBorders>
            <w:shd w:val="clear" w:color="CFD4D8" w:fill="CFD4D8"/>
            <w:vAlign w:val="center"/>
          </w:tcPr>
          <w:p w:rsidR="00D92D97" w:rsidRDefault="00D92D97" w:rsidP="0073298C">
            <w:pPr>
              <w:spacing w:before="22" w:after="22"/>
              <w:ind w:left="22" w:right="22"/>
              <w:rPr>
                <w:rFonts w:ascii="Arial" w:hAnsi="Arial" w:cs="Arial"/>
                <w:b/>
                <w:bCs w:val="0"/>
                <w:i/>
                <w:iCs/>
                <w:color w:val="9D1B11"/>
                <w:sz w:val="16"/>
                <w:szCs w:val="16"/>
              </w:rPr>
            </w:pPr>
            <w:r>
              <w:rPr>
                <w:rFonts w:ascii="Arial" w:hAnsi="Arial" w:cs="Arial"/>
                <w:b/>
                <w:bCs w:val="0"/>
                <w:i/>
                <w:iCs/>
                <w:color w:val="9D1B11"/>
                <w:sz w:val="16"/>
                <w:szCs w:val="16"/>
              </w:rPr>
              <w:t>Missouri</w:t>
            </w:r>
          </w:p>
        </w:tc>
        <w:tc>
          <w:tcPr>
            <w:tcW w:w="104" w:type="dxa"/>
            <w:tcBorders>
              <w:top w:val="nil"/>
              <w:left w:val="nil"/>
              <w:bottom w:val="nil"/>
              <w:right w:val="nil"/>
            </w:tcBorders>
            <w:shd w:val="clear" w:color="00467E" w:fill="00467E"/>
            <w:vAlign w:val="bottom"/>
          </w:tcPr>
          <w:p w:rsidR="00D92D97" w:rsidRDefault="00D92D97" w:rsidP="0073298C">
            <w:pPr>
              <w:spacing w:before="22" w:after="22"/>
              <w:ind w:left="22" w:right="22"/>
              <w:rPr>
                <w:color w:val="000000"/>
              </w:rPr>
            </w:pPr>
            <w:r>
              <w:rPr>
                <w:color w:val="000000"/>
              </w:rPr>
              <w:t> </w:t>
            </w:r>
          </w:p>
        </w:tc>
        <w:tc>
          <w:tcPr>
            <w:tcW w:w="834" w:type="dxa"/>
            <w:tcBorders>
              <w:top w:val="nil"/>
              <w:left w:val="nil"/>
              <w:bottom w:val="nil"/>
              <w:right w:val="nil"/>
            </w:tcBorders>
            <w:shd w:val="clear" w:color="CFD4D8" w:fill="CFD4D8"/>
            <w:vAlign w:val="center"/>
          </w:tcPr>
          <w:p w:rsidR="00D92D97" w:rsidRDefault="00D92D97" w:rsidP="0073298C">
            <w:pPr>
              <w:spacing w:before="22" w:after="22"/>
              <w:ind w:left="22" w:right="22"/>
              <w:jc w:val="center"/>
              <w:rPr>
                <w:rFonts w:ascii="Arial" w:hAnsi="Arial" w:cs="Arial"/>
                <w:color w:val="000000"/>
                <w:sz w:val="16"/>
                <w:szCs w:val="16"/>
              </w:rPr>
            </w:pPr>
            <w:r>
              <w:rPr>
                <w:rFonts w:ascii="Arial" w:hAnsi="Arial" w:cs="Arial"/>
                <w:color w:val="000000"/>
                <w:sz w:val="16"/>
                <w:szCs w:val="16"/>
              </w:rPr>
              <w:t>1</w:t>
            </w:r>
          </w:p>
        </w:tc>
        <w:tc>
          <w:tcPr>
            <w:tcW w:w="336" w:type="dxa"/>
            <w:tcBorders>
              <w:top w:val="nil"/>
              <w:left w:val="nil"/>
              <w:bottom w:val="nil"/>
              <w:right w:val="nil"/>
            </w:tcBorders>
            <w:shd w:val="clear" w:color="CFD4D8" w:fill="CFD4D8"/>
            <w:vAlign w:val="bottom"/>
          </w:tcPr>
          <w:p w:rsidR="00D92D97" w:rsidRDefault="00D92D97" w:rsidP="0073298C">
            <w:pPr>
              <w:spacing w:before="22" w:after="22"/>
              <w:ind w:left="22" w:right="22"/>
              <w:rPr>
                <w:color w:val="000000"/>
              </w:rPr>
            </w:pPr>
            <w:r>
              <w:rPr>
                <w:color w:val="000000"/>
              </w:rPr>
              <w:t> </w:t>
            </w:r>
          </w:p>
        </w:tc>
        <w:tc>
          <w:tcPr>
            <w:tcW w:w="837" w:type="dxa"/>
            <w:tcBorders>
              <w:top w:val="nil"/>
              <w:left w:val="nil"/>
              <w:bottom w:val="nil"/>
              <w:right w:val="nil"/>
            </w:tcBorders>
            <w:shd w:val="clear" w:color="CFD4D8" w:fill="CFD4D8"/>
            <w:vAlign w:val="center"/>
          </w:tcPr>
          <w:p w:rsidR="00D92D97" w:rsidRDefault="00D92D97" w:rsidP="0073298C">
            <w:pPr>
              <w:spacing w:before="22" w:after="22"/>
              <w:ind w:left="22" w:right="22"/>
              <w:rPr>
                <w:color w:val="000000"/>
              </w:rPr>
            </w:pPr>
          </w:p>
          <w:p w:rsidR="00D92D97" w:rsidRDefault="00D92D97" w:rsidP="0073298C">
            <w:pPr>
              <w:rPr>
                <w:sz w:val="16"/>
                <w:szCs w:val="16"/>
              </w:rPr>
            </w:pPr>
            <w:r>
              <w:rPr>
                <w:sz w:val="16"/>
                <w:szCs w:val="16"/>
              </w:rPr>
              <w:t> </w:t>
            </w:r>
          </w:p>
        </w:tc>
        <w:tc>
          <w:tcPr>
            <w:tcW w:w="104" w:type="dxa"/>
            <w:tcBorders>
              <w:top w:val="nil"/>
              <w:left w:val="nil"/>
              <w:bottom w:val="nil"/>
              <w:right w:val="nil"/>
            </w:tcBorders>
            <w:shd w:val="clear" w:color="00467E" w:fill="00467E"/>
            <w:vAlign w:val="bottom"/>
          </w:tcPr>
          <w:p w:rsidR="00D92D97" w:rsidRDefault="00D92D97" w:rsidP="0073298C">
            <w:pPr>
              <w:spacing w:before="22" w:after="22"/>
              <w:ind w:left="22" w:right="22"/>
              <w:rPr>
                <w:color w:val="000000"/>
              </w:rPr>
            </w:pPr>
            <w:r>
              <w:rPr>
                <w:color w:val="000000"/>
              </w:rPr>
              <w:t> </w:t>
            </w:r>
          </w:p>
        </w:tc>
        <w:tc>
          <w:tcPr>
            <w:tcW w:w="1241" w:type="dxa"/>
            <w:tcBorders>
              <w:top w:val="nil"/>
              <w:left w:val="nil"/>
              <w:bottom w:val="nil"/>
              <w:right w:val="nil"/>
            </w:tcBorders>
            <w:shd w:val="clear" w:color="CFD4D8" w:fill="CFD4D8"/>
            <w:vAlign w:val="center"/>
          </w:tcPr>
          <w:p w:rsidR="00D92D97" w:rsidRDefault="00D92D97" w:rsidP="0073298C">
            <w:pPr>
              <w:spacing w:before="22" w:after="22"/>
              <w:ind w:left="22" w:right="22"/>
              <w:rPr>
                <w:color w:val="000000"/>
              </w:rPr>
            </w:pPr>
          </w:p>
          <w:p w:rsidR="00D92D97" w:rsidRDefault="00D92D97" w:rsidP="0073298C">
            <w:pPr>
              <w:rPr>
                <w:sz w:val="16"/>
                <w:szCs w:val="16"/>
              </w:rPr>
            </w:pPr>
            <w:r>
              <w:rPr>
                <w:sz w:val="16"/>
                <w:szCs w:val="16"/>
              </w:rPr>
              <w:t> </w:t>
            </w:r>
          </w:p>
        </w:tc>
        <w:tc>
          <w:tcPr>
            <w:tcW w:w="104" w:type="dxa"/>
            <w:tcBorders>
              <w:top w:val="nil"/>
              <w:left w:val="nil"/>
              <w:bottom w:val="nil"/>
              <w:right w:val="nil"/>
            </w:tcBorders>
            <w:shd w:val="clear" w:color="CFD4D8" w:fill="CFD4D8"/>
            <w:vAlign w:val="bottom"/>
          </w:tcPr>
          <w:p w:rsidR="00D92D97" w:rsidRDefault="00D92D97" w:rsidP="0073298C">
            <w:pPr>
              <w:spacing w:before="22" w:after="22"/>
              <w:ind w:left="22" w:right="22"/>
              <w:rPr>
                <w:color w:val="000000"/>
              </w:rPr>
            </w:pPr>
            <w:r>
              <w:rPr>
                <w:color w:val="000000"/>
              </w:rPr>
              <w:t> </w:t>
            </w:r>
          </w:p>
        </w:tc>
        <w:tc>
          <w:tcPr>
            <w:tcW w:w="1236" w:type="dxa"/>
            <w:tcBorders>
              <w:top w:val="nil"/>
              <w:left w:val="nil"/>
              <w:bottom w:val="nil"/>
              <w:right w:val="nil"/>
            </w:tcBorders>
            <w:shd w:val="clear" w:color="CFD4D8" w:fill="CFD4D8"/>
            <w:vAlign w:val="center"/>
          </w:tcPr>
          <w:p w:rsidR="00D92D97" w:rsidRDefault="00D92D97" w:rsidP="0073298C">
            <w:pPr>
              <w:spacing w:before="22" w:after="22"/>
              <w:ind w:left="22" w:right="22"/>
              <w:jc w:val="center"/>
              <w:rPr>
                <w:rFonts w:ascii="Arial" w:hAnsi="Arial" w:cs="Arial"/>
                <w:color w:val="000000"/>
                <w:sz w:val="16"/>
                <w:szCs w:val="16"/>
              </w:rPr>
            </w:pPr>
            <w:r>
              <w:rPr>
                <w:rFonts w:ascii="Arial" w:hAnsi="Arial" w:cs="Arial"/>
                <w:color w:val="000000"/>
                <w:sz w:val="16"/>
                <w:szCs w:val="16"/>
              </w:rPr>
              <w:t>1</w:t>
            </w:r>
          </w:p>
        </w:tc>
        <w:tc>
          <w:tcPr>
            <w:tcW w:w="104" w:type="dxa"/>
            <w:tcBorders>
              <w:top w:val="nil"/>
              <w:left w:val="nil"/>
              <w:bottom w:val="nil"/>
              <w:right w:val="nil"/>
            </w:tcBorders>
            <w:shd w:val="clear" w:color="CFD4D8" w:fill="CFD4D8"/>
            <w:vAlign w:val="bottom"/>
          </w:tcPr>
          <w:p w:rsidR="00D92D97" w:rsidRDefault="00D92D97" w:rsidP="0073298C">
            <w:pPr>
              <w:spacing w:before="22" w:after="22"/>
              <w:ind w:left="22" w:right="22"/>
              <w:rPr>
                <w:color w:val="000000"/>
              </w:rPr>
            </w:pPr>
            <w:r>
              <w:rPr>
                <w:color w:val="000000"/>
              </w:rPr>
              <w:t> </w:t>
            </w:r>
          </w:p>
        </w:tc>
        <w:tc>
          <w:tcPr>
            <w:tcW w:w="1240" w:type="dxa"/>
            <w:tcBorders>
              <w:top w:val="nil"/>
              <w:left w:val="nil"/>
              <w:bottom w:val="nil"/>
              <w:right w:val="nil"/>
            </w:tcBorders>
            <w:shd w:val="clear" w:color="CFD4D8" w:fill="CFD4D8"/>
            <w:vAlign w:val="center"/>
          </w:tcPr>
          <w:p w:rsidR="00D92D97" w:rsidRDefault="00D92D97" w:rsidP="0073298C">
            <w:pPr>
              <w:spacing w:before="22" w:after="22"/>
              <w:ind w:left="22" w:right="22"/>
              <w:rPr>
                <w:color w:val="000000"/>
              </w:rPr>
            </w:pPr>
          </w:p>
          <w:p w:rsidR="00D92D97" w:rsidRDefault="00D92D97" w:rsidP="0073298C">
            <w:pPr>
              <w:rPr>
                <w:sz w:val="16"/>
                <w:szCs w:val="16"/>
              </w:rPr>
            </w:pPr>
            <w:r>
              <w:rPr>
                <w:sz w:val="16"/>
                <w:szCs w:val="16"/>
              </w:rPr>
              <w:t> </w:t>
            </w:r>
          </w:p>
        </w:tc>
        <w:tc>
          <w:tcPr>
            <w:tcW w:w="104" w:type="dxa"/>
            <w:tcBorders>
              <w:top w:val="nil"/>
              <w:left w:val="nil"/>
              <w:bottom w:val="nil"/>
              <w:right w:val="nil"/>
            </w:tcBorders>
            <w:shd w:val="clear" w:color="CFD4D8" w:fill="CFD4D8"/>
            <w:vAlign w:val="bottom"/>
          </w:tcPr>
          <w:p w:rsidR="00D92D97" w:rsidRDefault="00D92D97" w:rsidP="0073298C">
            <w:pPr>
              <w:spacing w:before="22" w:after="22"/>
              <w:ind w:left="22" w:right="22"/>
              <w:rPr>
                <w:color w:val="000000"/>
              </w:rPr>
            </w:pPr>
            <w:r>
              <w:rPr>
                <w:color w:val="000000"/>
              </w:rPr>
              <w:t> </w:t>
            </w:r>
          </w:p>
        </w:tc>
        <w:tc>
          <w:tcPr>
            <w:tcW w:w="1244" w:type="dxa"/>
            <w:tcBorders>
              <w:top w:val="nil"/>
              <w:left w:val="nil"/>
              <w:bottom w:val="nil"/>
              <w:right w:val="nil"/>
            </w:tcBorders>
            <w:shd w:val="clear" w:color="CFD4D8" w:fill="CFD4D8"/>
            <w:vAlign w:val="center"/>
          </w:tcPr>
          <w:p w:rsidR="00D92D97" w:rsidRDefault="00D92D97" w:rsidP="0073298C">
            <w:pPr>
              <w:spacing w:before="22" w:after="22"/>
              <w:ind w:left="22" w:right="22"/>
              <w:rPr>
                <w:color w:val="000000"/>
              </w:rPr>
            </w:pPr>
          </w:p>
          <w:p w:rsidR="00D92D97" w:rsidRDefault="00D92D97" w:rsidP="0073298C">
            <w:pPr>
              <w:rPr>
                <w:sz w:val="16"/>
                <w:szCs w:val="16"/>
              </w:rPr>
            </w:pPr>
            <w:r>
              <w:rPr>
                <w:sz w:val="16"/>
                <w:szCs w:val="16"/>
              </w:rPr>
              <w:t> </w:t>
            </w:r>
          </w:p>
        </w:tc>
        <w:tc>
          <w:tcPr>
            <w:tcW w:w="104" w:type="dxa"/>
            <w:tcBorders>
              <w:top w:val="nil"/>
              <w:left w:val="nil"/>
              <w:bottom w:val="nil"/>
              <w:right w:val="nil"/>
            </w:tcBorders>
            <w:shd w:val="clear" w:color="00467E" w:fill="00467E"/>
            <w:vAlign w:val="bottom"/>
          </w:tcPr>
          <w:p w:rsidR="00D92D97" w:rsidRDefault="00D92D97" w:rsidP="0073298C">
            <w:pPr>
              <w:spacing w:before="22" w:after="22"/>
              <w:ind w:left="22" w:right="22"/>
              <w:rPr>
                <w:color w:val="000000"/>
              </w:rPr>
            </w:pPr>
            <w:r>
              <w:rPr>
                <w:color w:val="000000"/>
              </w:rPr>
              <w:t> </w:t>
            </w:r>
          </w:p>
        </w:tc>
        <w:tc>
          <w:tcPr>
            <w:tcW w:w="1244" w:type="dxa"/>
            <w:tcBorders>
              <w:top w:val="nil"/>
              <w:left w:val="nil"/>
              <w:bottom w:val="nil"/>
              <w:right w:val="single" w:sz="6" w:space="0" w:color="00467E"/>
            </w:tcBorders>
            <w:shd w:val="clear" w:color="CFD4D8" w:fill="CFD4D8"/>
            <w:vAlign w:val="center"/>
          </w:tcPr>
          <w:p w:rsidR="00D92D97" w:rsidRDefault="00D92D97" w:rsidP="0073298C">
            <w:pPr>
              <w:spacing w:before="22" w:after="22"/>
              <w:ind w:left="22" w:right="22"/>
              <w:jc w:val="center"/>
              <w:rPr>
                <w:rFonts w:ascii="Arial" w:hAnsi="Arial" w:cs="Arial"/>
                <w:color w:val="000000"/>
                <w:sz w:val="16"/>
                <w:szCs w:val="16"/>
              </w:rPr>
            </w:pPr>
            <w:r>
              <w:rPr>
                <w:rFonts w:ascii="Arial" w:hAnsi="Arial" w:cs="Arial"/>
                <w:color w:val="000000"/>
                <w:sz w:val="16"/>
                <w:szCs w:val="16"/>
              </w:rPr>
              <w:t>1</w:t>
            </w:r>
          </w:p>
        </w:tc>
      </w:tr>
      <w:tr w:rsidR="00D92D97" w:rsidTr="00D92D97">
        <w:tblPrEx>
          <w:tblCellMar>
            <w:top w:w="0" w:type="dxa"/>
            <w:left w:w="0" w:type="dxa"/>
            <w:bottom w:w="0" w:type="dxa"/>
            <w:right w:w="0" w:type="dxa"/>
          </w:tblCellMar>
        </w:tblPrEx>
        <w:trPr>
          <w:trHeight w:val="281"/>
        </w:trPr>
        <w:tc>
          <w:tcPr>
            <w:tcW w:w="1058" w:type="dxa"/>
            <w:tcBorders>
              <w:top w:val="nil"/>
              <w:left w:val="single" w:sz="6" w:space="0" w:color="00467E"/>
              <w:bottom w:val="nil"/>
              <w:right w:val="nil"/>
            </w:tcBorders>
            <w:vAlign w:val="center"/>
          </w:tcPr>
          <w:p w:rsidR="00D92D97" w:rsidRDefault="00D92D97" w:rsidP="0073298C">
            <w:pPr>
              <w:spacing w:before="22" w:after="22"/>
              <w:ind w:left="22" w:right="22"/>
              <w:rPr>
                <w:rFonts w:ascii="Arial" w:hAnsi="Arial" w:cs="Arial"/>
                <w:b/>
                <w:bCs w:val="0"/>
                <w:i/>
                <w:iCs/>
                <w:color w:val="9D1B11"/>
                <w:sz w:val="16"/>
                <w:szCs w:val="16"/>
              </w:rPr>
            </w:pPr>
            <w:r>
              <w:rPr>
                <w:rFonts w:ascii="Arial" w:hAnsi="Arial" w:cs="Arial"/>
                <w:b/>
                <w:bCs w:val="0"/>
                <w:i/>
                <w:iCs/>
                <w:color w:val="9D1B11"/>
                <w:sz w:val="16"/>
                <w:szCs w:val="16"/>
              </w:rPr>
              <w:t>Nevada</w:t>
            </w:r>
          </w:p>
        </w:tc>
        <w:tc>
          <w:tcPr>
            <w:tcW w:w="104" w:type="dxa"/>
            <w:tcBorders>
              <w:top w:val="nil"/>
              <w:left w:val="nil"/>
              <w:bottom w:val="nil"/>
              <w:right w:val="nil"/>
            </w:tcBorders>
            <w:shd w:val="clear" w:color="00467E" w:fill="00467E"/>
            <w:vAlign w:val="bottom"/>
          </w:tcPr>
          <w:p w:rsidR="00D92D97" w:rsidRDefault="00D92D97" w:rsidP="0073298C">
            <w:pPr>
              <w:spacing w:before="22" w:after="22"/>
              <w:ind w:left="22" w:right="22"/>
              <w:rPr>
                <w:color w:val="000000"/>
              </w:rPr>
            </w:pPr>
            <w:r>
              <w:rPr>
                <w:color w:val="000000"/>
              </w:rPr>
              <w:t> </w:t>
            </w:r>
          </w:p>
        </w:tc>
        <w:tc>
          <w:tcPr>
            <w:tcW w:w="834" w:type="dxa"/>
            <w:tcBorders>
              <w:top w:val="nil"/>
              <w:left w:val="nil"/>
              <w:bottom w:val="nil"/>
              <w:right w:val="nil"/>
            </w:tcBorders>
            <w:vAlign w:val="center"/>
          </w:tcPr>
          <w:p w:rsidR="00D92D97" w:rsidRDefault="00D92D97" w:rsidP="0073298C">
            <w:pPr>
              <w:spacing w:before="22" w:after="22"/>
              <w:ind w:left="22" w:right="22"/>
              <w:jc w:val="center"/>
              <w:rPr>
                <w:rFonts w:ascii="Arial" w:hAnsi="Arial" w:cs="Arial"/>
                <w:color w:val="000000"/>
                <w:sz w:val="16"/>
                <w:szCs w:val="16"/>
              </w:rPr>
            </w:pPr>
            <w:r>
              <w:rPr>
                <w:rFonts w:ascii="Arial" w:hAnsi="Arial" w:cs="Arial"/>
                <w:color w:val="000000"/>
                <w:sz w:val="16"/>
                <w:szCs w:val="16"/>
              </w:rPr>
              <w:t>4</w:t>
            </w:r>
          </w:p>
        </w:tc>
        <w:tc>
          <w:tcPr>
            <w:tcW w:w="336" w:type="dxa"/>
            <w:tcBorders>
              <w:top w:val="nil"/>
              <w:left w:val="nil"/>
              <w:bottom w:val="nil"/>
              <w:right w:val="nil"/>
            </w:tcBorders>
            <w:vAlign w:val="bottom"/>
          </w:tcPr>
          <w:p w:rsidR="00D92D97" w:rsidRDefault="00D92D97" w:rsidP="0073298C">
            <w:pPr>
              <w:spacing w:before="22" w:after="22"/>
              <w:ind w:left="22" w:right="22"/>
              <w:rPr>
                <w:color w:val="000000"/>
              </w:rPr>
            </w:pPr>
            <w:r>
              <w:rPr>
                <w:color w:val="000000"/>
              </w:rPr>
              <w:t> </w:t>
            </w:r>
          </w:p>
        </w:tc>
        <w:tc>
          <w:tcPr>
            <w:tcW w:w="837" w:type="dxa"/>
            <w:tcBorders>
              <w:top w:val="nil"/>
              <w:left w:val="nil"/>
              <w:bottom w:val="nil"/>
              <w:right w:val="nil"/>
            </w:tcBorders>
            <w:vAlign w:val="center"/>
          </w:tcPr>
          <w:p w:rsidR="00D92D97" w:rsidRDefault="00D92D97" w:rsidP="0073298C">
            <w:pPr>
              <w:spacing w:before="22" w:after="22"/>
              <w:ind w:left="22" w:right="22"/>
              <w:rPr>
                <w:color w:val="000000"/>
              </w:rPr>
            </w:pPr>
          </w:p>
          <w:p w:rsidR="00D92D97" w:rsidRDefault="00D92D97" w:rsidP="0073298C">
            <w:pPr>
              <w:rPr>
                <w:sz w:val="16"/>
                <w:szCs w:val="16"/>
              </w:rPr>
            </w:pPr>
            <w:r>
              <w:rPr>
                <w:sz w:val="16"/>
                <w:szCs w:val="16"/>
              </w:rPr>
              <w:t> </w:t>
            </w:r>
          </w:p>
        </w:tc>
        <w:tc>
          <w:tcPr>
            <w:tcW w:w="104" w:type="dxa"/>
            <w:tcBorders>
              <w:top w:val="nil"/>
              <w:left w:val="nil"/>
              <w:bottom w:val="nil"/>
              <w:right w:val="nil"/>
            </w:tcBorders>
            <w:shd w:val="clear" w:color="00467E" w:fill="00467E"/>
            <w:vAlign w:val="bottom"/>
          </w:tcPr>
          <w:p w:rsidR="00D92D97" w:rsidRDefault="00D92D97" w:rsidP="0073298C">
            <w:pPr>
              <w:spacing w:before="22" w:after="22"/>
              <w:ind w:left="22" w:right="22"/>
              <w:rPr>
                <w:color w:val="000000"/>
              </w:rPr>
            </w:pPr>
            <w:r>
              <w:rPr>
                <w:color w:val="000000"/>
              </w:rPr>
              <w:t> </w:t>
            </w:r>
          </w:p>
        </w:tc>
        <w:tc>
          <w:tcPr>
            <w:tcW w:w="1241" w:type="dxa"/>
            <w:tcBorders>
              <w:top w:val="nil"/>
              <w:left w:val="nil"/>
              <w:bottom w:val="nil"/>
              <w:right w:val="nil"/>
            </w:tcBorders>
            <w:vAlign w:val="center"/>
          </w:tcPr>
          <w:p w:rsidR="00D92D97" w:rsidRDefault="00D92D97" w:rsidP="0073298C">
            <w:pPr>
              <w:spacing w:before="22" w:after="22"/>
              <w:ind w:left="22" w:right="22"/>
              <w:jc w:val="center"/>
              <w:rPr>
                <w:rFonts w:ascii="Arial" w:hAnsi="Arial" w:cs="Arial"/>
                <w:color w:val="000000"/>
                <w:sz w:val="16"/>
                <w:szCs w:val="16"/>
              </w:rPr>
            </w:pPr>
            <w:r>
              <w:rPr>
                <w:rFonts w:ascii="Arial" w:hAnsi="Arial" w:cs="Arial"/>
                <w:color w:val="000000"/>
                <w:sz w:val="16"/>
                <w:szCs w:val="16"/>
              </w:rPr>
              <w:t>2</w:t>
            </w:r>
          </w:p>
        </w:tc>
        <w:tc>
          <w:tcPr>
            <w:tcW w:w="104" w:type="dxa"/>
            <w:tcBorders>
              <w:top w:val="nil"/>
              <w:left w:val="nil"/>
              <w:bottom w:val="nil"/>
              <w:right w:val="nil"/>
            </w:tcBorders>
            <w:vAlign w:val="bottom"/>
          </w:tcPr>
          <w:p w:rsidR="00D92D97" w:rsidRDefault="00D92D97" w:rsidP="0073298C">
            <w:pPr>
              <w:spacing w:before="22" w:after="22"/>
              <w:ind w:left="22" w:right="22"/>
              <w:rPr>
                <w:color w:val="000000"/>
              </w:rPr>
            </w:pPr>
            <w:r>
              <w:rPr>
                <w:color w:val="000000"/>
              </w:rPr>
              <w:t> </w:t>
            </w:r>
          </w:p>
        </w:tc>
        <w:tc>
          <w:tcPr>
            <w:tcW w:w="1236" w:type="dxa"/>
            <w:tcBorders>
              <w:top w:val="nil"/>
              <w:left w:val="nil"/>
              <w:bottom w:val="nil"/>
              <w:right w:val="nil"/>
            </w:tcBorders>
            <w:vAlign w:val="center"/>
          </w:tcPr>
          <w:p w:rsidR="00D92D97" w:rsidRDefault="00D92D97" w:rsidP="0073298C">
            <w:pPr>
              <w:spacing w:before="22" w:after="22"/>
              <w:ind w:left="22" w:right="22"/>
              <w:jc w:val="center"/>
              <w:rPr>
                <w:rFonts w:ascii="Arial" w:hAnsi="Arial" w:cs="Arial"/>
                <w:color w:val="000000"/>
                <w:sz w:val="16"/>
                <w:szCs w:val="16"/>
              </w:rPr>
            </w:pPr>
            <w:r>
              <w:rPr>
                <w:rFonts w:ascii="Arial" w:hAnsi="Arial" w:cs="Arial"/>
                <w:color w:val="000000"/>
                <w:sz w:val="16"/>
                <w:szCs w:val="16"/>
              </w:rPr>
              <w:t>2</w:t>
            </w:r>
          </w:p>
        </w:tc>
        <w:tc>
          <w:tcPr>
            <w:tcW w:w="104" w:type="dxa"/>
            <w:tcBorders>
              <w:top w:val="nil"/>
              <w:left w:val="nil"/>
              <w:bottom w:val="nil"/>
              <w:right w:val="nil"/>
            </w:tcBorders>
            <w:vAlign w:val="bottom"/>
          </w:tcPr>
          <w:p w:rsidR="00D92D97" w:rsidRDefault="00D92D97" w:rsidP="0073298C">
            <w:pPr>
              <w:spacing w:before="22" w:after="22"/>
              <w:ind w:left="22" w:right="22"/>
              <w:rPr>
                <w:color w:val="000000"/>
              </w:rPr>
            </w:pPr>
            <w:r>
              <w:rPr>
                <w:color w:val="000000"/>
              </w:rPr>
              <w:t> </w:t>
            </w:r>
          </w:p>
        </w:tc>
        <w:tc>
          <w:tcPr>
            <w:tcW w:w="1240" w:type="dxa"/>
            <w:tcBorders>
              <w:top w:val="nil"/>
              <w:left w:val="nil"/>
              <w:bottom w:val="nil"/>
              <w:right w:val="nil"/>
            </w:tcBorders>
            <w:vAlign w:val="center"/>
          </w:tcPr>
          <w:p w:rsidR="00D92D97" w:rsidRDefault="00D92D97" w:rsidP="0073298C">
            <w:pPr>
              <w:spacing w:before="22" w:after="22"/>
              <w:ind w:left="22" w:right="22"/>
              <w:rPr>
                <w:color w:val="000000"/>
              </w:rPr>
            </w:pPr>
          </w:p>
          <w:p w:rsidR="00D92D97" w:rsidRDefault="00D92D97" w:rsidP="0073298C">
            <w:pPr>
              <w:rPr>
                <w:sz w:val="16"/>
                <w:szCs w:val="16"/>
              </w:rPr>
            </w:pPr>
            <w:r>
              <w:rPr>
                <w:sz w:val="16"/>
                <w:szCs w:val="16"/>
              </w:rPr>
              <w:t> </w:t>
            </w:r>
          </w:p>
        </w:tc>
        <w:tc>
          <w:tcPr>
            <w:tcW w:w="104" w:type="dxa"/>
            <w:tcBorders>
              <w:top w:val="nil"/>
              <w:left w:val="nil"/>
              <w:bottom w:val="nil"/>
              <w:right w:val="nil"/>
            </w:tcBorders>
            <w:vAlign w:val="bottom"/>
          </w:tcPr>
          <w:p w:rsidR="00D92D97" w:rsidRDefault="00D92D97" w:rsidP="0073298C">
            <w:pPr>
              <w:spacing w:before="22" w:after="22"/>
              <w:ind w:left="22" w:right="22"/>
              <w:rPr>
                <w:color w:val="000000"/>
              </w:rPr>
            </w:pPr>
            <w:r>
              <w:rPr>
                <w:color w:val="000000"/>
              </w:rPr>
              <w:t> </w:t>
            </w:r>
          </w:p>
        </w:tc>
        <w:tc>
          <w:tcPr>
            <w:tcW w:w="1244" w:type="dxa"/>
            <w:tcBorders>
              <w:top w:val="nil"/>
              <w:left w:val="nil"/>
              <w:bottom w:val="nil"/>
              <w:right w:val="nil"/>
            </w:tcBorders>
            <w:vAlign w:val="center"/>
          </w:tcPr>
          <w:p w:rsidR="00D92D97" w:rsidRDefault="00D92D97" w:rsidP="0073298C">
            <w:pPr>
              <w:spacing w:before="22" w:after="22"/>
              <w:ind w:left="22" w:right="22"/>
              <w:rPr>
                <w:color w:val="000000"/>
              </w:rPr>
            </w:pPr>
          </w:p>
          <w:p w:rsidR="00D92D97" w:rsidRDefault="00D92D97" w:rsidP="0073298C">
            <w:pPr>
              <w:rPr>
                <w:sz w:val="16"/>
                <w:szCs w:val="16"/>
              </w:rPr>
            </w:pPr>
            <w:r>
              <w:rPr>
                <w:sz w:val="16"/>
                <w:szCs w:val="16"/>
              </w:rPr>
              <w:t> </w:t>
            </w:r>
          </w:p>
        </w:tc>
        <w:tc>
          <w:tcPr>
            <w:tcW w:w="104" w:type="dxa"/>
            <w:tcBorders>
              <w:top w:val="nil"/>
              <w:left w:val="nil"/>
              <w:bottom w:val="nil"/>
              <w:right w:val="nil"/>
            </w:tcBorders>
            <w:shd w:val="clear" w:color="00467E" w:fill="00467E"/>
            <w:vAlign w:val="bottom"/>
          </w:tcPr>
          <w:p w:rsidR="00D92D97" w:rsidRDefault="00D92D97" w:rsidP="0073298C">
            <w:pPr>
              <w:spacing w:before="22" w:after="22"/>
              <w:ind w:left="22" w:right="22"/>
              <w:rPr>
                <w:color w:val="000000"/>
              </w:rPr>
            </w:pPr>
            <w:r>
              <w:rPr>
                <w:color w:val="000000"/>
              </w:rPr>
              <w:t> </w:t>
            </w:r>
          </w:p>
        </w:tc>
        <w:tc>
          <w:tcPr>
            <w:tcW w:w="1244" w:type="dxa"/>
            <w:tcBorders>
              <w:top w:val="nil"/>
              <w:left w:val="nil"/>
              <w:bottom w:val="nil"/>
              <w:right w:val="single" w:sz="6" w:space="0" w:color="00467E"/>
            </w:tcBorders>
            <w:vAlign w:val="center"/>
          </w:tcPr>
          <w:p w:rsidR="00D92D97" w:rsidRDefault="00D92D97" w:rsidP="0073298C">
            <w:pPr>
              <w:spacing w:before="22" w:after="22"/>
              <w:ind w:left="22" w:right="22"/>
              <w:jc w:val="center"/>
              <w:rPr>
                <w:rFonts w:ascii="Arial" w:hAnsi="Arial" w:cs="Arial"/>
                <w:color w:val="000000"/>
                <w:sz w:val="16"/>
                <w:szCs w:val="16"/>
              </w:rPr>
            </w:pPr>
            <w:r>
              <w:rPr>
                <w:rFonts w:ascii="Arial" w:hAnsi="Arial" w:cs="Arial"/>
                <w:color w:val="000000"/>
                <w:sz w:val="16"/>
                <w:szCs w:val="16"/>
              </w:rPr>
              <w:t>4</w:t>
            </w:r>
          </w:p>
        </w:tc>
      </w:tr>
      <w:tr w:rsidR="00D92D97" w:rsidTr="00D92D97">
        <w:tblPrEx>
          <w:tblCellMar>
            <w:top w:w="0" w:type="dxa"/>
            <w:left w:w="0" w:type="dxa"/>
            <w:bottom w:w="0" w:type="dxa"/>
            <w:right w:w="0" w:type="dxa"/>
          </w:tblCellMar>
        </w:tblPrEx>
        <w:trPr>
          <w:trHeight w:val="281"/>
        </w:trPr>
        <w:tc>
          <w:tcPr>
            <w:tcW w:w="1058" w:type="dxa"/>
            <w:tcBorders>
              <w:top w:val="nil"/>
              <w:left w:val="single" w:sz="6" w:space="0" w:color="00467E"/>
              <w:bottom w:val="nil"/>
              <w:right w:val="nil"/>
            </w:tcBorders>
            <w:shd w:val="clear" w:color="CFD4D8" w:fill="CFD4D8"/>
            <w:vAlign w:val="center"/>
          </w:tcPr>
          <w:p w:rsidR="00D92D97" w:rsidRDefault="00D92D97" w:rsidP="0073298C">
            <w:pPr>
              <w:spacing w:before="22" w:after="22"/>
              <w:ind w:left="22" w:right="22"/>
              <w:rPr>
                <w:rFonts w:ascii="Arial" w:hAnsi="Arial" w:cs="Arial"/>
                <w:b/>
                <w:bCs w:val="0"/>
                <w:i/>
                <w:iCs/>
                <w:color w:val="9D1B11"/>
                <w:sz w:val="16"/>
                <w:szCs w:val="16"/>
              </w:rPr>
            </w:pPr>
            <w:r>
              <w:rPr>
                <w:rFonts w:ascii="Arial" w:hAnsi="Arial" w:cs="Arial"/>
                <w:b/>
                <w:bCs w:val="0"/>
                <w:i/>
                <w:iCs/>
                <w:color w:val="9D1B11"/>
                <w:sz w:val="16"/>
                <w:szCs w:val="16"/>
              </w:rPr>
              <w:t>New Jersey</w:t>
            </w:r>
          </w:p>
        </w:tc>
        <w:tc>
          <w:tcPr>
            <w:tcW w:w="104" w:type="dxa"/>
            <w:tcBorders>
              <w:top w:val="nil"/>
              <w:left w:val="nil"/>
              <w:bottom w:val="nil"/>
              <w:right w:val="nil"/>
            </w:tcBorders>
            <w:shd w:val="clear" w:color="00467E" w:fill="00467E"/>
            <w:vAlign w:val="bottom"/>
          </w:tcPr>
          <w:p w:rsidR="00D92D97" w:rsidRDefault="00D92D97" w:rsidP="0073298C">
            <w:pPr>
              <w:spacing w:before="22" w:after="22"/>
              <w:ind w:left="22" w:right="22"/>
              <w:rPr>
                <w:color w:val="000000"/>
              </w:rPr>
            </w:pPr>
            <w:r>
              <w:rPr>
                <w:color w:val="000000"/>
              </w:rPr>
              <w:t> </w:t>
            </w:r>
          </w:p>
        </w:tc>
        <w:tc>
          <w:tcPr>
            <w:tcW w:w="834" w:type="dxa"/>
            <w:tcBorders>
              <w:top w:val="nil"/>
              <w:left w:val="nil"/>
              <w:bottom w:val="nil"/>
              <w:right w:val="nil"/>
            </w:tcBorders>
            <w:shd w:val="clear" w:color="CFD4D8" w:fill="CFD4D8"/>
            <w:vAlign w:val="center"/>
          </w:tcPr>
          <w:p w:rsidR="00D92D97" w:rsidRDefault="00D92D97" w:rsidP="0073298C">
            <w:pPr>
              <w:spacing w:before="22" w:after="22"/>
              <w:ind w:left="22" w:right="22"/>
              <w:jc w:val="center"/>
              <w:rPr>
                <w:rFonts w:ascii="Arial" w:hAnsi="Arial" w:cs="Arial"/>
                <w:color w:val="000000"/>
                <w:sz w:val="16"/>
                <w:szCs w:val="16"/>
              </w:rPr>
            </w:pPr>
            <w:r>
              <w:rPr>
                <w:rFonts w:ascii="Arial" w:hAnsi="Arial" w:cs="Arial"/>
                <w:color w:val="000000"/>
                <w:sz w:val="16"/>
                <w:szCs w:val="16"/>
              </w:rPr>
              <w:t>1</w:t>
            </w:r>
          </w:p>
        </w:tc>
        <w:tc>
          <w:tcPr>
            <w:tcW w:w="336" w:type="dxa"/>
            <w:tcBorders>
              <w:top w:val="nil"/>
              <w:left w:val="nil"/>
              <w:bottom w:val="nil"/>
              <w:right w:val="nil"/>
            </w:tcBorders>
            <w:shd w:val="clear" w:color="CFD4D8" w:fill="CFD4D8"/>
            <w:vAlign w:val="bottom"/>
          </w:tcPr>
          <w:p w:rsidR="00D92D97" w:rsidRDefault="00D92D97" w:rsidP="0073298C">
            <w:pPr>
              <w:spacing w:before="22" w:after="22"/>
              <w:ind w:left="22" w:right="22"/>
              <w:rPr>
                <w:color w:val="000000"/>
              </w:rPr>
            </w:pPr>
            <w:r>
              <w:rPr>
                <w:color w:val="000000"/>
              </w:rPr>
              <w:t> </w:t>
            </w:r>
          </w:p>
        </w:tc>
        <w:tc>
          <w:tcPr>
            <w:tcW w:w="837" w:type="dxa"/>
            <w:tcBorders>
              <w:top w:val="nil"/>
              <w:left w:val="nil"/>
              <w:bottom w:val="nil"/>
              <w:right w:val="nil"/>
            </w:tcBorders>
            <w:shd w:val="clear" w:color="CFD4D8" w:fill="CFD4D8"/>
            <w:vAlign w:val="center"/>
          </w:tcPr>
          <w:p w:rsidR="00D92D97" w:rsidRDefault="00D92D97" w:rsidP="0073298C">
            <w:pPr>
              <w:spacing w:before="22" w:after="22"/>
              <w:ind w:left="22" w:right="22"/>
              <w:rPr>
                <w:color w:val="000000"/>
              </w:rPr>
            </w:pPr>
          </w:p>
          <w:p w:rsidR="00D92D97" w:rsidRDefault="00D92D97" w:rsidP="0073298C">
            <w:pPr>
              <w:rPr>
                <w:sz w:val="16"/>
                <w:szCs w:val="16"/>
              </w:rPr>
            </w:pPr>
            <w:r>
              <w:rPr>
                <w:sz w:val="16"/>
                <w:szCs w:val="16"/>
              </w:rPr>
              <w:t> </w:t>
            </w:r>
          </w:p>
        </w:tc>
        <w:tc>
          <w:tcPr>
            <w:tcW w:w="104" w:type="dxa"/>
            <w:tcBorders>
              <w:top w:val="nil"/>
              <w:left w:val="nil"/>
              <w:bottom w:val="nil"/>
              <w:right w:val="nil"/>
            </w:tcBorders>
            <w:shd w:val="clear" w:color="00467E" w:fill="00467E"/>
            <w:vAlign w:val="bottom"/>
          </w:tcPr>
          <w:p w:rsidR="00D92D97" w:rsidRDefault="00D92D97" w:rsidP="0073298C">
            <w:pPr>
              <w:spacing w:before="22" w:after="22"/>
              <w:ind w:left="22" w:right="22"/>
              <w:rPr>
                <w:color w:val="000000"/>
              </w:rPr>
            </w:pPr>
            <w:r>
              <w:rPr>
                <w:color w:val="000000"/>
              </w:rPr>
              <w:t> </w:t>
            </w:r>
          </w:p>
        </w:tc>
        <w:tc>
          <w:tcPr>
            <w:tcW w:w="1241" w:type="dxa"/>
            <w:tcBorders>
              <w:top w:val="nil"/>
              <w:left w:val="nil"/>
              <w:bottom w:val="nil"/>
              <w:right w:val="nil"/>
            </w:tcBorders>
            <w:shd w:val="clear" w:color="CFD4D8" w:fill="CFD4D8"/>
            <w:vAlign w:val="center"/>
          </w:tcPr>
          <w:p w:rsidR="00D92D97" w:rsidRDefault="00D92D97" w:rsidP="0073298C">
            <w:pPr>
              <w:spacing w:before="22" w:after="22"/>
              <w:ind w:left="22" w:right="22"/>
              <w:rPr>
                <w:color w:val="000000"/>
              </w:rPr>
            </w:pPr>
          </w:p>
          <w:p w:rsidR="00D92D97" w:rsidRDefault="00D92D97" w:rsidP="0073298C">
            <w:pPr>
              <w:rPr>
                <w:sz w:val="16"/>
                <w:szCs w:val="16"/>
              </w:rPr>
            </w:pPr>
            <w:r>
              <w:rPr>
                <w:sz w:val="16"/>
                <w:szCs w:val="16"/>
              </w:rPr>
              <w:t> </w:t>
            </w:r>
          </w:p>
        </w:tc>
        <w:tc>
          <w:tcPr>
            <w:tcW w:w="104" w:type="dxa"/>
            <w:tcBorders>
              <w:top w:val="nil"/>
              <w:left w:val="nil"/>
              <w:bottom w:val="nil"/>
              <w:right w:val="nil"/>
            </w:tcBorders>
            <w:shd w:val="clear" w:color="CFD4D8" w:fill="CFD4D8"/>
            <w:vAlign w:val="bottom"/>
          </w:tcPr>
          <w:p w:rsidR="00D92D97" w:rsidRDefault="00D92D97" w:rsidP="0073298C">
            <w:pPr>
              <w:spacing w:before="22" w:after="22"/>
              <w:ind w:left="22" w:right="22"/>
              <w:rPr>
                <w:color w:val="000000"/>
              </w:rPr>
            </w:pPr>
            <w:r>
              <w:rPr>
                <w:color w:val="000000"/>
              </w:rPr>
              <w:t> </w:t>
            </w:r>
          </w:p>
        </w:tc>
        <w:tc>
          <w:tcPr>
            <w:tcW w:w="1236" w:type="dxa"/>
            <w:tcBorders>
              <w:top w:val="nil"/>
              <w:left w:val="nil"/>
              <w:bottom w:val="nil"/>
              <w:right w:val="nil"/>
            </w:tcBorders>
            <w:shd w:val="clear" w:color="CFD4D8" w:fill="CFD4D8"/>
            <w:vAlign w:val="center"/>
          </w:tcPr>
          <w:p w:rsidR="00D92D97" w:rsidRDefault="00D92D97" w:rsidP="0073298C">
            <w:pPr>
              <w:spacing w:before="22" w:after="22"/>
              <w:ind w:left="22" w:right="22"/>
              <w:jc w:val="center"/>
              <w:rPr>
                <w:rFonts w:ascii="Arial" w:hAnsi="Arial" w:cs="Arial"/>
                <w:color w:val="000000"/>
                <w:sz w:val="16"/>
                <w:szCs w:val="16"/>
              </w:rPr>
            </w:pPr>
            <w:r>
              <w:rPr>
                <w:rFonts w:ascii="Arial" w:hAnsi="Arial" w:cs="Arial"/>
                <w:color w:val="000000"/>
                <w:sz w:val="16"/>
                <w:szCs w:val="16"/>
              </w:rPr>
              <w:t>1</w:t>
            </w:r>
          </w:p>
        </w:tc>
        <w:tc>
          <w:tcPr>
            <w:tcW w:w="104" w:type="dxa"/>
            <w:tcBorders>
              <w:top w:val="nil"/>
              <w:left w:val="nil"/>
              <w:bottom w:val="nil"/>
              <w:right w:val="nil"/>
            </w:tcBorders>
            <w:shd w:val="clear" w:color="CFD4D8" w:fill="CFD4D8"/>
            <w:vAlign w:val="bottom"/>
          </w:tcPr>
          <w:p w:rsidR="00D92D97" w:rsidRDefault="00D92D97" w:rsidP="0073298C">
            <w:pPr>
              <w:spacing w:before="22" w:after="22"/>
              <w:ind w:left="22" w:right="22"/>
              <w:rPr>
                <w:color w:val="000000"/>
              </w:rPr>
            </w:pPr>
            <w:r>
              <w:rPr>
                <w:color w:val="000000"/>
              </w:rPr>
              <w:t> </w:t>
            </w:r>
          </w:p>
        </w:tc>
        <w:tc>
          <w:tcPr>
            <w:tcW w:w="1240" w:type="dxa"/>
            <w:tcBorders>
              <w:top w:val="nil"/>
              <w:left w:val="nil"/>
              <w:bottom w:val="nil"/>
              <w:right w:val="nil"/>
            </w:tcBorders>
            <w:shd w:val="clear" w:color="CFD4D8" w:fill="CFD4D8"/>
            <w:vAlign w:val="center"/>
          </w:tcPr>
          <w:p w:rsidR="00D92D97" w:rsidRDefault="00D92D97" w:rsidP="0073298C">
            <w:pPr>
              <w:spacing w:before="22" w:after="22"/>
              <w:ind w:left="22" w:right="22"/>
              <w:rPr>
                <w:color w:val="000000"/>
              </w:rPr>
            </w:pPr>
          </w:p>
          <w:p w:rsidR="00D92D97" w:rsidRDefault="00D92D97" w:rsidP="0073298C">
            <w:pPr>
              <w:rPr>
                <w:sz w:val="16"/>
                <w:szCs w:val="16"/>
              </w:rPr>
            </w:pPr>
            <w:r>
              <w:rPr>
                <w:sz w:val="16"/>
                <w:szCs w:val="16"/>
              </w:rPr>
              <w:t> </w:t>
            </w:r>
          </w:p>
        </w:tc>
        <w:tc>
          <w:tcPr>
            <w:tcW w:w="104" w:type="dxa"/>
            <w:tcBorders>
              <w:top w:val="nil"/>
              <w:left w:val="nil"/>
              <w:bottom w:val="nil"/>
              <w:right w:val="nil"/>
            </w:tcBorders>
            <w:shd w:val="clear" w:color="CFD4D8" w:fill="CFD4D8"/>
            <w:vAlign w:val="bottom"/>
          </w:tcPr>
          <w:p w:rsidR="00D92D97" w:rsidRDefault="00D92D97" w:rsidP="0073298C">
            <w:pPr>
              <w:spacing w:before="22" w:after="22"/>
              <w:ind w:left="22" w:right="22"/>
              <w:rPr>
                <w:color w:val="000000"/>
              </w:rPr>
            </w:pPr>
            <w:r>
              <w:rPr>
                <w:color w:val="000000"/>
              </w:rPr>
              <w:t> </w:t>
            </w:r>
          </w:p>
        </w:tc>
        <w:tc>
          <w:tcPr>
            <w:tcW w:w="1244" w:type="dxa"/>
            <w:tcBorders>
              <w:top w:val="nil"/>
              <w:left w:val="nil"/>
              <w:bottom w:val="nil"/>
              <w:right w:val="nil"/>
            </w:tcBorders>
            <w:shd w:val="clear" w:color="CFD4D8" w:fill="CFD4D8"/>
            <w:vAlign w:val="center"/>
          </w:tcPr>
          <w:p w:rsidR="00D92D97" w:rsidRDefault="00D92D97" w:rsidP="0073298C">
            <w:pPr>
              <w:spacing w:before="22" w:after="22"/>
              <w:ind w:left="22" w:right="22"/>
              <w:rPr>
                <w:color w:val="000000"/>
              </w:rPr>
            </w:pPr>
          </w:p>
          <w:p w:rsidR="00D92D97" w:rsidRDefault="00D92D97" w:rsidP="0073298C">
            <w:pPr>
              <w:rPr>
                <w:sz w:val="16"/>
                <w:szCs w:val="16"/>
              </w:rPr>
            </w:pPr>
            <w:r>
              <w:rPr>
                <w:sz w:val="16"/>
                <w:szCs w:val="16"/>
              </w:rPr>
              <w:t> </w:t>
            </w:r>
          </w:p>
        </w:tc>
        <w:tc>
          <w:tcPr>
            <w:tcW w:w="104" w:type="dxa"/>
            <w:tcBorders>
              <w:top w:val="nil"/>
              <w:left w:val="nil"/>
              <w:bottom w:val="nil"/>
              <w:right w:val="nil"/>
            </w:tcBorders>
            <w:shd w:val="clear" w:color="00467E" w:fill="00467E"/>
            <w:vAlign w:val="bottom"/>
          </w:tcPr>
          <w:p w:rsidR="00D92D97" w:rsidRDefault="00D92D97" w:rsidP="0073298C">
            <w:pPr>
              <w:spacing w:before="22" w:after="22"/>
              <w:ind w:left="22" w:right="22"/>
              <w:rPr>
                <w:color w:val="000000"/>
              </w:rPr>
            </w:pPr>
            <w:r>
              <w:rPr>
                <w:color w:val="000000"/>
              </w:rPr>
              <w:t> </w:t>
            </w:r>
          </w:p>
        </w:tc>
        <w:tc>
          <w:tcPr>
            <w:tcW w:w="1244" w:type="dxa"/>
            <w:tcBorders>
              <w:top w:val="nil"/>
              <w:left w:val="nil"/>
              <w:bottom w:val="nil"/>
              <w:right w:val="single" w:sz="6" w:space="0" w:color="00467E"/>
            </w:tcBorders>
            <w:shd w:val="clear" w:color="CFD4D8" w:fill="CFD4D8"/>
            <w:vAlign w:val="center"/>
          </w:tcPr>
          <w:p w:rsidR="00D92D97" w:rsidRDefault="00D92D97" w:rsidP="0073298C">
            <w:pPr>
              <w:spacing w:before="22" w:after="22"/>
              <w:ind w:left="22" w:right="22"/>
              <w:jc w:val="center"/>
              <w:rPr>
                <w:rFonts w:ascii="Arial" w:hAnsi="Arial" w:cs="Arial"/>
                <w:color w:val="000000"/>
                <w:sz w:val="16"/>
                <w:szCs w:val="16"/>
              </w:rPr>
            </w:pPr>
            <w:r>
              <w:rPr>
                <w:rFonts w:ascii="Arial" w:hAnsi="Arial" w:cs="Arial"/>
                <w:color w:val="000000"/>
                <w:sz w:val="16"/>
                <w:szCs w:val="16"/>
              </w:rPr>
              <w:t>1</w:t>
            </w:r>
          </w:p>
        </w:tc>
      </w:tr>
      <w:tr w:rsidR="00D92D97" w:rsidTr="00D92D97">
        <w:tblPrEx>
          <w:tblCellMar>
            <w:top w:w="0" w:type="dxa"/>
            <w:left w:w="0" w:type="dxa"/>
            <w:bottom w:w="0" w:type="dxa"/>
            <w:right w:w="0" w:type="dxa"/>
          </w:tblCellMar>
        </w:tblPrEx>
        <w:trPr>
          <w:trHeight w:val="281"/>
        </w:trPr>
        <w:tc>
          <w:tcPr>
            <w:tcW w:w="1058" w:type="dxa"/>
            <w:tcBorders>
              <w:top w:val="nil"/>
              <w:left w:val="single" w:sz="6" w:space="0" w:color="00467E"/>
              <w:bottom w:val="nil"/>
              <w:right w:val="nil"/>
            </w:tcBorders>
            <w:vAlign w:val="center"/>
          </w:tcPr>
          <w:p w:rsidR="00D92D97" w:rsidRDefault="00D92D97" w:rsidP="0073298C">
            <w:pPr>
              <w:spacing w:before="22" w:after="22"/>
              <w:ind w:left="22" w:right="22"/>
              <w:rPr>
                <w:rFonts w:ascii="Arial" w:hAnsi="Arial" w:cs="Arial"/>
                <w:b/>
                <w:bCs w:val="0"/>
                <w:i/>
                <w:iCs/>
                <w:color w:val="9D1B11"/>
                <w:sz w:val="16"/>
                <w:szCs w:val="16"/>
              </w:rPr>
            </w:pPr>
            <w:r>
              <w:rPr>
                <w:rFonts w:ascii="Arial" w:hAnsi="Arial" w:cs="Arial"/>
                <w:b/>
                <w:bCs w:val="0"/>
                <w:i/>
                <w:iCs/>
                <w:color w:val="9D1B11"/>
                <w:sz w:val="16"/>
                <w:szCs w:val="16"/>
              </w:rPr>
              <w:t>New Mexico</w:t>
            </w:r>
          </w:p>
        </w:tc>
        <w:tc>
          <w:tcPr>
            <w:tcW w:w="104" w:type="dxa"/>
            <w:tcBorders>
              <w:top w:val="nil"/>
              <w:left w:val="nil"/>
              <w:bottom w:val="nil"/>
              <w:right w:val="nil"/>
            </w:tcBorders>
            <w:shd w:val="clear" w:color="00467E" w:fill="00467E"/>
            <w:vAlign w:val="bottom"/>
          </w:tcPr>
          <w:p w:rsidR="00D92D97" w:rsidRDefault="00D92D97" w:rsidP="0073298C">
            <w:pPr>
              <w:spacing w:before="22" w:after="22"/>
              <w:ind w:left="22" w:right="22"/>
              <w:rPr>
                <w:color w:val="000000"/>
              </w:rPr>
            </w:pPr>
            <w:r>
              <w:rPr>
                <w:color w:val="000000"/>
              </w:rPr>
              <w:t> </w:t>
            </w:r>
          </w:p>
        </w:tc>
        <w:tc>
          <w:tcPr>
            <w:tcW w:w="834" w:type="dxa"/>
            <w:tcBorders>
              <w:top w:val="nil"/>
              <w:left w:val="nil"/>
              <w:bottom w:val="nil"/>
              <w:right w:val="nil"/>
            </w:tcBorders>
            <w:vAlign w:val="center"/>
          </w:tcPr>
          <w:p w:rsidR="00D92D97" w:rsidRDefault="00D92D97" w:rsidP="0073298C">
            <w:pPr>
              <w:spacing w:before="22" w:after="22"/>
              <w:ind w:left="22" w:right="22"/>
              <w:jc w:val="center"/>
              <w:rPr>
                <w:rFonts w:ascii="Arial" w:hAnsi="Arial" w:cs="Arial"/>
                <w:color w:val="000000"/>
                <w:sz w:val="16"/>
                <w:szCs w:val="16"/>
              </w:rPr>
            </w:pPr>
            <w:r>
              <w:rPr>
                <w:rFonts w:ascii="Arial" w:hAnsi="Arial" w:cs="Arial"/>
                <w:color w:val="000000"/>
                <w:sz w:val="16"/>
                <w:szCs w:val="16"/>
              </w:rPr>
              <w:t>1</w:t>
            </w:r>
          </w:p>
        </w:tc>
        <w:tc>
          <w:tcPr>
            <w:tcW w:w="336" w:type="dxa"/>
            <w:tcBorders>
              <w:top w:val="nil"/>
              <w:left w:val="nil"/>
              <w:bottom w:val="nil"/>
              <w:right w:val="nil"/>
            </w:tcBorders>
            <w:vAlign w:val="bottom"/>
          </w:tcPr>
          <w:p w:rsidR="00D92D97" w:rsidRDefault="00D92D97" w:rsidP="0073298C">
            <w:pPr>
              <w:spacing w:before="22" w:after="22"/>
              <w:ind w:left="22" w:right="22"/>
              <w:rPr>
                <w:color w:val="000000"/>
              </w:rPr>
            </w:pPr>
            <w:r>
              <w:rPr>
                <w:color w:val="000000"/>
              </w:rPr>
              <w:t> </w:t>
            </w:r>
          </w:p>
        </w:tc>
        <w:tc>
          <w:tcPr>
            <w:tcW w:w="837" w:type="dxa"/>
            <w:tcBorders>
              <w:top w:val="nil"/>
              <w:left w:val="nil"/>
              <w:bottom w:val="nil"/>
              <w:right w:val="nil"/>
            </w:tcBorders>
            <w:vAlign w:val="center"/>
          </w:tcPr>
          <w:p w:rsidR="00D92D97" w:rsidRDefault="00D92D97" w:rsidP="0073298C">
            <w:pPr>
              <w:spacing w:before="22" w:after="22"/>
              <w:ind w:left="22" w:right="22"/>
              <w:rPr>
                <w:color w:val="000000"/>
              </w:rPr>
            </w:pPr>
          </w:p>
          <w:p w:rsidR="00D92D97" w:rsidRDefault="00D92D97" w:rsidP="0073298C">
            <w:pPr>
              <w:rPr>
                <w:sz w:val="16"/>
                <w:szCs w:val="16"/>
              </w:rPr>
            </w:pPr>
            <w:r>
              <w:rPr>
                <w:sz w:val="16"/>
                <w:szCs w:val="16"/>
              </w:rPr>
              <w:t> </w:t>
            </w:r>
          </w:p>
        </w:tc>
        <w:tc>
          <w:tcPr>
            <w:tcW w:w="104" w:type="dxa"/>
            <w:tcBorders>
              <w:top w:val="nil"/>
              <w:left w:val="nil"/>
              <w:bottom w:val="nil"/>
              <w:right w:val="nil"/>
            </w:tcBorders>
            <w:shd w:val="clear" w:color="00467E" w:fill="00467E"/>
            <w:vAlign w:val="bottom"/>
          </w:tcPr>
          <w:p w:rsidR="00D92D97" w:rsidRDefault="00D92D97" w:rsidP="0073298C">
            <w:pPr>
              <w:spacing w:before="22" w:after="22"/>
              <w:ind w:left="22" w:right="22"/>
              <w:rPr>
                <w:color w:val="000000"/>
              </w:rPr>
            </w:pPr>
            <w:r>
              <w:rPr>
                <w:color w:val="000000"/>
              </w:rPr>
              <w:t> </w:t>
            </w:r>
          </w:p>
        </w:tc>
        <w:tc>
          <w:tcPr>
            <w:tcW w:w="1241" w:type="dxa"/>
            <w:tcBorders>
              <w:top w:val="nil"/>
              <w:left w:val="nil"/>
              <w:bottom w:val="nil"/>
              <w:right w:val="nil"/>
            </w:tcBorders>
            <w:vAlign w:val="center"/>
          </w:tcPr>
          <w:p w:rsidR="00D92D97" w:rsidRDefault="00D92D97" w:rsidP="0073298C">
            <w:pPr>
              <w:spacing w:before="22" w:after="22"/>
              <w:ind w:left="22" w:right="22"/>
              <w:rPr>
                <w:color w:val="000000"/>
              </w:rPr>
            </w:pPr>
          </w:p>
          <w:p w:rsidR="00D92D97" w:rsidRDefault="00D92D97" w:rsidP="0073298C">
            <w:pPr>
              <w:rPr>
                <w:sz w:val="16"/>
                <w:szCs w:val="16"/>
              </w:rPr>
            </w:pPr>
            <w:r>
              <w:rPr>
                <w:sz w:val="16"/>
                <w:szCs w:val="16"/>
              </w:rPr>
              <w:t> </w:t>
            </w:r>
          </w:p>
        </w:tc>
        <w:tc>
          <w:tcPr>
            <w:tcW w:w="104" w:type="dxa"/>
            <w:tcBorders>
              <w:top w:val="nil"/>
              <w:left w:val="nil"/>
              <w:bottom w:val="nil"/>
              <w:right w:val="nil"/>
            </w:tcBorders>
            <w:vAlign w:val="bottom"/>
          </w:tcPr>
          <w:p w:rsidR="00D92D97" w:rsidRDefault="00D92D97" w:rsidP="0073298C">
            <w:pPr>
              <w:spacing w:before="22" w:after="22"/>
              <w:ind w:left="22" w:right="22"/>
              <w:rPr>
                <w:color w:val="000000"/>
              </w:rPr>
            </w:pPr>
            <w:r>
              <w:rPr>
                <w:color w:val="000000"/>
              </w:rPr>
              <w:t> </w:t>
            </w:r>
          </w:p>
        </w:tc>
        <w:tc>
          <w:tcPr>
            <w:tcW w:w="1236" w:type="dxa"/>
            <w:tcBorders>
              <w:top w:val="nil"/>
              <w:left w:val="nil"/>
              <w:bottom w:val="nil"/>
              <w:right w:val="nil"/>
            </w:tcBorders>
            <w:vAlign w:val="center"/>
          </w:tcPr>
          <w:p w:rsidR="00D92D97" w:rsidRDefault="00D92D97" w:rsidP="0073298C">
            <w:pPr>
              <w:spacing w:before="22" w:after="22"/>
              <w:ind w:left="22" w:right="22"/>
              <w:jc w:val="center"/>
              <w:rPr>
                <w:rFonts w:ascii="Arial" w:hAnsi="Arial" w:cs="Arial"/>
                <w:color w:val="000000"/>
                <w:sz w:val="16"/>
                <w:szCs w:val="16"/>
              </w:rPr>
            </w:pPr>
            <w:r>
              <w:rPr>
                <w:rFonts w:ascii="Arial" w:hAnsi="Arial" w:cs="Arial"/>
                <w:color w:val="000000"/>
                <w:sz w:val="16"/>
                <w:szCs w:val="16"/>
              </w:rPr>
              <w:t>1</w:t>
            </w:r>
          </w:p>
        </w:tc>
        <w:tc>
          <w:tcPr>
            <w:tcW w:w="104" w:type="dxa"/>
            <w:tcBorders>
              <w:top w:val="nil"/>
              <w:left w:val="nil"/>
              <w:bottom w:val="nil"/>
              <w:right w:val="nil"/>
            </w:tcBorders>
            <w:vAlign w:val="bottom"/>
          </w:tcPr>
          <w:p w:rsidR="00D92D97" w:rsidRDefault="00D92D97" w:rsidP="0073298C">
            <w:pPr>
              <w:spacing w:before="22" w:after="22"/>
              <w:ind w:left="22" w:right="22"/>
              <w:rPr>
                <w:color w:val="000000"/>
              </w:rPr>
            </w:pPr>
            <w:r>
              <w:rPr>
                <w:color w:val="000000"/>
              </w:rPr>
              <w:t> </w:t>
            </w:r>
          </w:p>
        </w:tc>
        <w:tc>
          <w:tcPr>
            <w:tcW w:w="1240" w:type="dxa"/>
            <w:tcBorders>
              <w:top w:val="nil"/>
              <w:left w:val="nil"/>
              <w:bottom w:val="nil"/>
              <w:right w:val="nil"/>
            </w:tcBorders>
            <w:vAlign w:val="center"/>
          </w:tcPr>
          <w:p w:rsidR="00D92D97" w:rsidRDefault="00D92D97" w:rsidP="0073298C">
            <w:pPr>
              <w:spacing w:before="22" w:after="22"/>
              <w:ind w:left="22" w:right="22"/>
              <w:rPr>
                <w:color w:val="000000"/>
              </w:rPr>
            </w:pPr>
          </w:p>
          <w:p w:rsidR="00D92D97" w:rsidRDefault="00D92D97" w:rsidP="0073298C">
            <w:pPr>
              <w:rPr>
                <w:sz w:val="16"/>
                <w:szCs w:val="16"/>
              </w:rPr>
            </w:pPr>
            <w:r>
              <w:rPr>
                <w:sz w:val="16"/>
                <w:szCs w:val="16"/>
              </w:rPr>
              <w:t> </w:t>
            </w:r>
          </w:p>
        </w:tc>
        <w:tc>
          <w:tcPr>
            <w:tcW w:w="104" w:type="dxa"/>
            <w:tcBorders>
              <w:top w:val="nil"/>
              <w:left w:val="nil"/>
              <w:bottom w:val="nil"/>
              <w:right w:val="nil"/>
            </w:tcBorders>
            <w:vAlign w:val="bottom"/>
          </w:tcPr>
          <w:p w:rsidR="00D92D97" w:rsidRDefault="00D92D97" w:rsidP="0073298C">
            <w:pPr>
              <w:spacing w:before="22" w:after="22"/>
              <w:ind w:left="22" w:right="22"/>
              <w:rPr>
                <w:color w:val="000000"/>
              </w:rPr>
            </w:pPr>
            <w:r>
              <w:rPr>
                <w:color w:val="000000"/>
              </w:rPr>
              <w:t> </w:t>
            </w:r>
          </w:p>
        </w:tc>
        <w:tc>
          <w:tcPr>
            <w:tcW w:w="1244" w:type="dxa"/>
            <w:tcBorders>
              <w:top w:val="nil"/>
              <w:left w:val="nil"/>
              <w:bottom w:val="nil"/>
              <w:right w:val="nil"/>
            </w:tcBorders>
            <w:vAlign w:val="center"/>
          </w:tcPr>
          <w:p w:rsidR="00D92D97" w:rsidRDefault="00D92D97" w:rsidP="0073298C">
            <w:pPr>
              <w:spacing w:before="22" w:after="22"/>
              <w:ind w:left="22" w:right="22"/>
              <w:rPr>
                <w:color w:val="000000"/>
              </w:rPr>
            </w:pPr>
          </w:p>
          <w:p w:rsidR="00D92D97" w:rsidRDefault="00D92D97" w:rsidP="0073298C">
            <w:pPr>
              <w:rPr>
                <w:sz w:val="16"/>
                <w:szCs w:val="16"/>
              </w:rPr>
            </w:pPr>
            <w:r>
              <w:rPr>
                <w:sz w:val="16"/>
                <w:szCs w:val="16"/>
              </w:rPr>
              <w:t> </w:t>
            </w:r>
          </w:p>
        </w:tc>
        <w:tc>
          <w:tcPr>
            <w:tcW w:w="104" w:type="dxa"/>
            <w:tcBorders>
              <w:top w:val="nil"/>
              <w:left w:val="nil"/>
              <w:bottom w:val="nil"/>
              <w:right w:val="nil"/>
            </w:tcBorders>
            <w:shd w:val="clear" w:color="00467E" w:fill="00467E"/>
            <w:vAlign w:val="bottom"/>
          </w:tcPr>
          <w:p w:rsidR="00D92D97" w:rsidRDefault="00D92D97" w:rsidP="0073298C">
            <w:pPr>
              <w:spacing w:before="22" w:after="22"/>
              <w:ind w:left="22" w:right="22"/>
              <w:rPr>
                <w:color w:val="000000"/>
              </w:rPr>
            </w:pPr>
            <w:r>
              <w:rPr>
                <w:color w:val="000000"/>
              </w:rPr>
              <w:t> </w:t>
            </w:r>
          </w:p>
        </w:tc>
        <w:tc>
          <w:tcPr>
            <w:tcW w:w="1244" w:type="dxa"/>
            <w:tcBorders>
              <w:top w:val="nil"/>
              <w:left w:val="nil"/>
              <w:bottom w:val="nil"/>
              <w:right w:val="single" w:sz="6" w:space="0" w:color="00467E"/>
            </w:tcBorders>
            <w:vAlign w:val="center"/>
          </w:tcPr>
          <w:p w:rsidR="00D92D97" w:rsidRDefault="00D92D97" w:rsidP="0073298C">
            <w:pPr>
              <w:spacing w:before="22" w:after="22"/>
              <w:ind w:left="22" w:right="22"/>
              <w:jc w:val="center"/>
              <w:rPr>
                <w:rFonts w:ascii="Arial" w:hAnsi="Arial" w:cs="Arial"/>
                <w:color w:val="000000"/>
                <w:sz w:val="16"/>
                <w:szCs w:val="16"/>
              </w:rPr>
            </w:pPr>
            <w:r>
              <w:rPr>
                <w:rFonts w:ascii="Arial" w:hAnsi="Arial" w:cs="Arial"/>
                <w:color w:val="000000"/>
                <w:sz w:val="16"/>
                <w:szCs w:val="16"/>
              </w:rPr>
              <w:t>1</w:t>
            </w:r>
          </w:p>
        </w:tc>
      </w:tr>
      <w:tr w:rsidR="00D92D97" w:rsidTr="00D92D97">
        <w:tblPrEx>
          <w:tblCellMar>
            <w:top w:w="0" w:type="dxa"/>
            <w:left w:w="0" w:type="dxa"/>
            <w:bottom w:w="0" w:type="dxa"/>
            <w:right w:w="0" w:type="dxa"/>
          </w:tblCellMar>
        </w:tblPrEx>
        <w:trPr>
          <w:trHeight w:val="281"/>
        </w:trPr>
        <w:tc>
          <w:tcPr>
            <w:tcW w:w="1058" w:type="dxa"/>
            <w:tcBorders>
              <w:top w:val="nil"/>
              <w:left w:val="single" w:sz="6" w:space="0" w:color="00467E"/>
              <w:bottom w:val="nil"/>
              <w:right w:val="nil"/>
            </w:tcBorders>
            <w:shd w:val="clear" w:color="CFD4D8" w:fill="CFD4D8"/>
            <w:vAlign w:val="center"/>
          </w:tcPr>
          <w:p w:rsidR="00D92D97" w:rsidRDefault="00D92D97" w:rsidP="0073298C">
            <w:pPr>
              <w:spacing w:before="22" w:after="22"/>
              <w:ind w:left="22" w:right="22"/>
              <w:rPr>
                <w:rFonts w:ascii="Arial" w:hAnsi="Arial" w:cs="Arial"/>
                <w:b/>
                <w:bCs w:val="0"/>
                <w:i/>
                <w:iCs/>
                <w:color w:val="9D1B11"/>
                <w:sz w:val="16"/>
                <w:szCs w:val="16"/>
              </w:rPr>
            </w:pPr>
            <w:r>
              <w:rPr>
                <w:rFonts w:ascii="Arial" w:hAnsi="Arial" w:cs="Arial"/>
                <w:b/>
                <w:bCs w:val="0"/>
                <w:i/>
                <w:iCs/>
                <w:color w:val="9D1B11"/>
                <w:sz w:val="16"/>
                <w:szCs w:val="16"/>
              </w:rPr>
              <w:t>New York</w:t>
            </w:r>
          </w:p>
        </w:tc>
        <w:tc>
          <w:tcPr>
            <w:tcW w:w="104" w:type="dxa"/>
            <w:tcBorders>
              <w:top w:val="nil"/>
              <w:left w:val="nil"/>
              <w:bottom w:val="nil"/>
              <w:right w:val="nil"/>
            </w:tcBorders>
            <w:shd w:val="clear" w:color="00467E" w:fill="00467E"/>
            <w:vAlign w:val="bottom"/>
          </w:tcPr>
          <w:p w:rsidR="00D92D97" w:rsidRDefault="00D92D97" w:rsidP="0073298C">
            <w:pPr>
              <w:spacing w:before="22" w:after="22"/>
              <w:ind w:left="22" w:right="22"/>
              <w:rPr>
                <w:color w:val="000000"/>
              </w:rPr>
            </w:pPr>
            <w:r>
              <w:rPr>
                <w:color w:val="000000"/>
              </w:rPr>
              <w:t> </w:t>
            </w:r>
          </w:p>
        </w:tc>
        <w:tc>
          <w:tcPr>
            <w:tcW w:w="834" w:type="dxa"/>
            <w:tcBorders>
              <w:top w:val="nil"/>
              <w:left w:val="nil"/>
              <w:bottom w:val="nil"/>
              <w:right w:val="nil"/>
            </w:tcBorders>
            <w:shd w:val="clear" w:color="CFD4D8" w:fill="CFD4D8"/>
            <w:vAlign w:val="center"/>
          </w:tcPr>
          <w:p w:rsidR="00D92D97" w:rsidRDefault="00D92D97" w:rsidP="0073298C">
            <w:pPr>
              <w:spacing w:before="22" w:after="22"/>
              <w:ind w:left="22" w:right="22"/>
              <w:jc w:val="center"/>
              <w:rPr>
                <w:rFonts w:ascii="Arial" w:hAnsi="Arial" w:cs="Arial"/>
                <w:color w:val="000000"/>
                <w:sz w:val="16"/>
                <w:szCs w:val="16"/>
              </w:rPr>
            </w:pPr>
            <w:r>
              <w:rPr>
                <w:rFonts w:ascii="Arial" w:hAnsi="Arial" w:cs="Arial"/>
                <w:color w:val="000000"/>
                <w:sz w:val="16"/>
                <w:szCs w:val="16"/>
              </w:rPr>
              <w:t>1</w:t>
            </w:r>
          </w:p>
        </w:tc>
        <w:tc>
          <w:tcPr>
            <w:tcW w:w="336" w:type="dxa"/>
            <w:tcBorders>
              <w:top w:val="nil"/>
              <w:left w:val="nil"/>
              <w:bottom w:val="nil"/>
              <w:right w:val="nil"/>
            </w:tcBorders>
            <w:shd w:val="clear" w:color="CFD4D8" w:fill="CFD4D8"/>
            <w:vAlign w:val="bottom"/>
          </w:tcPr>
          <w:p w:rsidR="00D92D97" w:rsidRDefault="00D92D97" w:rsidP="0073298C">
            <w:pPr>
              <w:spacing w:before="22" w:after="22"/>
              <w:ind w:left="22" w:right="22"/>
              <w:rPr>
                <w:color w:val="000000"/>
              </w:rPr>
            </w:pPr>
            <w:r>
              <w:rPr>
                <w:color w:val="000000"/>
              </w:rPr>
              <w:t> </w:t>
            </w:r>
          </w:p>
        </w:tc>
        <w:tc>
          <w:tcPr>
            <w:tcW w:w="837" w:type="dxa"/>
            <w:tcBorders>
              <w:top w:val="nil"/>
              <w:left w:val="nil"/>
              <w:bottom w:val="nil"/>
              <w:right w:val="nil"/>
            </w:tcBorders>
            <w:shd w:val="clear" w:color="CFD4D8" w:fill="CFD4D8"/>
            <w:vAlign w:val="center"/>
          </w:tcPr>
          <w:p w:rsidR="00D92D97" w:rsidRDefault="00D92D97" w:rsidP="0073298C">
            <w:pPr>
              <w:spacing w:before="22" w:after="22"/>
              <w:ind w:left="22" w:right="22"/>
              <w:jc w:val="center"/>
              <w:rPr>
                <w:rFonts w:ascii="Arial" w:hAnsi="Arial" w:cs="Arial"/>
                <w:color w:val="000000"/>
                <w:sz w:val="16"/>
                <w:szCs w:val="16"/>
              </w:rPr>
            </w:pPr>
            <w:r>
              <w:rPr>
                <w:rFonts w:ascii="Arial" w:hAnsi="Arial" w:cs="Arial"/>
                <w:color w:val="000000"/>
                <w:sz w:val="16"/>
                <w:szCs w:val="16"/>
              </w:rPr>
              <w:t>1</w:t>
            </w:r>
          </w:p>
        </w:tc>
        <w:tc>
          <w:tcPr>
            <w:tcW w:w="104" w:type="dxa"/>
            <w:tcBorders>
              <w:top w:val="nil"/>
              <w:left w:val="nil"/>
              <w:bottom w:val="nil"/>
              <w:right w:val="nil"/>
            </w:tcBorders>
            <w:shd w:val="clear" w:color="00467E" w:fill="00467E"/>
            <w:vAlign w:val="bottom"/>
          </w:tcPr>
          <w:p w:rsidR="00D92D97" w:rsidRDefault="00D92D97" w:rsidP="0073298C">
            <w:pPr>
              <w:spacing w:before="22" w:after="22"/>
              <w:ind w:left="22" w:right="22"/>
              <w:rPr>
                <w:color w:val="000000"/>
              </w:rPr>
            </w:pPr>
            <w:r>
              <w:rPr>
                <w:color w:val="000000"/>
              </w:rPr>
              <w:t> </w:t>
            </w:r>
          </w:p>
        </w:tc>
        <w:tc>
          <w:tcPr>
            <w:tcW w:w="1241" w:type="dxa"/>
            <w:tcBorders>
              <w:top w:val="nil"/>
              <w:left w:val="nil"/>
              <w:bottom w:val="nil"/>
              <w:right w:val="nil"/>
            </w:tcBorders>
            <w:shd w:val="clear" w:color="CFD4D8" w:fill="CFD4D8"/>
            <w:vAlign w:val="center"/>
          </w:tcPr>
          <w:p w:rsidR="00D92D97" w:rsidRDefault="00D92D97" w:rsidP="0073298C">
            <w:pPr>
              <w:spacing w:before="22" w:after="22"/>
              <w:ind w:left="22" w:right="22"/>
              <w:rPr>
                <w:color w:val="000000"/>
              </w:rPr>
            </w:pPr>
          </w:p>
          <w:p w:rsidR="00D92D97" w:rsidRDefault="00D92D97" w:rsidP="0073298C">
            <w:pPr>
              <w:rPr>
                <w:sz w:val="16"/>
                <w:szCs w:val="16"/>
              </w:rPr>
            </w:pPr>
            <w:r>
              <w:rPr>
                <w:sz w:val="16"/>
                <w:szCs w:val="16"/>
              </w:rPr>
              <w:t> </w:t>
            </w:r>
          </w:p>
        </w:tc>
        <w:tc>
          <w:tcPr>
            <w:tcW w:w="104" w:type="dxa"/>
            <w:tcBorders>
              <w:top w:val="nil"/>
              <w:left w:val="nil"/>
              <w:bottom w:val="nil"/>
              <w:right w:val="nil"/>
            </w:tcBorders>
            <w:shd w:val="clear" w:color="CFD4D8" w:fill="CFD4D8"/>
            <w:vAlign w:val="bottom"/>
          </w:tcPr>
          <w:p w:rsidR="00D92D97" w:rsidRDefault="00D92D97" w:rsidP="0073298C">
            <w:pPr>
              <w:spacing w:before="22" w:after="22"/>
              <w:ind w:left="22" w:right="22"/>
              <w:rPr>
                <w:color w:val="000000"/>
              </w:rPr>
            </w:pPr>
            <w:r>
              <w:rPr>
                <w:color w:val="000000"/>
              </w:rPr>
              <w:t> </w:t>
            </w:r>
          </w:p>
        </w:tc>
        <w:tc>
          <w:tcPr>
            <w:tcW w:w="1236" w:type="dxa"/>
            <w:tcBorders>
              <w:top w:val="nil"/>
              <w:left w:val="nil"/>
              <w:bottom w:val="nil"/>
              <w:right w:val="nil"/>
            </w:tcBorders>
            <w:shd w:val="clear" w:color="CFD4D8" w:fill="CFD4D8"/>
            <w:vAlign w:val="center"/>
          </w:tcPr>
          <w:p w:rsidR="00D92D97" w:rsidRDefault="00D92D97" w:rsidP="0073298C">
            <w:pPr>
              <w:spacing w:before="22" w:after="22"/>
              <w:ind w:left="22" w:right="22"/>
              <w:jc w:val="center"/>
              <w:rPr>
                <w:rFonts w:ascii="Arial" w:hAnsi="Arial" w:cs="Arial"/>
                <w:color w:val="000000"/>
                <w:sz w:val="16"/>
                <w:szCs w:val="16"/>
              </w:rPr>
            </w:pPr>
            <w:r>
              <w:rPr>
                <w:rFonts w:ascii="Arial" w:hAnsi="Arial" w:cs="Arial"/>
                <w:color w:val="000000"/>
                <w:sz w:val="16"/>
                <w:szCs w:val="16"/>
              </w:rPr>
              <w:t>2</w:t>
            </w:r>
          </w:p>
        </w:tc>
        <w:tc>
          <w:tcPr>
            <w:tcW w:w="104" w:type="dxa"/>
            <w:tcBorders>
              <w:top w:val="nil"/>
              <w:left w:val="nil"/>
              <w:bottom w:val="nil"/>
              <w:right w:val="nil"/>
            </w:tcBorders>
            <w:shd w:val="clear" w:color="CFD4D8" w:fill="CFD4D8"/>
            <w:vAlign w:val="bottom"/>
          </w:tcPr>
          <w:p w:rsidR="00D92D97" w:rsidRDefault="00D92D97" w:rsidP="0073298C">
            <w:pPr>
              <w:spacing w:before="22" w:after="22"/>
              <w:ind w:left="22" w:right="22"/>
              <w:rPr>
                <w:color w:val="000000"/>
              </w:rPr>
            </w:pPr>
            <w:r>
              <w:rPr>
                <w:color w:val="000000"/>
              </w:rPr>
              <w:t> </w:t>
            </w:r>
          </w:p>
        </w:tc>
        <w:tc>
          <w:tcPr>
            <w:tcW w:w="1240" w:type="dxa"/>
            <w:tcBorders>
              <w:top w:val="nil"/>
              <w:left w:val="nil"/>
              <w:bottom w:val="nil"/>
              <w:right w:val="nil"/>
            </w:tcBorders>
            <w:shd w:val="clear" w:color="CFD4D8" w:fill="CFD4D8"/>
            <w:vAlign w:val="center"/>
          </w:tcPr>
          <w:p w:rsidR="00D92D97" w:rsidRDefault="00D92D97" w:rsidP="0073298C">
            <w:pPr>
              <w:spacing w:before="22" w:after="22"/>
              <w:ind w:left="22" w:right="22"/>
              <w:rPr>
                <w:color w:val="000000"/>
              </w:rPr>
            </w:pPr>
          </w:p>
          <w:p w:rsidR="00D92D97" w:rsidRDefault="00D92D97" w:rsidP="0073298C">
            <w:pPr>
              <w:rPr>
                <w:sz w:val="16"/>
                <w:szCs w:val="16"/>
              </w:rPr>
            </w:pPr>
            <w:r>
              <w:rPr>
                <w:sz w:val="16"/>
                <w:szCs w:val="16"/>
              </w:rPr>
              <w:t> </w:t>
            </w:r>
          </w:p>
        </w:tc>
        <w:tc>
          <w:tcPr>
            <w:tcW w:w="104" w:type="dxa"/>
            <w:tcBorders>
              <w:top w:val="nil"/>
              <w:left w:val="nil"/>
              <w:bottom w:val="nil"/>
              <w:right w:val="nil"/>
            </w:tcBorders>
            <w:shd w:val="clear" w:color="CFD4D8" w:fill="CFD4D8"/>
            <w:vAlign w:val="bottom"/>
          </w:tcPr>
          <w:p w:rsidR="00D92D97" w:rsidRDefault="00D92D97" w:rsidP="0073298C">
            <w:pPr>
              <w:spacing w:before="22" w:after="22"/>
              <w:ind w:left="22" w:right="22"/>
              <w:rPr>
                <w:color w:val="000000"/>
              </w:rPr>
            </w:pPr>
            <w:r>
              <w:rPr>
                <w:color w:val="000000"/>
              </w:rPr>
              <w:t> </w:t>
            </w:r>
          </w:p>
        </w:tc>
        <w:tc>
          <w:tcPr>
            <w:tcW w:w="1244" w:type="dxa"/>
            <w:tcBorders>
              <w:top w:val="nil"/>
              <w:left w:val="nil"/>
              <w:bottom w:val="nil"/>
              <w:right w:val="nil"/>
            </w:tcBorders>
            <w:shd w:val="clear" w:color="CFD4D8" w:fill="CFD4D8"/>
            <w:vAlign w:val="center"/>
          </w:tcPr>
          <w:p w:rsidR="00D92D97" w:rsidRDefault="00D92D97" w:rsidP="0073298C">
            <w:pPr>
              <w:spacing w:before="22" w:after="22"/>
              <w:ind w:left="22" w:right="22"/>
              <w:rPr>
                <w:color w:val="000000"/>
              </w:rPr>
            </w:pPr>
          </w:p>
          <w:p w:rsidR="00D92D97" w:rsidRDefault="00D92D97" w:rsidP="0073298C">
            <w:pPr>
              <w:rPr>
                <w:sz w:val="16"/>
                <w:szCs w:val="16"/>
              </w:rPr>
            </w:pPr>
            <w:r>
              <w:rPr>
                <w:sz w:val="16"/>
                <w:szCs w:val="16"/>
              </w:rPr>
              <w:t> </w:t>
            </w:r>
          </w:p>
        </w:tc>
        <w:tc>
          <w:tcPr>
            <w:tcW w:w="104" w:type="dxa"/>
            <w:tcBorders>
              <w:top w:val="nil"/>
              <w:left w:val="nil"/>
              <w:bottom w:val="nil"/>
              <w:right w:val="nil"/>
            </w:tcBorders>
            <w:shd w:val="clear" w:color="00467E" w:fill="00467E"/>
            <w:vAlign w:val="bottom"/>
          </w:tcPr>
          <w:p w:rsidR="00D92D97" w:rsidRDefault="00D92D97" w:rsidP="0073298C">
            <w:pPr>
              <w:spacing w:before="22" w:after="22"/>
              <w:ind w:left="22" w:right="22"/>
              <w:rPr>
                <w:color w:val="000000"/>
              </w:rPr>
            </w:pPr>
            <w:r>
              <w:rPr>
                <w:color w:val="000000"/>
              </w:rPr>
              <w:t> </w:t>
            </w:r>
          </w:p>
        </w:tc>
        <w:tc>
          <w:tcPr>
            <w:tcW w:w="1244" w:type="dxa"/>
            <w:tcBorders>
              <w:top w:val="nil"/>
              <w:left w:val="nil"/>
              <w:bottom w:val="nil"/>
              <w:right w:val="single" w:sz="6" w:space="0" w:color="00467E"/>
            </w:tcBorders>
            <w:shd w:val="clear" w:color="CFD4D8" w:fill="CFD4D8"/>
            <w:vAlign w:val="center"/>
          </w:tcPr>
          <w:p w:rsidR="00D92D97" w:rsidRDefault="00D92D97" w:rsidP="0073298C">
            <w:pPr>
              <w:spacing w:before="22" w:after="22"/>
              <w:ind w:left="22" w:right="22"/>
              <w:jc w:val="center"/>
              <w:rPr>
                <w:rFonts w:ascii="Arial" w:hAnsi="Arial" w:cs="Arial"/>
                <w:color w:val="000000"/>
                <w:sz w:val="16"/>
                <w:szCs w:val="16"/>
              </w:rPr>
            </w:pPr>
            <w:r>
              <w:rPr>
                <w:rFonts w:ascii="Arial" w:hAnsi="Arial" w:cs="Arial"/>
                <w:color w:val="000000"/>
                <w:sz w:val="16"/>
                <w:szCs w:val="16"/>
              </w:rPr>
              <w:t>2</w:t>
            </w:r>
          </w:p>
        </w:tc>
      </w:tr>
      <w:tr w:rsidR="00D92D97" w:rsidTr="00D92D97">
        <w:tblPrEx>
          <w:tblCellMar>
            <w:top w:w="0" w:type="dxa"/>
            <w:left w:w="0" w:type="dxa"/>
            <w:bottom w:w="0" w:type="dxa"/>
            <w:right w:w="0" w:type="dxa"/>
          </w:tblCellMar>
        </w:tblPrEx>
        <w:trPr>
          <w:trHeight w:val="281"/>
        </w:trPr>
        <w:tc>
          <w:tcPr>
            <w:tcW w:w="1058" w:type="dxa"/>
            <w:tcBorders>
              <w:top w:val="nil"/>
              <w:left w:val="single" w:sz="6" w:space="0" w:color="00467E"/>
              <w:bottom w:val="nil"/>
              <w:right w:val="nil"/>
            </w:tcBorders>
            <w:vAlign w:val="center"/>
          </w:tcPr>
          <w:p w:rsidR="00D92D97" w:rsidRDefault="00D92D97" w:rsidP="0073298C">
            <w:pPr>
              <w:spacing w:before="22" w:after="22"/>
              <w:ind w:left="22" w:right="22"/>
              <w:rPr>
                <w:rFonts w:ascii="Arial" w:hAnsi="Arial" w:cs="Arial"/>
                <w:b/>
                <w:bCs w:val="0"/>
                <w:i/>
                <w:iCs/>
                <w:color w:val="9D1B11"/>
                <w:sz w:val="16"/>
                <w:szCs w:val="16"/>
              </w:rPr>
            </w:pPr>
            <w:r>
              <w:rPr>
                <w:rFonts w:ascii="Arial" w:hAnsi="Arial" w:cs="Arial"/>
                <w:b/>
                <w:bCs w:val="0"/>
                <w:i/>
                <w:iCs/>
                <w:color w:val="9D1B11"/>
                <w:sz w:val="16"/>
                <w:szCs w:val="16"/>
              </w:rPr>
              <w:t>North Carolina</w:t>
            </w:r>
          </w:p>
        </w:tc>
        <w:tc>
          <w:tcPr>
            <w:tcW w:w="104" w:type="dxa"/>
            <w:tcBorders>
              <w:top w:val="nil"/>
              <w:left w:val="nil"/>
              <w:bottom w:val="nil"/>
              <w:right w:val="nil"/>
            </w:tcBorders>
            <w:shd w:val="clear" w:color="00467E" w:fill="00467E"/>
            <w:vAlign w:val="bottom"/>
          </w:tcPr>
          <w:p w:rsidR="00D92D97" w:rsidRDefault="00D92D97" w:rsidP="0073298C">
            <w:pPr>
              <w:spacing w:before="22" w:after="22"/>
              <w:ind w:left="22" w:right="22"/>
              <w:rPr>
                <w:color w:val="000000"/>
              </w:rPr>
            </w:pPr>
            <w:r>
              <w:rPr>
                <w:color w:val="000000"/>
              </w:rPr>
              <w:t> </w:t>
            </w:r>
          </w:p>
        </w:tc>
        <w:tc>
          <w:tcPr>
            <w:tcW w:w="834" w:type="dxa"/>
            <w:tcBorders>
              <w:top w:val="nil"/>
              <w:left w:val="nil"/>
              <w:bottom w:val="nil"/>
              <w:right w:val="nil"/>
            </w:tcBorders>
            <w:vAlign w:val="center"/>
          </w:tcPr>
          <w:p w:rsidR="00D92D97" w:rsidRDefault="00D92D97" w:rsidP="0073298C">
            <w:pPr>
              <w:spacing w:before="22" w:after="22"/>
              <w:ind w:left="22" w:right="22"/>
              <w:jc w:val="center"/>
              <w:rPr>
                <w:rFonts w:ascii="Arial" w:hAnsi="Arial" w:cs="Arial"/>
                <w:color w:val="000000"/>
                <w:sz w:val="16"/>
                <w:szCs w:val="16"/>
              </w:rPr>
            </w:pPr>
            <w:r>
              <w:rPr>
                <w:rFonts w:ascii="Arial" w:hAnsi="Arial" w:cs="Arial"/>
                <w:color w:val="000000"/>
                <w:sz w:val="16"/>
                <w:szCs w:val="16"/>
              </w:rPr>
              <w:t>2</w:t>
            </w:r>
          </w:p>
        </w:tc>
        <w:tc>
          <w:tcPr>
            <w:tcW w:w="336" w:type="dxa"/>
            <w:tcBorders>
              <w:top w:val="nil"/>
              <w:left w:val="nil"/>
              <w:bottom w:val="nil"/>
              <w:right w:val="nil"/>
            </w:tcBorders>
            <w:vAlign w:val="bottom"/>
          </w:tcPr>
          <w:p w:rsidR="00D92D97" w:rsidRDefault="00D92D97" w:rsidP="0073298C">
            <w:pPr>
              <w:spacing w:before="22" w:after="22"/>
              <w:ind w:left="22" w:right="22"/>
              <w:rPr>
                <w:color w:val="000000"/>
              </w:rPr>
            </w:pPr>
            <w:r>
              <w:rPr>
                <w:color w:val="000000"/>
              </w:rPr>
              <w:t> </w:t>
            </w:r>
          </w:p>
        </w:tc>
        <w:tc>
          <w:tcPr>
            <w:tcW w:w="837" w:type="dxa"/>
            <w:tcBorders>
              <w:top w:val="nil"/>
              <w:left w:val="nil"/>
              <w:bottom w:val="nil"/>
              <w:right w:val="nil"/>
            </w:tcBorders>
            <w:vAlign w:val="center"/>
          </w:tcPr>
          <w:p w:rsidR="00D92D97" w:rsidRDefault="00D92D97" w:rsidP="0073298C">
            <w:pPr>
              <w:spacing w:before="22" w:after="22"/>
              <w:ind w:left="22" w:right="22"/>
              <w:rPr>
                <w:color w:val="000000"/>
              </w:rPr>
            </w:pPr>
          </w:p>
          <w:p w:rsidR="00D92D97" w:rsidRDefault="00D92D97" w:rsidP="0073298C">
            <w:pPr>
              <w:rPr>
                <w:sz w:val="16"/>
                <w:szCs w:val="16"/>
              </w:rPr>
            </w:pPr>
            <w:r>
              <w:rPr>
                <w:sz w:val="16"/>
                <w:szCs w:val="16"/>
              </w:rPr>
              <w:t> </w:t>
            </w:r>
          </w:p>
        </w:tc>
        <w:tc>
          <w:tcPr>
            <w:tcW w:w="104" w:type="dxa"/>
            <w:tcBorders>
              <w:top w:val="nil"/>
              <w:left w:val="nil"/>
              <w:bottom w:val="nil"/>
              <w:right w:val="nil"/>
            </w:tcBorders>
            <w:shd w:val="clear" w:color="00467E" w:fill="00467E"/>
            <w:vAlign w:val="bottom"/>
          </w:tcPr>
          <w:p w:rsidR="00D92D97" w:rsidRDefault="00D92D97" w:rsidP="0073298C">
            <w:pPr>
              <w:spacing w:before="22" w:after="22"/>
              <w:ind w:left="22" w:right="22"/>
              <w:rPr>
                <w:color w:val="000000"/>
              </w:rPr>
            </w:pPr>
            <w:r>
              <w:rPr>
                <w:color w:val="000000"/>
              </w:rPr>
              <w:t> </w:t>
            </w:r>
          </w:p>
        </w:tc>
        <w:tc>
          <w:tcPr>
            <w:tcW w:w="1241" w:type="dxa"/>
            <w:tcBorders>
              <w:top w:val="nil"/>
              <w:left w:val="nil"/>
              <w:bottom w:val="nil"/>
              <w:right w:val="nil"/>
            </w:tcBorders>
            <w:vAlign w:val="center"/>
          </w:tcPr>
          <w:p w:rsidR="00D92D97" w:rsidRDefault="00D92D97" w:rsidP="0073298C">
            <w:pPr>
              <w:spacing w:before="22" w:after="22"/>
              <w:ind w:left="22" w:right="22"/>
              <w:jc w:val="center"/>
              <w:rPr>
                <w:rFonts w:ascii="Arial" w:hAnsi="Arial" w:cs="Arial"/>
                <w:color w:val="000000"/>
                <w:sz w:val="16"/>
                <w:szCs w:val="16"/>
              </w:rPr>
            </w:pPr>
            <w:r>
              <w:rPr>
                <w:rFonts w:ascii="Arial" w:hAnsi="Arial" w:cs="Arial"/>
                <w:color w:val="000000"/>
                <w:sz w:val="16"/>
                <w:szCs w:val="16"/>
              </w:rPr>
              <w:t>1</w:t>
            </w:r>
          </w:p>
        </w:tc>
        <w:tc>
          <w:tcPr>
            <w:tcW w:w="104" w:type="dxa"/>
            <w:tcBorders>
              <w:top w:val="nil"/>
              <w:left w:val="nil"/>
              <w:bottom w:val="nil"/>
              <w:right w:val="nil"/>
            </w:tcBorders>
            <w:vAlign w:val="bottom"/>
          </w:tcPr>
          <w:p w:rsidR="00D92D97" w:rsidRDefault="00D92D97" w:rsidP="0073298C">
            <w:pPr>
              <w:spacing w:before="22" w:after="22"/>
              <w:ind w:left="22" w:right="22"/>
              <w:rPr>
                <w:color w:val="000000"/>
              </w:rPr>
            </w:pPr>
            <w:r>
              <w:rPr>
                <w:color w:val="000000"/>
              </w:rPr>
              <w:t> </w:t>
            </w:r>
          </w:p>
        </w:tc>
        <w:tc>
          <w:tcPr>
            <w:tcW w:w="1236" w:type="dxa"/>
            <w:tcBorders>
              <w:top w:val="nil"/>
              <w:left w:val="nil"/>
              <w:bottom w:val="nil"/>
              <w:right w:val="nil"/>
            </w:tcBorders>
            <w:vAlign w:val="center"/>
          </w:tcPr>
          <w:p w:rsidR="00D92D97" w:rsidRDefault="00D92D97" w:rsidP="0073298C">
            <w:pPr>
              <w:spacing w:before="22" w:after="22"/>
              <w:ind w:left="22" w:right="22"/>
              <w:rPr>
                <w:color w:val="000000"/>
              </w:rPr>
            </w:pPr>
          </w:p>
          <w:p w:rsidR="00D92D97" w:rsidRDefault="00D92D97" w:rsidP="0073298C">
            <w:pPr>
              <w:rPr>
                <w:sz w:val="16"/>
                <w:szCs w:val="16"/>
              </w:rPr>
            </w:pPr>
            <w:r>
              <w:rPr>
                <w:sz w:val="16"/>
                <w:szCs w:val="16"/>
              </w:rPr>
              <w:t> </w:t>
            </w:r>
          </w:p>
        </w:tc>
        <w:tc>
          <w:tcPr>
            <w:tcW w:w="104" w:type="dxa"/>
            <w:tcBorders>
              <w:top w:val="nil"/>
              <w:left w:val="nil"/>
              <w:bottom w:val="nil"/>
              <w:right w:val="nil"/>
            </w:tcBorders>
            <w:vAlign w:val="bottom"/>
          </w:tcPr>
          <w:p w:rsidR="00D92D97" w:rsidRDefault="00D92D97" w:rsidP="0073298C">
            <w:pPr>
              <w:spacing w:before="22" w:after="22"/>
              <w:ind w:left="22" w:right="22"/>
              <w:rPr>
                <w:color w:val="000000"/>
              </w:rPr>
            </w:pPr>
            <w:r>
              <w:rPr>
                <w:color w:val="000000"/>
              </w:rPr>
              <w:t> </w:t>
            </w:r>
          </w:p>
        </w:tc>
        <w:tc>
          <w:tcPr>
            <w:tcW w:w="1240" w:type="dxa"/>
            <w:tcBorders>
              <w:top w:val="nil"/>
              <w:left w:val="nil"/>
              <w:bottom w:val="nil"/>
              <w:right w:val="nil"/>
            </w:tcBorders>
            <w:vAlign w:val="center"/>
          </w:tcPr>
          <w:p w:rsidR="00D92D97" w:rsidRDefault="00D92D97" w:rsidP="0073298C">
            <w:pPr>
              <w:spacing w:before="22" w:after="22"/>
              <w:ind w:left="22" w:right="22"/>
              <w:jc w:val="center"/>
              <w:rPr>
                <w:rFonts w:ascii="Arial" w:hAnsi="Arial" w:cs="Arial"/>
                <w:color w:val="000000"/>
                <w:sz w:val="16"/>
                <w:szCs w:val="16"/>
              </w:rPr>
            </w:pPr>
            <w:r>
              <w:rPr>
                <w:rFonts w:ascii="Arial" w:hAnsi="Arial" w:cs="Arial"/>
                <w:color w:val="000000"/>
                <w:sz w:val="16"/>
                <w:szCs w:val="16"/>
              </w:rPr>
              <w:t>1</w:t>
            </w:r>
          </w:p>
        </w:tc>
        <w:tc>
          <w:tcPr>
            <w:tcW w:w="104" w:type="dxa"/>
            <w:tcBorders>
              <w:top w:val="nil"/>
              <w:left w:val="nil"/>
              <w:bottom w:val="nil"/>
              <w:right w:val="nil"/>
            </w:tcBorders>
            <w:vAlign w:val="bottom"/>
          </w:tcPr>
          <w:p w:rsidR="00D92D97" w:rsidRDefault="00D92D97" w:rsidP="0073298C">
            <w:pPr>
              <w:spacing w:before="22" w:after="22"/>
              <w:ind w:left="22" w:right="22"/>
              <w:rPr>
                <w:color w:val="000000"/>
              </w:rPr>
            </w:pPr>
            <w:r>
              <w:rPr>
                <w:color w:val="000000"/>
              </w:rPr>
              <w:t> </w:t>
            </w:r>
          </w:p>
        </w:tc>
        <w:tc>
          <w:tcPr>
            <w:tcW w:w="1244" w:type="dxa"/>
            <w:tcBorders>
              <w:top w:val="nil"/>
              <w:left w:val="nil"/>
              <w:bottom w:val="nil"/>
              <w:right w:val="nil"/>
            </w:tcBorders>
            <w:vAlign w:val="center"/>
          </w:tcPr>
          <w:p w:rsidR="00D92D97" w:rsidRDefault="00D92D97" w:rsidP="0073298C">
            <w:pPr>
              <w:spacing w:before="22" w:after="22"/>
              <w:ind w:left="22" w:right="22"/>
              <w:rPr>
                <w:color w:val="000000"/>
              </w:rPr>
            </w:pPr>
          </w:p>
          <w:p w:rsidR="00D92D97" w:rsidRDefault="00D92D97" w:rsidP="0073298C">
            <w:pPr>
              <w:rPr>
                <w:sz w:val="16"/>
                <w:szCs w:val="16"/>
              </w:rPr>
            </w:pPr>
            <w:r>
              <w:rPr>
                <w:sz w:val="16"/>
                <w:szCs w:val="16"/>
              </w:rPr>
              <w:t> </w:t>
            </w:r>
          </w:p>
        </w:tc>
        <w:tc>
          <w:tcPr>
            <w:tcW w:w="104" w:type="dxa"/>
            <w:tcBorders>
              <w:top w:val="nil"/>
              <w:left w:val="nil"/>
              <w:bottom w:val="nil"/>
              <w:right w:val="nil"/>
            </w:tcBorders>
            <w:shd w:val="clear" w:color="00467E" w:fill="00467E"/>
            <w:vAlign w:val="bottom"/>
          </w:tcPr>
          <w:p w:rsidR="00D92D97" w:rsidRDefault="00D92D97" w:rsidP="0073298C">
            <w:pPr>
              <w:spacing w:before="22" w:after="22"/>
              <w:ind w:left="22" w:right="22"/>
              <w:rPr>
                <w:color w:val="000000"/>
              </w:rPr>
            </w:pPr>
            <w:r>
              <w:rPr>
                <w:color w:val="000000"/>
              </w:rPr>
              <w:t> </w:t>
            </w:r>
          </w:p>
        </w:tc>
        <w:tc>
          <w:tcPr>
            <w:tcW w:w="1244" w:type="dxa"/>
            <w:tcBorders>
              <w:top w:val="nil"/>
              <w:left w:val="nil"/>
              <w:bottom w:val="nil"/>
              <w:right w:val="single" w:sz="6" w:space="0" w:color="00467E"/>
            </w:tcBorders>
            <w:vAlign w:val="center"/>
          </w:tcPr>
          <w:p w:rsidR="00D92D97" w:rsidRDefault="00D92D97" w:rsidP="0073298C">
            <w:pPr>
              <w:spacing w:before="22" w:after="22"/>
              <w:ind w:left="22" w:right="22"/>
              <w:jc w:val="center"/>
              <w:rPr>
                <w:rFonts w:ascii="Arial" w:hAnsi="Arial" w:cs="Arial"/>
                <w:color w:val="000000"/>
                <w:sz w:val="16"/>
                <w:szCs w:val="16"/>
              </w:rPr>
            </w:pPr>
            <w:r>
              <w:rPr>
                <w:rFonts w:ascii="Arial" w:hAnsi="Arial" w:cs="Arial"/>
                <w:color w:val="000000"/>
                <w:sz w:val="16"/>
                <w:szCs w:val="16"/>
              </w:rPr>
              <w:t>2</w:t>
            </w:r>
          </w:p>
        </w:tc>
      </w:tr>
      <w:tr w:rsidR="00D92D97" w:rsidTr="00D92D97">
        <w:tblPrEx>
          <w:tblCellMar>
            <w:top w:w="0" w:type="dxa"/>
            <w:left w:w="0" w:type="dxa"/>
            <w:bottom w:w="0" w:type="dxa"/>
            <w:right w:w="0" w:type="dxa"/>
          </w:tblCellMar>
        </w:tblPrEx>
        <w:trPr>
          <w:trHeight w:val="281"/>
        </w:trPr>
        <w:tc>
          <w:tcPr>
            <w:tcW w:w="1058" w:type="dxa"/>
            <w:tcBorders>
              <w:top w:val="nil"/>
              <w:left w:val="single" w:sz="6" w:space="0" w:color="00467E"/>
              <w:bottom w:val="nil"/>
              <w:right w:val="nil"/>
            </w:tcBorders>
            <w:shd w:val="clear" w:color="CFD4D8" w:fill="CFD4D8"/>
            <w:vAlign w:val="center"/>
          </w:tcPr>
          <w:p w:rsidR="00D92D97" w:rsidRDefault="00D92D97" w:rsidP="0073298C">
            <w:pPr>
              <w:spacing w:before="22" w:after="22"/>
              <w:ind w:left="22" w:right="22"/>
              <w:rPr>
                <w:rFonts w:ascii="Arial" w:hAnsi="Arial" w:cs="Arial"/>
                <w:b/>
                <w:bCs w:val="0"/>
                <w:i/>
                <w:iCs/>
                <w:color w:val="9D1B11"/>
                <w:sz w:val="16"/>
                <w:szCs w:val="16"/>
              </w:rPr>
            </w:pPr>
            <w:r>
              <w:rPr>
                <w:rFonts w:ascii="Arial" w:hAnsi="Arial" w:cs="Arial"/>
                <w:b/>
                <w:bCs w:val="0"/>
                <w:i/>
                <w:iCs/>
                <w:color w:val="9D1B11"/>
                <w:sz w:val="16"/>
                <w:szCs w:val="16"/>
              </w:rPr>
              <w:t>Ohio</w:t>
            </w:r>
          </w:p>
        </w:tc>
        <w:tc>
          <w:tcPr>
            <w:tcW w:w="104" w:type="dxa"/>
            <w:tcBorders>
              <w:top w:val="nil"/>
              <w:left w:val="nil"/>
              <w:bottom w:val="nil"/>
              <w:right w:val="nil"/>
            </w:tcBorders>
            <w:shd w:val="clear" w:color="00467E" w:fill="00467E"/>
            <w:vAlign w:val="bottom"/>
          </w:tcPr>
          <w:p w:rsidR="00D92D97" w:rsidRDefault="00D92D97" w:rsidP="0073298C">
            <w:pPr>
              <w:spacing w:before="22" w:after="22"/>
              <w:ind w:left="22" w:right="22"/>
              <w:rPr>
                <w:color w:val="000000"/>
              </w:rPr>
            </w:pPr>
            <w:r>
              <w:rPr>
                <w:color w:val="000000"/>
              </w:rPr>
              <w:t> </w:t>
            </w:r>
          </w:p>
        </w:tc>
        <w:tc>
          <w:tcPr>
            <w:tcW w:w="834" w:type="dxa"/>
            <w:tcBorders>
              <w:top w:val="nil"/>
              <w:left w:val="nil"/>
              <w:bottom w:val="nil"/>
              <w:right w:val="nil"/>
            </w:tcBorders>
            <w:shd w:val="clear" w:color="CFD4D8" w:fill="CFD4D8"/>
            <w:vAlign w:val="center"/>
          </w:tcPr>
          <w:p w:rsidR="00D92D97" w:rsidRDefault="00D92D97" w:rsidP="0073298C">
            <w:pPr>
              <w:spacing w:before="22" w:after="22"/>
              <w:ind w:left="22" w:right="22"/>
              <w:jc w:val="center"/>
              <w:rPr>
                <w:rFonts w:ascii="Arial" w:hAnsi="Arial" w:cs="Arial"/>
                <w:color w:val="000000"/>
                <w:sz w:val="16"/>
                <w:szCs w:val="16"/>
              </w:rPr>
            </w:pPr>
            <w:r>
              <w:rPr>
                <w:rFonts w:ascii="Arial" w:hAnsi="Arial" w:cs="Arial"/>
                <w:color w:val="000000"/>
                <w:sz w:val="16"/>
                <w:szCs w:val="16"/>
              </w:rPr>
              <w:t>2</w:t>
            </w:r>
          </w:p>
        </w:tc>
        <w:tc>
          <w:tcPr>
            <w:tcW w:w="336" w:type="dxa"/>
            <w:tcBorders>
              <w:top w:val="nil"/>
              <w:left w:val="nil"/>
              <w:bottom w:val="nil"/>
              <w:right w:val="nil"/>
            </w:tcBorders>
            <w:shd w:val="clear" w:color="CFD4D8" w:fill="CFD4D8"/>
            <w:vAlign w:val="bottom"/>
          </w:tcPr>
          <w:p w:rsidR="00D92D97" w:rsidRDefault="00D92D97" w:rsidP="0073298C">
            <w:pPr>
              <w:spacing w:before="22" w:after="22"/>
              <w:ind w:left="22" w:right="22"/>
              <w:rPr>
                <w:color w:val="000000"/>
              </w:rPr>
            </w:pPr>
            <w:r>
              <w:rPr>
                <w:color w:val="000000"/>
              </w:rPr>
              <w:t> </w:t>
            </w:r>
          </w:p>
        </w:tc>
        <w:tc>
          <w:tcPr>
            <w:tcW w:w="837" w:type="dxa"/>
            <w:tcBorders>
              <w:top w:val="nil"/>
              <w:left w:val="nil"/>
              <w:bottom w:val="nil"/>
              <w:right w:val="nil"/>
            </w:tcBorders>
            <w:shd w:val="clear" w:color="CFD4D8" w:fill="CFD4D8"/>
            <w:vAlign w:val="center"/>
          </w:tcPr>
          <w:p w:rsidR="00D92D97" w:rsidRDefault="00D92D97" w:rsidP="0073298C">
            <w:pPr>
              <w:spacing w:before="22" w:after="22"/>
              <w:ind w:left="22" w:right="22"/>
              <w:jc w:val="center"/>
              <w:rPr>
                <w:rFonts w:ascii="Arial" w:hAnsi="Arial" w:cs="Arial"/>
                <w:color w:val="000000"/>
                <w:sz w:val="16"/>
                <w:szCs w:val="16"/>
              </w:rPr>
            </w:pPr>
            <w:r>
              <w:rPr>
                <w:rFonts w:ascii="Arial" w:hAnsi="Arial" w:cs="Arial"/>
                <w:color w:val="000000"/>
                <w:sz w:val="16"/>
                <w:szCs w:val="16"/>
              </w:rPr>
              <w:t>1</w:t>
            </w:r>
          </w:p>
        </w:tc>
        <w:tc>
          <w:tcPr>
            <w:tcW w:w="104" w:type="dxa"/>
            <w:tcBorders>
              <w:top w:val="nil"/>
              <w:left w:val="nil"/>
              <w:bottom w:val="nil"/>
              <w:right w:val="nil"/>
            </w:tcBorders>
            <w:shd w:val="clear" w:color="00467E" w:fill="00467E"/>
            <w:vAlign w:val="bottom"/>
          </w:tcPr>
          <w:p w:rsidR="00D92D97" w:rsidRDefault="00D92D97" w:rsidP="0073298C">
            <w:pPr>
              <w:spacing w:before="22" w:after="22"/>
              <w:ind w:left="22" w:right="22"/>
              <w:rPr>
                <w:color w:val="000000"/>
              </w:rPr>
            </w:pPr>
            <w:r>
              <w:rPr>
                <w:color w:val="000000"/>
              </w:rPr>
              <w:t> </w:t>
            </w:r>
          </w:p>
        </w:tc>
        <w:tc>
          <w:tcPr>
            <w:tcW w:w="1241" w:type="dxa"/>
            <w:tcBorders>
              <w:top w:val="nil"/>
              <w:left w:val="nil"/>
              <w:bottom w:val="nil"/>
              <w:right w:val="nil"/>
            </w:tcBorders>
            <w:shd w:val="clear" w:color="CFD4D8" w:fill="CFD4D8"/>
            <w:vAlign w:val="center"/>
          </w:tcPr>
          <w:p w:rsidR="00D92D97" w:rsidRDefault="00D92D97" w:rsidP="0073298C">
            <w:pPr>
              <w:spacing w:before="22" w:after="22"/>
              <w:ind w:left="22" w:right="22"/>
              <w:jc w:val="center"/>
              <w:rPr>
                <w:rFonts w:ascii="Arial" w:hAnsi="Arial" w:cs="Arial"/>
                <w:color w:val="000000"/>
                <w:sz w:val="16"/>
                <w:szCs w:val="16"/>
              </w:rPr>
            </w:pPr>
            <w:r>
              <w:rPr>
                <w:rFonts w:ascii="Arial" w:hAnsi="Arial" w:cs="Arial"/>
                <w:color w:val="000000"/>
                <w:sz w:val="16"/>
                <w:szCs w:val="16"/>
              </w:rPr>
              <w:t>1</w:t>
            </w:r>
          </w:p>
        </w:tc>
        <w:tc>
          <w:tcPr>
            <w:tcW w:w="104" w:type="dxa"/>
            <w:tcBorders>
              <w:top w:val="nil"/>
              <w:left w:val="nil"/>
              <w:bottom w:val="nil"/>
              <w:right w:val="nil"/>
            </w:tcBorders>
            <w:shd w:val="clear" w:color="CFD4D8" w:fill="CFD4D8"/>
            <w:vAlign w:val="bottom"/>
          </w:tcPr>
          <w:p w:rsidR="00D92D97" w:rsidRDefault="00D92D97" w:rsidP="0073298C">
            <w:pPr>
              <w:spacing w:before="22" w:after="22"/>
              <w:ind w:left="22" w:right="22"/>
              <w:rPr>
                <w:color w:val="000000"/>
              </w:rPr>
            </w:pPr>
            <w:r>
              <w:rPr>
                <w:color w:val="000000"/>
              </w:rPr>
              <w:t> </w:t>
            </w:r>
          </w:p>
        </w:tc>
        <w:tc>
          <w:tcPr>
            <w:tcW w:w="1236" w:type="dxa"/>
            <w:tcBorders>
              <w:top w:val="nil"/>
              <w:left w:val="nil"/>
              <w:bottom w:val="nil"/>
              <w:right w:val="nil"/>
            </w:tcBorders>
            <w:shd w:val="clear" w:color="CFD4D8" w:fill="CFD4D8"/>
            <w:vAlign w:val="center"/>
          </w:tcPr>
          <w:p w:rsidR="00D92D97" w:rsidRDefault="00D92D97" w:rsidP="0073298C">
            <w:pPr>
              <w:spacing w:before="22" w:after="22"/>
              <w:ind w:left="22" w:right="22"/>
              <w:jc w:val="center"/>
              <w:rPr>
                <w:rFonts w:ascii="Arial" w:hAnsi="Arial" w:cs="Arial"/>
                <w:color w:val="000000"/>
                <w:sz w:val="16"/>
                <w:szCs w:val="16"/>
              </w:rPr>
            </w:pPr>
            <w:r>
              <w:rPr>
                <w:rFonts w:ascii="Arial" w:hAnsi="Arial" w:cs="Arial"/>
                <w:color w:val="000000"/>
                <w:sz w:val="16"/>
                <w:szCs w:val="16"/>
              </w:rPr>
              <w:t>1</w:t>
            </w:r>
          </w:p>
        </w:tc>
        <w:tc>
          <w:tcPr>
            <w:tcW w:w="104" w:type="dxa"/>
            <w:tcBorders>
              <w:top w:val="nil"/>
              <w:left w:val="nil"/>
              <w:bottom w:val="nil"/>
              <w:right w:val="nil"/>
            </w:tcBorders>
            <w:shd w:val="clear" w:color="CFD4D8" w:fill="CFD4D8"/>
            <w:vAlign w:val="bottom"/>
          </w:tcPr>
          <w:p w:rsidR="00D92D97" w:rsidRDefault="00D92D97" w:rsidP="0073298C">
            <w:pPr>
              <w:spacing w:before="22" w:after="22"/>
              <w:ind w:left="22" w:right="22"/>
              <w:rPr>
                <w:color w:val="000000"/>
              </w:rPr>
            </w:pPr>
            <w:r>
              <w:rPr>
                <w:color w:val="000000"/>
              </w:rPr>
              <w:t> </w:t>
            </w:r>
          </w:p>
        </w:tc>
        <w:tc>
          <w:tcPr>
            <w:tcW w:w="1240" w:type="dxa"/>
            <w:tcBorders>
              <w:top w:val="nil"/>
              <w:left w:val="nil"/>
              <w:bottom w:val="nil"/>
              <w:right w:val="nil"/>
            </w:tcBorders>
            <w:shd w:val="clear" w:color="CFD4D8" w:fill="CFD4D8"/>
            <w:vAlign w:val="center"/>
          </w:tcPr>
          <w:p w:rsidR="00D92D97" w:rsidRDefault="00D92D97" w:rsidP="0073298C">
            <w:pPr>
              <w:spacing w:before="22" w:after="22"/>
              <w:ind w:left="22" w:right="22"/>
              <w:jc w:val="center"/>
              <w:rPr>
                <w:rFonts w:ascii="Arial" w:hAnsi="Arial" w:cs="Arial"/>
                <w:color w:val="000000"/>
                <w:sz w:val="16"/>
                <w:szCs w:val="16"/>
              </w:rPr>
            </w:pPr>
            <w:r>
              <w:rPr>
                <w:rFonts w:ascii="Arial" w:hAnsi="Arial" w:cs="Arial"/>
                <w:color w:val="000000"/>
                <w:sz w:val="16"/>
                <w:szCs w:val="16"/>
              </w:rPr>
              <w:t>1</w:t>
            </w:r>
          </w:p>
        </w:tc>
        <w:tc>
          <w:tcPr>
            <w:tcW w:w="104" w:type="dxa"/>
            <w:tcBorders>
              <w:top w:val="nil"/>
              <w:left w:val="nil"/>
              <w:bottom w:val="nil"/>
              <w:right w:val="nil"/>
            </w:tcBorders>
            <w:shd w:val="clear" w:color="CFD4D8" w:fill="CFD4D8"/>
            <w:vAlign w:val="bottom"/>
          </w:tcPr>
          <w:p w:rsidR="00D92D97" w:rsidRDefault="00D92D97" w:rsidP="0073298C">
            <w:pPr>
              <w:spacing w:before="22" w:after="22"/>
              <w:ind w:left="22" w:right="22"/>
              <w:rPr>
                <w:color w:val="000000"/>
              </w:rPr>
            </w:pPr>
            <w:r>
              <w:rPr>
                <w:color w:val="000000"/>
              </w:rPr>
              <w:t> </w:t>
            </w:r>
          </w:p>
        </w:tc>
        <w:tc>
          <w:tcPr>
            <w:tcW w:w="1244" w:type="dxa"/>
            <w:tcBorders>
              <w:top w:val="nil"/>
              <w:left w:val="nil"/>
              <w:bottom w:val="nil"/>
              <w:right w:val="nil"/>
            </w:tcBorders>
            <w:shd w:val="clear" w:color="CFD4D8" w:fill="CFD4D8"/>
            <w:vAlign w:val="center"/>
          </w:tcPr>
          <w:p w:rsidR="00D92D97" w:rsidRDefault="00D92D97" w:rsidP="0073298C">
            <w:pPr>
              <w:spacing w:before="22" w:after="22"/>
              <w:ind w:left="22" w:right="22"/>
              <w:rPr>
                <w:color w:val="000000"/>
              </w:rPr>
            </w:pPr>
          </w:p>
          <w:p w:rsidR="00D92D97" w:rsidRDefault="00D92D97" w:rsidP="0073298C">
            <w:pPr>
              <w:rPr>
                <w:sz w:val="16"/>
                <w:szCs w:val="16"/>
              </w:rPr>
            </w:pPr>
            <w:r>
              <w:rPr>
                <w:sz w:val="16"/>
                <w:szCs w:val="16"/>
              </w:rPr>
              <w:t> </w:t>
            </w:r>
          </w:p>
        </w:tc>
        <w:tc>
          <w:tcPr>
            <w:tcW w:w="104" w:type="dxa"/>
            <w:tcBorders>
              <w:top w:val="nil"/>
              <w:left w:val="nil"/>
              <w:bottom w:val="nil"/>
              <w:right w:val="nil"/>
            </w:tcBorders>
            <w:shd w:val="clear" w:color="00467E" w:fill="00467E"/>
            <w:vAlign w:val="bottom"/>
          </w:tcPr>
          <w:p w:rsidR="00D92D97" w:rsidRDefault="00D92D97" w:rsidP="0073298C">
            <w:pPr>
              <w:spacing w:before="22" w:after="22"/>
              <w:ind w:left="22" w:right="22"/>
              <w:rPr>
                <w:color w:val="000000"/>
              </w:rPr>
            </w:pPr>
            <w:r>
              <w:rPr>
                <w:color w:val="000000"/>
              </w:rPr>
              <w:t> </w:t>
            </w:r>
          </w:p>
        </w:tc>
        <w:tc>
          <w:tcPr>
            <w:tcW w:w="1244" w:type="dxa"/>
            <w:tcBorders>
              <w:top w:val="nil"/>
              <w:left w:val="nil"/>
              <w:bottom w:val="nil"/>
              <w:right w:val="single" w:sz="6" w:space="0" w:color="00467E"/>
            </w:tcBorders>
            <w:shd w:val="clear" w:color="CFD4D8" w:fill="CFD4D8"/>
            <w:vAlign w:val="center"/>
          </w:tcPr>
          <w:p w:rsidR="00D92D97" w:rsidRDefault="00D92D97" w:rsidP="0073298C">
            <w:pPr>
              <w:spacing w:before="22" w:after="22"/>
              <w:ind w:left="22" w:right="22"/>
              <w:jc w:val="center"/>
              <w:rPr>
                <w:rFonts w:ascii="Arial" w:hAnsi="Arial" w:cs="Arial"/>
                <w:color w:val="000000"/>
                <w:sz w:val="16"/>
                <w:szCs w:val="16"/>
              </w:rPr>
            </w:pPr>
            <w:r>
              <w:rPr>
                <w:rFonts w:ascii="Arial" w:hAnsi="Arial" w:cs="Arial"/>
                <w:color w:val="000000"/>
                <w:sz w:val="16"/>
                <w:szCs w:val="16"/>
              </w:rPr>
              <w:t>3</w:t>
            </w:r>
          </w:p>
        </w:tc>
      </w:tr>
      <w:tr w:rsidR="00D92D97" w:rsidTr="00D92D97">
        <w:tblPrEx>
          <w:tblCellMar>
            <w:top w:w="0" w:type="dxa"/>
            <w:left w:w="0" w:type="dxa"/>
            <w:bottom w:w="0" w:type="dxa"/>
            <w:right w:w="0" w:type="dxa"/>
          </w:tblCellMar>
        </w:tblPrEx>
        <w:trPr>
          <w:trHeight w:val="281"/>
        </w:trPr>
        <w:tc>
          <w:tcPr>
            <w:tcW w:w="1058" w:type="dxa"/>
            <w:tcBorders>
              <w:top w:val="nil"/>
              <w:left w:val="single" w:sz="6" w:space="0" w:color="00467E"/>
              <w:bottom w:val="nil"/>
              <w:right w:val="nil"/>
            </w:tcBorders>
            <w:vAlign w:val="center"/>
          </w:tcPr>
          <w:p w:rsidR="00D92D97" w:rsidRDefault="00D92D97" w:rsidP="0073298C">
            <w:pPr>
              <w:spacing w:before="22" w:after="22"/>
              <w:ind w:left="22" w:right="22"/>
              <w:rPr>
                <w:rFonts w:ascii="Arial" w:hAnsi="Arial" w:cs="Arial"/>
                <w:b/>
                <w:bCs w:val="0"/>
                <w:i/>
                <w:iCs/>
                <w:color w:val="9D1B11"/>
                <w:sz w:val="16"/>
                <w:szCs w:val="16"/>
              </w:rPr>
            </w:pPr>
            <w:r>
              <w:rPr>
                <w:rFonts w:ascii="Arial" w:hAnsi="Arial" w:cs="Arial"/>
                <w:b/>
                <w:bCs w:val="0"/>
                <w:i/>
                <w:iCs/>
                <w:color w:val="9D1B11"/>
                <w:sz w:val="16"/>
                <w:szCs w:val="16"/>
              </w:rPr>
              <w:t>Oklahoma</w:t>
            </w:r>
          </w:p>
        </w:tc>
        <w:tc>
          <w:tcPr>
            <w:tcW w:w="104" w:type="dxa"/>
            <w:tcBorders>
              <w:top w:val="nil"/>
              <w:left w:val="nil"/>
              <w:bottom w:val="nil"/>
              <w:right w:val="nil"/>
            </w:tcBorders>
            <w:shd w:val="clear" w:color="00467E" w:fill="00467E"/>
            <w:vAlign w:val="bottom"/>
          </w:tcPr>
          <w:p w:rsidR="00D92D97" w:rsidRDefault="00D92D97" w:rsidP="0073298C">
            <w:pPr>
              <w:spacing w:before="22" w:after="22"/>
              <w:ind w:left="22" w:right="22"/>
              <w:rPr>
                <w:color w:val="000000"/>
              </w:rPr>
            </w:pPr>
            <w:r>
              <w:rPr>
                <w:color w:val="000000"/>
              </w:rPr>
              <w:t> </w:t>
            </w:r>
          </w:p>
        </w:tc>
        <w:tc>
          <w:tcPr>
            <w:tcW w:w="834" w:type="dxa"/>
            <w:tcBorders>
              <w:top w:val="nil"/>
              <w:left w:val="nil"/>
              <w:bottom w:val="nil"/>
              <w:right w:val="nil"/>
            </w:tcBorders>
            <w:vAlign w:val="center"/>
          </w:tcPr>
          <w:p w:rsidR="00D92D97" w:rsidRDefault="00D92D97" w:rsidP="0073298C">
            <w:pPr>
              <w:spacing w:before="22" w:after="22"/>
              <w:ind w:left="22" w:right="22"/>
              <w:jc w:val="center"/>
              <w:rPr>
                <w:rFonts w:ascii="Arial" w:hAnsi="Arial" w:cs="Arial"/>
                <w:color w:val="000000"/>
                <w:sz w:val="16"/>
                <w:szCs w:val="16"/>
              </w:rPr>
            </w:pPr>
            <w:r>
              <w:rPr>
                <w:rFonts w:ascii="Arial" w:hAnsi="Arial" w:cs="Arial"/>
                <w:color w:val="000000"/>
                <w:sz w:val="16"/>
                <w:szCs w:val="16"/>
              </w:rPr>
              <w:t>2</w:t>
            </w:r>
          </w:p>
        </w:tc>
        <w:tc>
          <w:tcPr>
            <w:tcW w:w="336" w:type="dxa"/>
            <w:tcBorders>
              <w:top w:val="nil"/>
              <w:left w:val="nil"/>
              <w:bottom w:val="nil"/>
              <w:right w:val="nil"/>
            </w:tcBorders>
            <w:vAlign w:val="bottom"/>
          </w:tcPr>
          <w:p w:rsidR="00D92D97" w:rsidRDefault="00D92D97" w:rsidP="0073298C">
            <w:pPr>
              <w:spacing w:before="22" w:after="22"/>
              <w:ind w:left="22" w:right="22"/>
              <w:rPr>
                <w:color w:val="000000"/>
              </w:rPr>
            </w:pPr>
            <w:r>
              <w:rPr>
                <w:color w:val="000000"/>
              </w:rPr>
              <w:t> </w:t>
            </w:r>
          </w:p>
        </w:tc>
        <w:tc>
          <w:tcPr>
            <w:tcW w:w="837" w:type="dxa"/>
            <w:tcBorders>
              <w:top w:val="nil"/>
              <w:left w:val="nil"/>
              <w:bottom w:val="nil"/>
              <w:right w:val="nil"/>
            </w:tcBorders>
            <w:vAlign w:val="center"/>
          </w:tcPr>
          <w:p w:rsidR="00D92D97" w:rsidRDefault="00D92D97" w:rsidP="0073298C">
            <w:pPr>
              <w:spacing w:before="22" w:after="22"/>
              <w:ind w:left="22" w:right="22"/>
              <w:rPr>
                <w:color w:val="000000"/>
              </w:rPr>
            </w:pPr>
          </w:p>
          <w:p w:rsidR="00D92D97" w:rsidRDefault="00D92D97" w:rsidP="0073298C">
            <w:pPr>
              <w:rPr>
                <w:sz w:val="16"/>
                <w:szCs w:val="16"/>
              </w:rPr>
            </w:pPr>
            <w:r>
              <w:rPr>
                <w:sz w:val="16"/>
                <w:szCs w:val="16"/>
              </w:rPr>
              <w:t> </w:t>
            </w:r>
          </w:p>
        </w:tc>
        <w:tc>
          <w:tcPr>
            <w:tcW w:w="104" w:type="dxa"/>
            <w:tcBorders>
              <w:top w:val="nil"/>
              <w:left w:val="nil"/>
              <w:bottom w:val="nil"/>
              <w:right w:val="nil"/>
            </w:tcBorders>
            <w:shd w:val="clear" w:color="00467E" w:fill="00467E"/>
            <w:vAlign w:val="bottom"/>
          </w:tcPr>
          <w:p w:rsidR="00D92D97" w:rsidRDefault="00D92D97" w:rsidP="0073298C">
            <w:pPr>
              <w:spacing w:before="22" w:after="22"/>
              <w:ind w:left="22" w:right="22"/>
              <w:rPr>
                <w:color w:val="000000"/>
              </w:rPr>
            </w:pPr>
            <w:r>
              <w:rPr>
                <w:color w:val="000000"/>
              </w:rPr>
              <w:t> </w:t>
            </w:r>
          </w:p>
        </w:tc>
        <w:tc>
          <w:tcPr>
            <w:tcW w:w="1241" w:type="dxa"/>
            <w:tcBorders>
              <w:top w:val="nil"/>
              <w:left w:val="nil"/>
              <w:bottom w:val="nil"/>
              <w:right w:val="nil"/>
            </w:tcBorders>
            <w:vAlign w:val="center"/>
          </w:tcPr>
          <w:p w:rsidR="00D92D97" w:rsidRDefault="00D92D97" w:rsidP="0073298C">
            <w:pPr>
              <w:spacing w:before="22" w:after="22"/>
              <w:ind w:left="22" w:right="22"/>
              <w:jc w:val="center"/>
              <w:rPr>
                <w:rFonts w:ascii="Arial" w:hAnsi="Arial" w:cs="Arial"/>
                <w:color w:val="000000"/>
                <w:sz w:val="16"/>
                <w:szCs w:val="16"/>
              </w:rPr>
            </w:pPr>
            <w:r>
              <w:rPr>
                <w:rFonts w:ascii="Arial" w:hAnsi="Arial" w:cs="Arial"/>
                <w:color w:val="000000"/>
                <w:sz w:val="16"/>
                <w:szCs w:val="16"/>
              </w:rPr>
              <w:t>1</w:t>
            </w:r>
          </w:p>
        </w:tc>
        <w:tc>
          <w:tcPr>
            <w:tcW w:w="104" w:type="dxa"/>
            <w:tcBorders>
              <w:top w:val="nil"/>
              <w:left w:val="nil"/>
              <w:bottom w:val="nil"/>
              <w:right w:val="nil"/>
            </w:tcBorders>
            <w:vAlign w:val="bottom"/>
          </w:tcPr>
          <w:p w:rsidR="00D92D97" w:rsidRDefault="00D92D97" w:rsidP="0073298C">
            <w:pPr>
              <w:spacing w:before="22" w:after="22"/>
              <w:ind w:left="22" w:right="22"/>
              <w:rPr>
                <w:color w:val="000000"/>
              </w:rPr>
            </w:pPr>
            <w:r>
              <w:rPr>
                <w:color w:val="000000"/>
              </w:rPr>
              <w:t> </w:t>
            </w:r>
          </w:p>
        </w:tc>
        <w:tc>
          <w:tcPr>
            <w:tcW w:w="1236" w:type="dxa"/>
            <w:tcBorders>
              <w:top w:val="nil"/>
              <w:left w:val="nil"/>
              <w:bottom w:val="nil"/>
              <w:right w:val="nil"/>
            </w:tcBorders>
            <w:vAlign w:val="center"/>
          </w:tcPr>
          <w:p w:rsidR="00D92D97" w:rsidRDefault="00D92D97" w:rsidP="0073298C">
            <w:pPr>
              <w:spacing w:before="22" w:after="22"/>
              <w:ind w:left="22" w:right="22"/>
              <w:jc w:val="center"/>
              <w:rPr>
                <w:rFonts w:ascii="Arial" w:hAnsi="Arial" w:cs="Arial"/>
                <w:color w:val="000000"/>
                <w:sz w:val="16"/>
                <w:szCs w:val="16"/>
              </w:rPr>
            </w:pPr>
            <w:r>
              <w:rPr>
                <w:rFonts w:ascii="Arial" w:hAnsi="Arial" w:cs="Arial"/>
                <w:color w:val="000000"/>
                <w:sz w:val="16"/>
                <w:szCs w:val="16"/>
              </w:rPr>
              <w:t>1</w:t>
            </w:r>
          </w:p>
        </w:tc>
        <w:tc>
          <w:tcPr>
            <w:tcW w:w="104" w:type="dxa"/>
            <w:tcBorders>
              <w:top w:val="nil"/>
              <w:left w:val="nil"/>
              <w:bottom w:val="nil"/>
              <w:right w:val="nil"/>
            </w:tcBorders>
            <w:vAlign w:val="bottom"/>
          </w:tcPr>
          <w:p w:rsidR="00D92D97" w:rsidRDefault="00D92D97" w:rsidP="0073298C">
            <w:pPr>
              <w:spacing w:before="22" w:after="22"/>
              <w:ind w:left="22" w:right="22"/>
              <w:rPr>
                <w:color w:val="000000"/>
              </w:rPr>
            </w:pPr>
            <w:r>
              <w:rPr>
                <w:color w:val="000000"/>
              </w:rPr>
              <w:t> </w:t>
            </w:r>
          </w:p>
        </w:tc>
        <w:tc>
          <w:tcPr>
            <w:tcW w:w="1240" w:type="dxa"/>
            <w:tcBorders>
              <w:top w:val="nil"/>
              <w:left w:val="nil"/>
              <w:bottom w:val="nil"/>
              <w:right w:val="nil"/>
            </w:tcBorders>
            <w:vAlign w:val="center"/>
          </w:tcPr>
          <w:p w:rsidR="00D92D97" w:rsidRDefault="00D92D97" w:rsidP="0073298C">
            <w:pPr>
              <w:spacing w:before="22" w:after="22"/>
              <w:ind w:left="22" w:right="22"/>
              <w:rPr>
                <w:color w:val="000000"/>
              </w:rPr>
            </w:pPr>
          </w:p>
          <w:p w:rsidR="00D92D97" w:rsidRDefault="00D92D97" w:rsidP="0073298C">
            <w:pPr>
              <w:rPr>
                <w:sz w:val="16"/>
                <w:szCs w:val="16"/>
              </w:rPr>
            </w:pPr>
            <w:r>
              <w:rPr>
                <w:sz w:val="16"/>
                <w:szCs w:val="16"/>
              </w:rPr>
              <w:t> </w:t>
            </w:r>
          </w:p>
        </w:tc>
        <w:tc>
          <w:tcPr>
            <w:tcW w:w="104" w:type="dxa"/>
            <w:tcBorders>
              <w:top w:val="nil"/>
              <w:left w:val="nil"/>
              <w:bottom w:val="nil"/>
              <w:right w:val="nil"/>
            </w:tcBorders>
            <w:vAlign w:val="bottom"/>
          </w:tcPr>
          <w:p w:rsidR="00D92D97" w:rsidRDefault="00D92D97" w:rsidP="0073298C">
            <w:pPr>
              <w:spacing w:before="22" w:after="22"/>
              <w:ind w:left="22" w:right="22"/>
              <w:rPr>
                <w:color w:val="000000"/>
              </w:rPr>
            </w:pPr>
            <w:r>
              <w:rPr>
                <w:color w:val="000000"/>
              </w:rPr>
              <w:t> </w:t>
            </w:r>
          </w:p>
        </w:tc>
        <w:tc>
          <w:tcPr>
            <w:tcW w:w="1244" w:type="dxa"/>
            <w:tcBorders>
              <w:top w:val="nil"/>
              <w:left w:val="nil"/>
              <w:bottom w:val="nil"/>
              <w:right w:val="nil"/>
            </w:tcBorders>
            <w:vAlign w:val="center"/>
          </w:tcPr>
          <w:p w:rsidR="00D92D97" w:rsidRDefault="00D92D97" w:rsidP="0073298C">
            <w:pPr>
              <w:spacing w:before="22" w:after="22"/>
              <w:ind w:left="22" w:right="22"/>
              <w:rPr>
                <w:color w:val="000000"/>
              </w:rPr>
            </w:pPr>
          </w:p>
          <w:p w:rsidR="00D92D97" w:rsidRDefault="00D92D97" w:rsidP="0073298C">
            <w:pPr>
              <w:rPr>
                <w:sz w:val="16"/>
                <w:szCs w:val="16"/>
              </w:rPr>
            </w:pPr>
            <w:r>
              <w:rPr>
                <w:sz w:val="16"/>
                <w:szCs w:val="16"/>
              </w:rPr>
              <w:t> </w:t>
            </w:r>
          </w:p>
        </w:tc>
        <w:tc>
          <w:tcPr>
            <w:tcW w:w="104" w:type="dxa"/>
            <w:tcBorders>
              <w:top w:val="nil"/>
              <w:left w:val="nil"/>
              <w:bottom w:val="nil"/>
              <w:right w:val="nil"/>
            </w:tcBorders>
            <w:shd w:val="clear" w:color="00467E" w:fill="00467E"/>
            <w:vAlign w:val="bottom"/>
          </w:tcPr>
          <w:p w:rsidR="00D92D97" w:rsidRDefault="00D92D97" w:rsidP="0073298C">
            <w:pPr>
              <w:spacing w:before="22" w:after="22"/>
              <w:ind w:left="22" w:right="22"/>
              <w:rPr>
                <w:color w:val="000000"/>
              </w:rPr>
            </w:pPr>
            <w:r>
              <w:rPr>
                <w:color w:val="000000"/>
              </w:rPr>
              <w:t> </w:t>
            </w:r>
          </w:p>
        </w:tc>
        <w:tc>
          <w:tcPr>
            <w:tcW w:w="1244" w:type="dxa"/>
            <w:tcBorders>
              <w:top w:val="nil"/>
              <w:left w:val="nil"/>
              <w:bottom w:val="nil"/>
              <w:right w:val="single" w:sz="6" w:space="0" w:color="00467E"/>
            </w:tcBorders>
            <w:vAlign w:val="center"/>
          </w:tcPr>
          <w:p w:rsidR="00D92D97" w:rsidRDefault="00D92D97" w:rsidP="0073298C">
            <w:pPr>
              <w:spacing w:before="22" w:after="22"/>
              <w:ind w:left="22" w:right="22"/>
              <w:jc w:val="center"/>
              <w:rPr>
                <w:rFonts w:ascii="Arial" w:hAnsi="Arial" w:cs="Arial"/>
                <w:color w:val="000000"/>
                <w:sz w:val="16"/>
                <w:szCs w:val="16"/>
              </w:rPr>
            </w:pPr>
            <w:r>
              <w:rPr>
                <w:rFonts w:ascii="Arial" w:hAnsi="Arial" w:cs="Arial"/>
                <w:color w:val="000000"/>
                <w:sz w:val="16"/>
                <w:szCs w:val="16"/>
              </w:rPr>
              <w:t>2</w:t>
            </w:r>
          </w:p>
        </w:tc>
      </w:tr>
      <w:tr w:rsidR="00D92D97" w:rsidTr="00D92D97">
        <w:tblPrEx>
          <w:tblCellMar>
            <w:top w:w="0" w:type="dxa"/>
            <w:left w:w="0" w:type="dxa"/>
            <w:bottom w:w="0" w:type="dxa"/>
            <w:right w:w="0" w:type="dxa"/>
          </w:tblCellMar>
        </w:tblPrEx>
        <w:trPr>
          <w:trHeight w:val="281"/>
        </w:trPr>
        <w:tc>
          <w:tcPr>
            <w:tcW w:w="1058" w:type="dxa"/>
            <w:tcBorders>
              <w:top w:val="nil"/>
              <w:left w:val="single" w:sz="6" w:space="0" w:color="00467E"/>
              <w:bottom w:val="nil"/>
              <w:right w:val="nil"/>
            </w:tcBorders>
            <w:shd w:val="clear" w:color="CFD4D8" w:fill="CFD4D8"/>
            <w:vAlign w:val="center"/>
          </w:tcPr>
          <w:p w:rsidR="00D92D97" w:rsidRDefault="00D92D97" w:rsidP="0073298C">
            <w:pPr>
              <w:spacing w:before="22" w:after="22"/>
              <w:ind w:left="22" w:right="22"/>
              <w:rPr>
                <w:rFonts w:ascii="Arial" w:hAnsi="Arial" w:cs="Arial"/>
                <w:b/>
                <w:bCs w:val="0"/>
                <w:i/>
                <w:iCs/>
                <w:color w:val="9D1B11"/>
                <w:sz w:val="16"/>
                <w:szCs w:val="16"/>
              </w:rPr>
            </w:pPr>
            <w:r>
              <w:rPr>
                <w:rFonts w:ascii="Arial" w:hAnsi="Arial" w:cs="Arial"/>
                <w:b/>
                <w:bCs w:val="0"/>
                <w:i/>
                <w:iCs/>
                <w:color w:val="9D1B11"/>
                <w:sz w:val="16"/>
                <w:szCs w:val="16"/>
              </w:rPr>
              <w:t>Oregon</w:t>
            </w:r>
          </w:p>
        </w:tc>
        <w:tc>
          <w:tcPr>
            <w:tcW w:w="104" w:type="dxa"/>
            <w:tcBorders>
              <w:top w:val="nil"/>
              <w:left w:val="nil"/>
              <w:bottom w:val="nil"/>
              <w:right w:val="nil"/>
            </w:tcBorders>
            <w:shd w:val="clear" w:color="00467E" w:fill="00467E"/>
            <w:vAlign w:val="bottom"/>
          </w:tcPr>
          <w:p w:rsidR="00D92D97" w:rsidRDefault="00D92D97" w:rsidP="0073298C">
            <w:pPr>
              <w:spacing w:before="22" w:after="22"/>
              <w:ind w:left="22" w:right="22"/>
              <w:rPr>
                <w:color w:val="000000"/>
              </w:rPr>
            </w:pPr>
            <w:r>
              <w:rPr>
                <w:color w:val="000000"/>
              </w:rPr>
              <w:t> </w:t>
            </w:r>
          </w:p>
        </w:tc>
        <w:tc>
          <w:tcPr>
            <w:tcW w:w="834" w:type="dxa"/>
            <w:tcBorders>
              <w:top w:val="nil"/>
              <w:left w:val="nil"/>
              <w:bottom w:val="nil"/>
              <w:right w:val="nil"/>
            </w:tcBorders>
            <w:shd w:val="clear" w:color="CFD4D8" w:fill="CFD4D8"/>
            <w:vAlign w:val="center"/>
          </w:tcPr>
          <w:p w:rsidR="00D92D97" w:rsidRDefault="00D92D97" w:rsidP="0073298C">
            <w:pPr>
              <w:spacing w:before="22" w:after="22"/>
              <w:ind w:left="22" w:right="22"/>
              <w:jc w:val="center"/>
              <w:rPr>
                <w:rFonts w:ascii="Arial" w:hAnsi="Arial" w:cs="Arial"/>
                <w:color w:val="000000"/>
                <w:sz w:val="16"/>
                <w:szCs w:val="16"/>
              </w:rPr>
            </w:pPr>
            <w:r>
              <w:rPr>
                <w:rFonts w:ascii="Arial" w:hAnsi="Arial" w:cs="Arial"/>
                <w:color w:val="000000"/>
                <w:sz w:val="16"/>
                <w:szCs w:val="16"/>
              </w:rPr>
              <w:t>2</w:t>
            </w:r>
          </w:p>
        </w:tc>
        <w:tc>
          <w:tcPr>
            <w:tcW w:w="336" w:type="dxa"/>
            <w:tcBorders>
              <w:top w:val="nil"/>
              <w:left w:val="nil"/>
              <w:bottom w:val="nil"/>
              <w:right w:val="nil"/>
            </w:tcBorders>
            <w:shd w:val="clear" w:color="CFD4D8" w:fill="CFD4D8"/>
            <w:vAlign w:val="bottom"/>
          </w:tcPr>
          <w:p w:rsidR="00D92D97" w:rsidRDefault="00D92D97" w:rsidP="0073298C">
            <w:pPr>
              <w:spacing w:before="22" w:after="22"/>
              <w:ind w:left="22" w:right="22"/>
              <w:rPr>
                <w:color w:val="000000"/>
              </w:rPr>
            </w:pPr>
            <w:r>
              <w:rPr>
                <w:color w:val="000000"/>
              </w:rPr>
              <w:t> </w:t>
            </w:r>
          </w:p>
        </w:tc>
        <w:tc>
          <w:tcPr>
            <w:tcW w:w="837" w:type="dxa"/>
            <w:tcBorders>
              <w:top w:val="nil"/>
              <w:left w:val="nil"/>
              <w:bottom w:val="nil"/>
              <w:right w:val="nil"/>
            </w:tcBorders>
            <w:shd w:val="clear" w:color="CFD4D8" w:fill="CFD4D8"/>
            <w:vAlign w:val="center"/>
          </w:tcPr>
          <w:p w:rsidR="00D92D97" w:rsidRDefault="00D92D97" w:rsidP="0073298C">
            <w:pPr>
              <w:spacing w:before="22" w:after="22"/>
              <w:ind w:left="22" w:right="22"/>
              <w:rPr>
                <w:color w:val="000000"/>
              </w:rPr>
            </w:pPr>
          </w:p>
          <w:p w:rsidR="00D92D97" w:rsidRDefault="00D92D97" w:rsidP="0073298C">
            <w:pPr>
              <w:rPr>
                <w:sz w:val="16"/>
                <w:szCs w:val="16"/>
              </w:rPr>
            </w:pPr>
            <w:r>
              <w:rPr>
                <w:sz w:val="16"/>
                <w:szCs w:val="16"/>
              </w:rPr>
              <w:t> </w:t>
            </w:r>
          </w:p>
        </w:tc>
        <w:tc>
          <w:tcPr>
            <w:tcW w:w="104" w:type="dxa"/>
            <w:tcBorders>
              <w:top w:val="nil"/>
              <w:left w:val="nil"/>
              <w:bottom w:val="nil"/>
              <w:right w:val="nil"/>
            </w:tcBorders>
            <w:shd w:val="clear" w:color="00467E" w:fill="00467E"/>
            <w:vAlign w:val="bottom"/>
          </w:tcPr>
          <w:p w:rsidR="00D92D97" w:rsidRDefault="00D92D97" w:rsidP="0073298C">
            <w:pPr>
              <w:spacing w:before="22" w:after="22"/>
              <w:ind w:left="22" w:right="22"/>
              <w:rPr>
                <w:color w:val="000000"/>
              </w:rPr>
            </w:pPr>
            <w:r>
              <w:rPr>
                <w:color w:val="000000"/>
              </w:rPr>
              <w:t> </w:t>
            </w:r>
          </w:p>
        </w:tc>
        <w:tc>
          <w:tcPr>
            <w:tcW w:w="1241" w:type="dxa"/>
            <w:tcBorders>
              <w:top w:val="nil"/>
              <w:left w:val="nil"/>
              <w:bottom w:val="nil"/>
              <w:right w:val="nil"/>
            </w:tcBorders>
            <w:shd w:val="clear" w:color="CFD4D8" w:fill="CFD4D8"/>
            <w:vAlign w:val="center"/>
          </w:tcPr>
          <w:p w:rsidR="00D92D97" w:rsidRDefault="00D92D97" w:rsidP="0073298C">
            <w:pPr>
              <w:spacing w:before="22" w:after="22"/>
              <w:ind w:left="22" w:right="22"/>
              <w:jc w:val="center"/>
              <w:rPr>
                <w:rFonts w:ascii="Arial" w:hAnsi="Arial" w:cs="Arial"/>
                <w:color w:val="000000"/>
                <w:sz w:val="16"/>
                <w:szCs w:val="16"/>
              </w:rPr>
            </w:pPr>
            <w:r>
              <w:rPr>
                <w:rFonts w:ascii="Arial" w:hAnsi="Arial" w:cs="Arial"/>
                <w:color w:val="000000"/>
                <w:sz w:val="16"/>
                <w:szCs w:val="16"/>
              </w:rPr>
              <w:t>1</w:t>
            </w:r>
          </w:p>
        </w:tc>
        <w:tc>
          <w:tcPr>
            <w:tcW w:w="104" w:type="dxa"/>
            <w:tcBorders>
              <w:top w:val="nil"/>
              <w:left w:val="nil"/>
              <w:bottom w:val="nil"/>
              <w:right w:val="nil"/>
            </w:tcBorders>
            <w:shd w:val="clear" w:color="CFD4D8" w:fill="CFD4D8"/>
            <w:vAlign w:val="bottom"/>
          </w:tcPr>
          <w:p w:rsidR="00D92D97" w:rsidRDefault="00D92D97" w:rsidP="0073298C">
            <w:pPr>
              <w:spacing w:before="22" w:after="22"/>
              <w:ind w:left="22" w:right="22"/>
              <w:rPr>
                <w:color w:val="000000"/>
              </w:rPr>
            </w:pPr>
            <w:r>
              <w:rPr>
                <w:color w:val="000000"/>
              </w:rPr>
              <w:t> </w:t>
            </w:r>
          </w:p>
        </w:tc>
        <w:tc>
          <w:tcPr>
            <w:tcW w:w="1236" w:type="dxa"/>
            <w:tcBorders>
              <w:top w:val="nil"/>
              <w:left w:val="nil"/>
              <w:bottom w:val="nil"/>
              <w:right w:val="nil"/>
            </w:tcBorders>
            <w:shd w:val="clear" w:color="CFD4D8" w:fill="CFD4D8"/>
            <w:vAlign w:val="center"/>
          </w:tcPr>
          <w:p w:rsidR="00D92D97" w:rsidRDefault="00D92D97" w:rsidP="0073298C">
            <w:pPr>
              <w:spacing w:before="22" w:after="22"/>
              <w:ind w:left="22" w:right="22"/>
              <w:jc w:val="center"/>
              <w:rPr>
                <w:rFonts w:ascii="Arial" w:hAnsi="Arial" w:cs="Arial"/>
                <w:color w:val="000000"/>
                <w:sz w:val="16"/>
                <w:szCs w:val="16"/>
              </w:rPr>
            </w:pPr>
            <w:r>
              <w:rPr>
                <w:rFonts w:ascii="Arial" w:hAnsi="Arial" w:cs="Arial"/>
                <w:color w:val="000000"/>
                <w:sz w:val="16"/>
                <w:szCs w:val="16"/>
              </w:rPr>
              <w:t>1</w:t>
            </w:r>
          </w:p>
        </w:tc>
        <w:tc>
          <w:tcPr>
            <w:tcW w:w="104" w:type="dxa"/>
            <w:tcBorders>
              <w:top w:val="nil"/>
              <w:left w:val="nil"/>
              <w:bottom w:val="nil"/>
              <w:right w:val="nil"/>
            </w:tcBorders>
            <w:shd w:val="clear" w:color="CFD4D8" w:fill="CFD4D8"/>
            <w:vAlign w:val="bottom"/>
          </w:tcPr>
          <w:p w:rsidR="00D92D97" w:rsidRDefault="00D92D97" w:rsidP="0073298C">
            <w:pPr>
              <w:spacing w:before="22" w:after="22"/>
              <w:ind w:left="22" w:right="22"/>
              <w:rPr>
                <w:color w:val="000000"/>
              </w:rPr>
            </w:pPr>
            <w:r>
              <w:rPr>
                <w:color w:val="000000"/>
              </w:rPr>
              <w:t> </w:t>
            </w:r>
          </w:p>
        </w:tc>
        <w:tc>
          <w:tcPr>
            <w:tcW w:w="1240" w:type="dxa"/>
            <w:tcBorders>
              <w:top w:val="nil"/>
              <w:left w:val="nil"/>
              <w:bottom w:val="nil"/>
              <w:right w:val="nil"/>
            </w:tcBorders>
            <w:shd w:val="clear" w:color="CFD4D8" w:fill="CFD4D8"/>
            <w:vAlign w:val="center"/>
          </w:tcPr>
          <w:p w:rsidR="00D92D97" w:rsidRDefault="00D92D97" w:rsidP="0073298C">
            <w:pPr>
              <w:spacing w:before="22" w:after="22"/>
              <w:ind w:left="22" w:right="22"/>
              <w:rPr>
                <w:color w:val="000000"/>
              </w:rPr>
            </w:pPr>
          </w:p>
          <w:p w:rsidR="00D92D97" w:rsidRDefault="00D92D97" w:rsidP="0073298C">
            <w:pPr>
              <w:rPr>
                <w:sz w:val="16"/>
                <w:szCs w:val="16"/>
              </w:rPr>
            </w:pPr>
            <w:r>
              <w:rPr>
                <w:sz w:val="16"/>
                <w:szCs w:val="16"/>
              </w:rPr>
              <w:t> </w:t>
            </w:r>
          </w:p>
        </w:tc>
        <w:tc>
          <w:tcPr>
            <w:tcW w:w="104" w:type="dxa"/>
            <w:tcBorders>
              <w:top w:val="nil"/>
              <w:left w:val="nil"/>
              <w:bottom w:val="nil"/>
              <w:right w:val="nil"/>
            </w:tcBorders>
            <w:shd w:val="clear" w:color="CFD4D8" w:fill="CFD4D8"/>
            <w:vAlign w:val="bottom"/>
          </w:tcPr>
          <w:p w:rsidR="00D92D97" w:rsidRDefault="00D92D97" w:rsidP="0073298C">
            <w:pPr>
              <w:spacing w:before="22" w:after="22"/>
              <w:ind w:left="22" w:right="22"/>
              <w:rPr>
                <w:color w:val="000000"/>
              </w:rPr>
            </w:pPr>
            <w:r>
              <w:rPr>
                <w:color w:val="000000"/>
              </w:rPr>
              <w:t> </w:t>
            </w:r>
          </w:p>
        </w:tc>
        <w:tc>
          <w:tcPr>
            <w:tcW w:w="1244" w:type="dxa"/>
            <w:tcBorders>
              <w:top w:val="nil"/>
              <w:left w:val="nil"/>
              <w:bottom w:val="nil"/>
              <w:right w:val="nil"/>
            </w:tcBorders>
            <w:shd w:val="clear" w:color="CFD4D8" w:fill="CFD4D8"/>
            <w:vAlign w:val="center"/>
          </w:tcPr>
          <w:p w:rsidR="00D92D97" w:rsidRDefault="00D92D97" w:rsidP="0073298C">
            <w:pPr>
              <w:spacing w:before="22" w:after="22"/>
              <w:ind w:left="22" w:right="22"/>
              <w:rPr>
                <w:color w:val="000000"/>
              </w:rPr>
            </w:pPr>
          </w:p>
          <w:p w:rsidR="00D92D97" w:rsidRDefault="00D92D97" w:rsidP="0073298C">
            <w:pPr>
              <w:rPr>
                <w:sz w:val="16"/>
                <w:szCs w:val="16"/>
              </w:rPr>
            </w:pPr>
            <w:r>
              <w:rPr>
                <w:sz w:val="16"/>
                <w:szCs w:val="16"/>
              </w:rPr>
              <w:t> </w:t>
            </w:r>
          </w:p>
        </w:tc>
        <w:tc>
          <w:tcPr>
            <w:tcW w:w="104" w:type="dxa"/>
            <w:tcBorders>
              <w:top w:val="nil"/>
              <w:left w:val="nil"/>
              <w:bottom w:val="nil"/>
              <w:right w:val="nil"/>
            </w:tcBorders>
            <w:shd w:val="clear" w:color="00467E" w:fill="00467E"/>
            <w:vAlign w:val="bottom"/>
          </w:tcPr>
          <w:p w:rsidR="00D92D97" w:rsidRDefault="00D92D97" w:rsidP="0073298C">
            <w:pPr>
              <w:spacing w:before="22" w:after="22"/>
              <w:ind w:left="22" w:right="22"/>
              <w:rPr>
                <w:color w:val="000000"/>
              </w:rPr>
            </w:pPr>
            <w:r>
              <w:rPr>
                <w:color w:val="000000"/>
              </w:rPr>
              <w:t> </w:t>
            </w:r>
          </w:p>
        </w:tc>
        <w:tc>
          <w:tcPr>
            <w:tcW w:w="1244" w:type="dxa"/>
            <w:tcBorders>
              <w:top w:val="nil"/>
              <w:left w:val="nil"/>
              <w:bottom w:val="nil"/>
              <w:right w:val="single" w:sz="6" w:space="0" w:color="00467E"/>
            </w:tcBorders>
            <w:shd w:val="clear" w:color="CFD4D8" w:fill="CFD4D8"/>
            <w:vAlign w:val="center"/>
          </w:tcPr>
          <w:p w:rsidR="00D92D97" w:rsidRDefault="00D92D97" w:rsidP="0073298C">
            <w:pPr>
              <w:spacing w:before="22" w:after="22"/>
              <w:ind w:left="22" w:right="22"/>
              <w:jc w:val="center"/>
              <w:rPr>
                <w:rFonts w:ascii="Arial" w:hAnsi="Arial" w:cs="Arial"/>
                <w:color w:val="000000"/>
                <w:sz w:val="16"/>
                <w:szCs w:val="16"/>
              </w:rPr>
            </w:pPr>
            <w:r>
              <w:rPr>
                <w:rFonts w:ascii="Arial" w:hAnsi="Arial" w:cs="Arial"/>
                <w:color w:val="000000"/>
                <w:sz w:val="16"/>
                <w:szCs w:val="16"/>
              </w:rPr>
              <w:t>2</w:t>
            </w:r>
          </w:p>
        </w:tc>
      </w:tr>
      <w:tr w:rsidR="00D92D97" w:rsidTr="00D92D97">
        <w:tblPrEx>
          <w:tblCellMar>
            <w:top w:w="0" w:type="dxa"/>
            <w:left w:w="0" w:type="dxa"/>
            <w:bottom w:w="0" w:type="dxa"/>
            <w:right w:w="0" w:type="dxa"/>
          </w:tblCellMar>
        </w:tblPrEx>
        <w:trPr>
          <w:trHeight w:val="281"/>
        </w:trPr>
        <w:tc>
          <w:tcPr>
            <w:tcW w:w="1058" w:type="dxa"/>
            <w:tcBorders>
              <w:top w:val="nil"/>
              <w:left w:val="single" w:sz="6" w:space="0" w:color="00467E"/>
              <w:bottom w:val="nil"/>
              <w:right w:val="nil"/>
            </w:tcBorders>
            <w:vAlign w:val="center"/>
          </w:tcPr>
          <w:p w:rsidR="00D92D97" w:rsidRDefault="00D92D97" w:rsidP="0073298C">
            <w:pPr>
              <w:spacing w:before="22" w:after="22"/>
              <w:ind w:left="22" w:right="22"/>
              <w:rPr>
                <w:rFonts w:ascii="Arial" w:hAnsi="Arial" w:cs="Arial"/>
                <w:b/>
                <w:bCs w:val="0"/>
                <w:i/>
                <w:iCs/>
                <w:color w:val="9D1B11"/>
                <w:sz w:val="16"/>
                <w:szCs w:val="16"/>
              </w:rPr>
            </w:pPr>
            <w:r>
              <w:rPr>
                <w:rFonts w:ascii="Arial" w:hAnsi="Arial" w:cs="Arial"/>
                <w:b/>
                <w:bCs w:val="0"/>
                <w:i/>
                <w:iCs/>
                <w:color w:val="9D1B11"/>
                <w:sz w:val="16"/>
                <w:szCs w:val="16"/>
              </w:rPr>
              <w:t>Pennsylvania</w:t>
            </w:r>
          </w:p>
        </w:tc>
        <w:tc>
          <w:tcPr>
            <w:tcW w:w="104" w:type="dxa"/>
            <w:tcBorders>
              <w:top w:val="nil"/>
              <w:left w:val="nil"/>
              <w:bottom w:val="nil"/>
              <w:right w:val="nil"/>
            </w:tcBorders>
            <w:shd w:val="clear" w:color="00467E" w:fill="00467E"/>
            <w:vAlign w:val="bottom"/>
          </w:tcPr>
          <w:p w:rsidR="00D92D97" w:rsidRDefault="00D92D97" w:rsidP="0073298C">
            <w:pPr>
              <w:spacing w:before="22" w:after="22"/>
              <w:ind w:left="22" w:right="22"/>
              <w:rPr>
                <w:color w:val="000000"/>
              </w:rPr>
            </w:pPr>
            <w:r>
              <w:rPr>
                <w:color w:val="000000"/>
              </w:rPr>
              <w:t> </w:t>
            </w:r>
          </w:p>
        </w:tc>
        <w:tc>
          <w:tcPr>
            <w:tcW w:w="834" w:type="dxa"/>
            <w:tcBorders>
              <w:top w:val="nil"/>
              <w:left w:val="nil"/>
              <w:bottom w:val="nil"/>
              <w:right w:val="nil"/>
            </w:tcBorders>
            <w:vAlign w:val="center"/>
          </w:tcPr>
          <w:p w:rsidR="00D92D97" w:rsidRDefault="00D92D97" w:rsidP="0073298C">
            <w:pPr>
              <w:spacing w:before="22" w:after="22"/>
              <w:ind w:left="22" w:right="22"/>
              <w:jc w:val="center"/>
              <w:rPr>
                <w:rFonts w:ascii="Arial" w:hAnsi="Arial" w:cs="Arial"/>
                <w:color w:val="000000"/>
                <w:sz w:val="16"/>
                <w:szCs w:val="16"/>
              </w:rPr>
            </w:pPr>
            <w:r>
              <w:rPr>
                <w:rFonts w:ascii="Arial" w:hAnsi="Arial" w:cs="Arial"/>
                <w:color w:val="000000"/>
                <w:sz w:val="16"/>
                <w:szCs w:val="16"/>
              </w:rPr>
              <w:t>2</w:t>
            </w:r>
          </w:p>
        </w:tc>
        <w:tc>
          <w:tcPr>
            <w:tcW w:w="336" w:type="dxa"/>
            <w:tcBorders>
              <w:top w:val="nil"/>
              <w:left w:val="nil"/>
              <w:bottom w:val="nil"/>
              <w:right w:val="nil"/>
            </w:tcBorders>
            <w:vAlign w:val="bottom"/>
          </w:tcPr>
          <w:p w:rsidR="00D92D97" w:rsidRDefault="00D92D97" w:rsidP="0073298C">
            <w:pPr>
              <w:spacing w:before="22" w:after="22"/>
              <w:ind w:left="22" w:right="22"/>
              <w:rPr>
                <w:color w:val="000000"/>
              </w:rPr>
            </w:pPr>
            <w:r>
              <w:rPr>
                <w:color w:val="000000"/>
              </w:rPr>
              <w:t> </w:t>
            </w:r>
          </w:p>
        </w:tc>
        <w:tc>
          <w:tcPr>
            <w:tcW w:w="837" w:type="dxa"/>
            <w:tcBorders>
              <w:top w:val="nil"/>
              <w:left w:val="nil"/>
              <w:bottom w:val="nil"/>
              <w:right w:val="nil"/>
            </w:tcBorders>
            <w:vAlign w:val="center"/>
          </w:tcPr>
          <w:p w:rsidR="00D92D97" w:rsidRDefault="00D92D97" w:rsidP="0073298C">
            <w:pPr>
              <w:spacing w:before="22" w:after="22"/>
              <w:ind w:left="22" w:right="22"/>
              <w:jc w:val="center"/>
              <w:rPr>
                <w:rFonts w:ascii="Arial" w:hAnsi="Arial" w:cs="Arial"/>
                <w:color w:val="000000"/>
                <w:sz w:val="16"/>
                <w:szCs w:val="16"/>
              </w:rPr>
            </w:pPr>
            <w:r>
              <w:rPr>
                <w:rFonts w:ascii="Arial" w:hAnsi="Arial" w:cs="Arial"/>
                <w:color w:val="000000"/>
                <w:sz w:val="16"/>
                <w:szCs w:val="16"/>
              </w:rPr>
              <w:t>2</w:t>
            </w:r>
          </w:p>
        </w:tc>
        <w:tc>
          <w:tcPr>
            <w:tcW w:w="104" w:type="dxa"/>
            <w:tcBorders>
              <w:top w:val="nil"/>
              <w:left w:val="nil"/>
              <w:bottom w:val="nil"/>
              <w:right w:val="nil"/>
            </w:tcBorders>
            <w:shd w:val="clear" w:color="00467E" w:fill="00467E"/>
            <w:vAlign w:val="bottom"/>
          </w:tcPr>
          <w:p w:rsidR="00D92D97" w:rsidRDefault="00D92D97" w:rsidP="0073298C">
            <w:pPr>
              <w:spacing w:before="22" w:after="22"/>
              <w:ind w:left="22" w:right="22"/>
              <w:rPr>
                <w:color w:val="000000"/>
              </w:rPr>
            </w:pPr>
            <w:r>
              <w:rPr>
                <w:color w:val="000000"/>
              </w:rPr>
              <w:t> </w:t>
            </w:r>
          </w:p>
        </w:tc>
        <w:tc>
          <w:tcPr>
            <w:tcW w:w="1241" w:type="dxa"/>
            <w:tcBorders>
              <w:top w:val="nil"/>
              <w:left w:val="nil"/>
              <w:bottom w:val="nil"/>
              <w:right w:val="nil"/>
            </w:tcBorders>
            <w:vAlign w:val="center"/>
          </w:tcPr>
          <w:p w:rsidR="00D92D97" w:rsidRDefault="00D92D97" w:rsidP="0073298C">
            <w:pPr>
              <w:spacing w:before="22" w:after="22"/>
              <w:ind w:left="22" w:right="22"/>
              <w:jc w:val="center"/>
              <w:rPr>
                <w:rFonts w:ascii="Arial" w:hAnsi="Arial" w:cs="Arial"/>
                <w:color w:val="000000"/>
                <w:sz w:val="16"/>
                <w:szCs w:val="16"/>
              </w:rPr>
            </w:pPr>
            <w:r>
              <w:rPr>
                <w:rFonts w:ascii="Arial" w:hAnsi="Arial" w:cs="Arial"/>
                <w:color w:val="000000"/>
                <w:sz w:val="16"/>
                <w:szCs w:val="16"/>
              </w:rPr>
              <w:t>1</w:t>
            </w:r>
          </w:p>
        </w:tc>
        <w:tc>
          <w:tcPr>
            <w:tcW w:w="104" w:type="dxa"/>
            <w:tcBorders>
              <w:top w:val="nil"/>
              <w:left w:val="nil"/>
              <w:bottom w:val="nil"/>
              <w:right w:val="nil"/>
            </w:tcBorders>
            <w:vAlign w:val="bottom"/>
          </w:tcPr>
          <w:p w:rsidR="00D92D97" w:rsidRDefault="00D92D97" w:rsidP="0073298C">
            <w:pPr>
              <w:spacing w:before="22" w:after="22"/>
              <w:ind w:left="22" w:right="22"/>
              <w:rPr>
                <w:color w:val="000000"/>
              </w:rPr>
            </w:pPr>
            <w:r>
              <w:rPr>
                <w:color w:val="000000"/>
              </w:rPr>
              <w:t> </w:t>
            </w:r>
          </w:p>
        </w:tc>
        <w:tc>
          <w:tcPr>
            <w:tcW w:w="1236" w:type="dxa"/>
            <w:tcBorders>
              <w:top w:val="nil"/>
              <w:left w:val="nil"/>
              <w:bottom w:val="nil"/>
              <w:right w:val="nil"/>
            </w:tcBorders>
            <w:vAlign w:val="center"/>
          </w:tcPr>
          <w:p w:rsidR="00D92D97" w:rsidRDefault="00D92D97" w:rsidP="0073298C">
            <w:pPr>
              <w:spacing w:before="22" w:after="22"/>
              <w:ind w:left="22" w:right="22"/>
              <w:jc w:val="center"/>
              <w:rPr>
                <w:rFonts w:ascii="Arial" w:hAnsi="Arial" w:cs="Arial"/>
                <w:color w:val="000000"/>
                <w:sz w:val="16"/>
                <w:szCs w:val="16"/>
              </w:rPr>
            </w:pPr>
            <w:r>
              <w:rPr>
                <w:rFonts w:ascii="Arial" w:hAnsi="Arial" w:cs="Arial"/>
                <w:color w:val="000000"/>
                <w:sz w:val="16"/>
                <w:szCs w:val="16"/>
              </w:rPr>
              <w:t>2</w:t>
            </w:r>
          </w:p>
        </w:tc>
        <w:tc>
          <w:tcPr>
            <w:tcW w:w="104" w:type="dxa"/>
            <w:tcBorders>
              <w:top w:val="nil"/>
              <w:left w:val="nil"/>
              <w:bottom w:val="nil"/>
              <w:right w:val="nil"/>
            </w:tcBorders>
            <w:vAlign w:val="bottom"/>
          </w:tcPr>
          <w:p w:rsidR="00D92D97" w:rsidRDefault="00D92D97" w:rsidP="0073298C">
            <w:pPr>
              <w:spacing w:before="22" w:after="22"/>
              <w:ind w:left="22" w:right="22"/>
              <w:rPr>
                <w:color w:val="000000"/>
              </w:rPr>
            </w:pPr>
            <w:r>
              <w:rPr>
                <w:color w:val="000000"/>
              </w:rPr>
              <w:t> </w:t>
            </w:r>
          </w:p>
        </w:tc>
        <w:tc>
          <w:tcPr>
            <w:tcW w:w="1240" w:type="dxa"/>
            <w:tcBorders>
              <w:top w:val="nil"/>
              <w:left w:val="nil"/>
              <w:bottom w:val="nil"/>
              <w:right w:val="nil"/>
            </w:tcBorders>
            <w:vAlign w:val="center"/>
          </w:tcPr>
          <w:p w:rsidR="00D92D97" w:rsidRDefault="00D92D97" w:rsidP="0073298C">
            <w:pPr>
              <w:spacing w:before="22" w:after="22"/>
              <w:ind w:left="22" w:right="22"/>
              <w:jc w:val="center"/>
              <w:rPr>
                <w:rFonts w:ascii="Arial" w:hAnsi="Arial" w:cs="Arial"/>
                <w:color w:val="000000"/>
                <w:sz w:val="16"/>
                <w:szCs w:val="16"/>
              </w:rPr>
            </w:pPr>
            <w:r>
              <w:rPr>
                <w:rFonts w:ascii="Arial" w:hAnsi="Arial" w:cs="Arial"/>
                <w:color w:val="000000"/>
                <w:sz w:val="16"/>
                <w:szCs w:val="16"/>
              </w:rPr>
              <w:t>1</w:t>
            </w:r>
          </w:p>
        </w:tc>
        <w:tc>
          <w:tcPr>
            <w:tcW w:w="104" w:type="dxa"/>
            <w:tcBorders>
              <w:top w:val="nil"/>
              <w:left w:val="nil"/>
              <w:bottom w:val="nil"/>
              <w:right w:val="nil"/>
            </w:tcBorders>
            <w:vAlign w:val="bottom"/>
          </w:tcPr>
          <w:p w:rsidR="00D92D97" w:rsidRDefault="00D92D97" w:rsidP="0073298C">
            <w:pPr>
              <w:spacing w:before="22" w:after="22"/>
              <w:ind w:left="22" w:right="22"/>
              <w:rPr>
                <w:color w:val="000000"/>
              </w:rPr>
            </w:pPr>
            <w:r>
              <w:rPr>
                <w:color w:val="000000"/>
              </w:rPr>
              <w:t> </w:t>
            </w:r>
          </w:p>
        </w:tc>
        <w:tc>
          <w:tcPr>
            <w:tcW w:w="1244" w:type="dxa"/>
            <w:tcBorders>
              <w:top w:val="nil"/>
              <w:left w:val="nil"/>
              <w:bottom w:val="nil"/>
              <w:right w:val="nil"/>
            </w:tcBorders>
            <w:vAlign w:val="center"/>
          </w:tcPr>
          <w:p w:rsidR="00D92D97" w:rsidRDefault="00D92D97" w:rsidP="0073298C">
            <w:pPr>
              <w:spacing w:before="22" w:after="22"/>
              <w:ind w:left="22" w:right="22"/>
              <w:rPr>
                <w:color w:val="000000"/>
              </w:rPr>
            </w:pPr>
          </w:p>
          <w:p w:rsidR="00D92D97" w:rsidRDefault="00D92D97" w:rsidP="0073298C">
            <w:pPr>
              <w:rPr>
                <w:sz w:val="16"/>
                <w:szCs w:val="16"/>
              </w:rPr>
            </w:pPr>
            <w:r>
              <w:rPr>
                <w:sz w:val="16"/>
                <w:szCs w:val="16"/>
              </w:rPr>
              <w:t> </w:t>
            </w:r>
          </w:p>
        </w:tc>
        <w:tc>
          <w:tcPr>
            <w:tcW w:w="104" w:type="dxa"/>
            <w:tcBorders>
              <w:top w:val="nil"/>
              <w:left w:val="nil"/>
              <w:bottom w:val="nil"/>
              <w:right w:val="nil"/>
            </w:tcBorders>
            <w:shd w:val="clear" w:color="00467E" w:fill="00467E"/>
            <w:vAlign w:val="bottom"/>
          </w:tcPr>
          <w:p w:rsidR="00D92D97" w:rsidRDefault="00D92D97" w:rsidP="0073298C">
            <w:pPr>
              <w:spacing w:before="22" w:after="22"/>
              <w:ind w:left="22" w:right="22"/>
              <w:rPr>
                <w:color w:val="000000"/>
              </w:rPr>
            </w:pPr>
            <w:r>
              <w:rPr>
                <w:color w:val="000000"/>
              </w:rPr>
              <w:t> </w:t>
            </w:r>
          </w:p>
        </w:tc>
        <w:tc>
          <w:tcPr>
            <w:tcW w:w="1244" w:type="dxa"/>
            <w:tcBorders>
              <w:top w:val="nil"/>
              <w:left w:val="nil"/>
              <w:bottom w:val="nil"/>
              <w:right w:val="single" w:sz="6" w:space="0" w:color="00467E"/>
            </w:tcBorders>
            <w:vAlign w:val="center"/>
          </w:tcPr>
          <w:p w:rsidR="00D92D97" w:rsidRDefault="00D92D97" w:rsidP="0073298C">
            <w:pPr>
              <w:spacing w:before="22" w:after="22"/>
              <w:ind w:left="22" w:right="22"/>
              <w:jc w:val="center"/>
              <w:rPr>
                <w:rFonts w:ascii="Arial" w:hAnsi="Arial" w:cs="Arial"/>
                <w:color w:val="000000"/>
                <w:sz w:val="16"/>
                <w:szCs w:val="16"/>
              </w:rPr>
            </w:pPr>
            <w:r>
              <w:rPr>
                <w:rFonts w:ascii="Arial" w:hAnsi="Arial" w:cs="Arial"/>
                <w:color w:val="000000"/>
                <w:sz w:val="16"/>
                <w:szCs w:val="16"/>
              </w:rPr>
              <w:t>4</w:t>
            </w:r>
          </w:p>
        </w:tc>
      </w:tr>
      <w:tr w:rsidR="00D92D97" w:rsidTr="00D92D97">
        <w:tblPrEx>
          <w:tblCellMar>
            <w:top w:w="0" w:type="dxa"/>
            <w:left w:w="0" w:type="dxa"/>
            <w:bottom w:w="0" w:type="dxa"/>
            <w:right w:w="0" w:type="dxa"/>
          </w:tblCellMar>
        </w:tblPrEx>
        <w:trPr>
          <w:trHeight w:val="281"/>
        </w:trPr>
        <w:tc>
          <w:tcPr>
            <w:tcW w:w="1058" w:type="dxa"/>
            <w:tcBorders>
              <w:top w:val="nil"/>
              <w:left w:val="single" w:sz="6" w:space="0" w:color="00467E"/>
              <w:bottom w:val="nil"/>
              <w:right w:val="nil"/>
            </w:tcBorders>
            <w:shd w:val="clear" w:color="CFD4D8" w:fill="CFD4D8"/>
            <w:vAlign w:val="center"/>
          </w:tcPr>
          <w:p w:rsidR="00D92D97" w:rsidRDefault="00D92D97" w:rsidP="0073298C">
            <w:pPr>
              <w:spacing w:before="22" w:after="22"/>
              <w:ind w:left="22" w:right="22"/>
              <w:rPr>
                <w:rFonts w:ascii="Arial" w:hAnsi="Arial" w:cs="Arial"/>
                <w:b/>
                <w:bCs w:val="0"/>
                <w:i/>
                <w:iCs/>
                <w:color w:val="9D1B11"/>
                <w:sz w:val="16"/>
                <w:szCs w:val="16"/>
              </w:rPr>
            </w:pPr>
            <w:r>
              <w:rPr>
                <w:rFonts w:ascii="Arial" w:hAnsi="Arial" w:cs="Arial"/>
                <w:b/>
                <w:bCs w:val="0"/>
                <w:i/>
                <w:iCs/>
                <w:color w:val="9D1B11"/>
                <w:sz w:val="16"/>
                <w:szCs w:val="16"/>
              </w:rPr>
              <w:t>South Carolina</w:t>
            </w:r>
          </w:p>
        </w:tc>
        <w:tc>
          <w:tcPr>
            <w:tcW w:w="104" w:type="dxa"/>
            <w:tcBorders>
              <w:top w:val="nil"/>
              <w:left w:val="nil"/>
              <w:bottom w:val="nil"/>
              <w:right w:val="nil"/>
            </w:tcBorders>
            <w:shd w:val="clear" w:color="00467E" w:fill="00467E"/>
            <w:vAlign w:val="bottom"/>
          </w:tcPr>
          <w:p w:rsidR="00D92D97" w:rsidRDefault="00D92D97" w:rsidP="0073298C">
            <w:pPr>
              <w:spacing w:before="22" w:after="22"/>
              <w:ind w:left="22" w:right="22"/>
              <w:rPr>
                <w:color w:val="000000"/>
              </w:rPr>
            </w:pPr>
            <w:r>
              <w:rPr>
                <w:color w:val="000000"/>
              </w:rPr>
              <w:t> </w:t>
            </w:r>
          </w:p>
        </w:tc>
        <w:tc>
          <w:tcPr>
            <w:tcW w:w="834" w:type="dxa"/>
            <w:tcBorders>
              <w:top w:val="nil"/>
              <w:left w:val="nil"/>
              <w:bottom w:val="nil"/>
              <w:right w:val="nil"/>
            </w:tcBorders>
            <w:shd w:val="clear" w:color="CFD4D8" w:fill="CFD4D8"/>
            <w:vAlign w:val="center"/>
          </w:tcPr>
          <w:p w:rsidR="00D92D97" w:rsidRDefault="00D92D97" w:rsidP="0073298C">
            <w:pPr>
              <w:spacing w:before="22" w:after="22"/>
              <w:ind w:left="22" w:right="22"/>
              <w:jc w:val="center"/>
              <w:rPr>
                <w:rFonts w:ascii="Arial" w:hAnsi="Arial" w:cs="Arial"/>
                <w:color w:val="000000"/>
                <w:sz w:val="16"/>
                <w:szCs w:val="16"/>
              </w:rPr>
            </w:pPr>
            <w:r>
              <w:rPr>
                <w:rFonts w:ascii="Arial" w:hAnsi="Arial" w:cs="Arial"/>
                <w:color w:val="000000"/>
                <w:sz w:val="16"/>
                <w:szCs w:val="16"/>
              </w:rPr>
              <w:t>1</w:t>
            </w:r>
          </w:p>
        </w:tc>
        <w:tc>
          <w:tcPr>
            <w:tcW w:w="336" w:type="dxa"/>
            <w:tcBorders>
              <w:top w:val="nil"/>
              <w:left w:val="nil"/>
              <w:bottom w:val="nil"/>
              <w:right w:val="nil"/>
            </w:tcBorders>
            <w:shd w:val="clear" w:color="CFD4D8" w:fill="CFD4D8"/>
            <w:vAlign w:val="bottom"/>
          </w:tcPr>
          <w:p w:rsidR="00D92D97" w:rsidRDefault="00D92D97" w:rsidP="0073298C">
            <w:pPr>
              <w:spacing w:before="22" w:after="22"/>
              <w:ind w:left="22" w:right="22"/>
              <w:rPr>
                <w:color w:val="000000"/>
              </w:rPr>
            </w:pPr>
            <w:r>
              <w:rPr>
                <w:color w:val="000000"/>
              </w:rPr>
              <w:t> </w:t>
            </w:r>
          </w:p>
        </w:tc>
        <w:tc>
          <w:tcPr>
            <w:tcW w:w="837" w:type="dxa"/>
            <w:tcBorders>
              <w:top w:val="nil"/>
              <w:left w:val="nil"/>
              <w:bottom w:val="nil"/>
              <w:right w:val="nil"/>
            </w:tcBorders>
            <w:shd w:val="clear" w:color="CFD4D8" w:fill="CFD4D8"/>
            <w:vAlign w:val="center"/>
          </w:tcPr>
          <w:p w:rsidR="00D92D97" w:rsidRDefault="00D92D97" w:rsidP="0073298C">
            <w:pPr>
              <w:spacing w:before="22" w:after="22"/>
              <w:ind w:left="22" w:right="22"/>
              <w:rPr>
                <w:color w:val="000000"/>
              </w:rPr>
            </w:pPr>
          </w:p>
          <w:p w:rsidR="00D92D97" w:rsidRDefault="00D92D97" w:rsidP="0073298C">
            <w:pPr>
              <w:rPr>
                <w:sz w:val="16"/>
                <w:szCs w:val="16"/>
              </w:rPr>
            </w:pPr>
            <w:r>
              <w:rPr>
                <w:sz w:val="16"/>
                <w:szCs w:val="16"/>
              </w:rPr>
              <w:t> </w:t>
            </w:r>
          </w:p>
        </w:tc>
        <w:tc>
          <w:tcPr>
            <w:tcW w:w="104" w:type="dxa"/>
            <w:tcBorders>
              <w:top w:val="nil"/>
              <w:left w:val="nil"/>
              <w:bottom w:val="nil"/>
              <w:right w:val="nil"/>
            </w:tcBorders>
            <w:shd w:val="clear" w:color="00467E" w:fill="00467E"/>
            <w:vAlign w:val="bottom"/>
          </w:tcPr>
          <w:p w:rsidR="00D92D97" w:rsidRDefault="00D92D97" w:rsidP="0073298C">
            <w:pPr>
              <w:spacing w:before="22" w:after="22"/>
              <w:ind w:left="22" w:right="22"/>
              <w:rPr>
                <w:color w:val="000000"/>
              </w:rPr>
            </w:pPr>
            <w:r>
              <w:rPr>
                <w:color w:val="000000"/>
              </w:rPr>
              <w:t> </w:t>
            </w:r>
          </w:p>
        </w:tc>
        <w:tc>
          <w:tcPr>
            <w:tcW w:w="1241" w:type="dxa"/>
            <w:tcBorders>
              <w:top w:val="nil"/>
              <w:left w:val="nil"/>
              <w:bottom w:val="nil"/>
              <w:right w:val="nil"/>
            </w:tcBorders>
            <w:shd w:val="clear" w:color="CFD4D8" w:fill="CFD4D8"/>
            <w:vAlign w:val="center"/>
          </w:tcPr>
          <w:p w:rsidR="00D92D97" w:rsidRDefault="00D92D97" w:rsidP="0073298C">
            <w:pPr>
              <w:spacing w:before="22" w:after="22"/>
              <w:ind w:left="22" w:right="22"/>
              <w:rPr>
                <w:color w:val="000000"/>
              </w:rPr>
            </w:pPr>
          </w:p>
          <w:p w:rsidR="00D92D97" w:rsidRDefault="00D92D97" w:rsidP="0073298C">
            <w:pPr>
              <w:rPr>
                <w:sz w:val="16"/>
                <w:szCs w:val="16"/>
              </w:rPr>
            </w:pPr>
            <w:r>
              <w:rPr>
                <w:sz w:val="16"/>
                <w:szCs w:val="16"/>
              </w:rPr>
              <w:t> </w:t>
            </w:r>
          </w:p>
        </w:tc>
        <w:tc>
          <w:tcPr>
            <w:tcW w:w="104" w:type="dxa"/>
            <w:tcBorders>
              <w:top w:val="nil"/>
              <w:left w:val="nil"/>
              <w:bottom w:val="nil"/>
              <w:right w:val="nil"/>
            </w:tcBorders>
            <w:shd w:val="clear" w:color="CFD4D8" w:fill="CFD4D8"/>
            <w:vAlign w:val="bottom"/>
          </w:tcPr>
          <w:p w:rsidR="00D92D97" w:rsidRDefault="00D92D97" w:rsidP="0073298C">
            <w:pPr>
              <w:spacing w:before="22" w:after="22"/>
              <w:ind w:left="22" w:right="22"/>
              <w:rPr>
                <w:color w:val="000000"/>
              </w:rPr>
            </w:pPr>
            <w:r>
              <w:rPr>
                <w:color w:val="000000"/>
              </w:rPr>
              <w:t> </w:t>
            </w:r>
          </w:p>
        </w:tc>
        <w:tc>
          <w:tcPr>
            <w:tcW w:w="1236" w:type="dxa"/>
            <w:tcBorders>
              <w:top w:val="nil"/>
              <w:left w:val="nil"/>
              <w:bottom w:val="nil"/>
              <w:right w:val="nil"/>
            </w:tcBorders>
            <w:shd w:val="clear" w:color="CFD4D8" w:fill="CFD4D8"/>
            <w:vAlign w:val="center"/>
          </w:tcPr>
          <w:p w:rsidR="00D92D97" w:rsidRDefault="00D92D97" w:rsidP="0073298C">
            <w:pPr>
              <w:spacing w:before="22" w:after="22"/>
              <w:ind w:left="22" w:right="22"/>
              <w:jc w:val="center"/>
              <w:rPr>
                <w:rFonts w:ascii="Arial" w:hAnsi="Arial" w:cs="Arial"/>
                <w:color w:val="000000"/>
                <w:sz w:val="16"/>
                <w:szCs w:val="16"/>
              </w:rPr>
            </w:pPr>
            <w:r>
              <w:rPr>
                <w:rFonts w:ascii="Arial" w:hAnsi="Arial" w:cs="Arial"/>
                <w:color w:val="000000"/>
                <w:sz w:val="16"/>
                <w:szCs w:val="16"/>
              </w:rPr>
              <w:t>1</w:t>
            </w:r>
          </w:p>
        </w:tc>
        <w:tc>
          <w:tcPr>
            <w:tcW w:w="104" w:type="dxa"/>
            <w:tcBorders>
              <w:top w:val="nil"/>
              <w:left w:val="nil"/>
              <w:bottom w:val="nil"/>
              <w:right w:val="nil"/>
            </w:tcBorders>
            <w:shd w:val="clear" w:color="CFD4D8" w:fill="CFD4D8"/>
            <w:vAlign w:val="bottom"/>
          </w:tcPr>
          <w:p w:rsidR="00D92D97" w:rsidRDefault="00D92D97" w:rsidP="0073298C">
            <w:pPr>
              <w:spacing w:before="22" w:after="22"/>
              <w:ind w:left="22" w:right="22"/>
              <w:rPr>
                <w:color w:val="000000"/>
              </w:rPr>
            </w:pPr>
            <w:r>
              <w:rPr>
                <w:color w:val="000000"/>
              </w:rPr>
              <w:t> </w:t>
            </w:r>
          </w:p>
        </w:tc>
        <w:tc>
          <w:tcPr>
            <w:tcW w:w="1240" w:type="dxa"/>
            <w:tcBorders>
              <w:top w:val="nil"/>
              <w:left w:val="nil"/>
              <w:bottom w:val="nil"/>
              <w:right w:val="nil"/>
            </w:tcBorders>
            <w:shd w:val="clear" w:color="CFD4D8" w:fill="CFD4D8"/>
            <w:vAlign w:val="center"/>
          </w:tcPr>
          <w:p w:rsidR="00D92D97" w:rsidRDefault="00D92D97" w:rsidP="0073298C">
            <w:pPr>
              <w:spacing w:before="22" w:after="22"/>
              <w:ind w:left="22" w:right="22"/>
              <w:rPr>
                <w:color w:val="000000"/>
              </w:rPr>
            </w:pPr>
          </w:p>
          <w:p w:rsidR="00D92D97" w:rsidRDefault="00D92D97" w:rsidP="0073298C">
            <w:pPr>
              <w:rPr>
                <w:sz w:val="16"/>
                <w:szCs w:val="16"/>
              </w:rPr>
            </w:pPr>
            <w:r>
              <w:rPr>
                <w:sz w:val="16"/>
                <w:szCs w:val="16"/>
              </w:rPr>
              <w:t> </w:t>
            </w:r>
          </w:p>
        </w:tc>
        <w:tc>
          <w:tcPr>
            <w:tcW w:w="104" w:type="dxa"/>
            <w:tcBorders>
              <w:top w:val="nil"/>
              <w:left w:val="nil"/>
              <w:bottom w:val="nil"/>
              <w:right w:val="nil"/>
            </w:tcBorders>
            <w:shd w:val="clear" w:color="CFD4D8" w:fill="CFD4D8"/>
            <w:vAlign w:val="bottom"/>
          </w:tcPr>
          <w:p w:rsidR="00D92D97" w:rsidRDefault="00D92D97" w:rsidP="0073298C">
            <w:pPr>
              <w:spacing w:before="22" w:after="22"/>
              <w:ind w:left="22" w:right="22"/>
              <w:rPr>
                <w:color w:val="000000"/>
              </w:rPr>
            </w:pPr>
            <w:r>
              <w:rPr>
                <w:color w:val="000000"/>
              </w:rPr>
              <w:t> </w:t>
            </w:r>
          </w:p>
        </w:tc>
        <w:tc>
          <w:tcPr>
            <w:tcW w:w="1244" w:type="dxa"/>
            <w:tcBorders>
              <w:top w:val="nil"/>
              <w:left w:val="nil"/>
              <w:bottom w:val="nil"/>
              <w:right w:val="nil"/>
            </w:tcBorders>
            <w:shd w:val="clear" w:color="CFD4D8" w:fill="CFD4D8"/>
            <w:vAlign w:val="center"/>
          </w:tcPr>
          <w:p w:rsidR="00D92D97" w:rsidRDefault="00D92D97" w:rsidP="0073298C">
            <w:pPr>
              <w:spacing w:before="22" w:after="22"/>
              <w:ind w:left="22" w:right="22"/>
              <w:rPr>
                <w:color w:val="000000"/>
              </w:rPr>
            </w:pPr>
          </w:p>
          <w:p w:rsidR="00D92D97" w:rsidRDefault="00D92D97" w:rsidP="0073298C">
            <w:pPr>
              <w:rPr>
                <w:sz w:val="16"/>
                <w:szCs w:val="16"/>
              </w:rPr>
            </w:pPr>
            <w:r>
              <w:rPr>
                <w:sz w:val="16"/>
                <w:szCs w:val="16"/>
              </w:rPr>
              <w:t> </w:t>
            </w:r>
          </w:p>
        </w:tc>
        <w:tc>
          <w:tcPr>
            <w:tcW w:w="104" w:type="dxa"/>
            <w:tcBorders>
              <w:top w:val="nil"/>
              <w:left w:val="nil"/>
              <w:bottom w:val="nil"/>
              <w:right w:val="nil"/>
            </w:tcBorders>
            <w:shd w:val="clear" w:color="00467E" w:fill="00467E"/>
            <w:vAlign w:val="bottom"/>
          </w:tcPr>
          <w:p w:rsidR="00D92D97" w:rsidRDefault="00D92D97" w:rsidP="0073298C">
            <w:pPr>
              <w:spacing w:before="22" w:after="22"/>
              <w:ind w:left="22" w:right="22"/>
              <w:rPr>
                <w:color w:val="000000"/>
              </w:rPr>
            </w:pPr>
            <w:r>
              <w:rPr>
                <w:color w:val="000000"/>
              </w:rPr>
              <w:t> </w:t>
            </w:r>
          </w:p>
        </w:tc>
        <w:tc>
          <w:tcPr>
            <w:tcW w:w="1244" w:type="dxa"/>
            <w:tcBorders>
              <w:top w:val="nil"/>
              <w:left w:val="nil"/>
              <w:bottom w:val="nil"/>
              <w:right w:val="single" w:sz="6" w:space="0" w:color="00467E"/>
            </w:tcBorders>
            <w:shd w:val="clear" w:color="CFD4D8" w:fill="CFD4D8"/>
            <w:vAlign w:val="center"/>
          </w:tcPr>
          <w:p w:rsidR="00D92D97" w:rsidRDefault="00D92D97" w:rsidP="0073298C">
            <w:pPr>
              <w:spacing w:before="22" w:after="22"/>
              <w:ind w:left="22" w:right="22"/>
              <w:jc w:val="center"/>
              <w:rPr>
                <w:rFonts w:ascii="Arial" w:hAnsi="Arial" w:cs="Arial"/>
                <w:color w:val="000000"/>
                <w:sz w:val="16"/>
                <w:szCs w:val="16"/>
              </w:rPr>
            </w:pPr>
            <w:r>
              <w:rPr>
                <w:rFonts w:ascii="Arial" w:hAnsi="Arial" w:cs="Arial"/>
                <w:color w:val="000000"/>
                <w:sz w:val="16"/>
                <w:szCs w:val="16"/>
              </w:rPr>
              <w:t>1</w:t>
            </w:r>
          </w:p>
        </w:tc>
      </w:tr>
      <w:tr w:rsidR="00D92D97" w:rsidTr="00D92D97">
        <w:tblPrEx>
          <w:tblCellMar>
            <w:top w:w="0" w:type="dxa"/>
            <w:left w:w="0" w:type="dxa"/>
            <w:bottom w:w="0" w:type="dxa"/>
            <w:right w:w="0" w:type="dxa"/>
          </w:tblCellMar>
        </w:tblPrEx>
        <w:trPr>
          <w:trHeight w:val="281"/>
        </w:trPr>
        <w:tc>
          <w:tcPr>
            <w:tcW w:w="1058" w:type="dxa"/>
            <w:tcBorders>
              <w:top w:val="nil"/>
              <w:left w:val="single" w:sz="6" w:space="0" w:color="00467E"/>
              <w:bottom w:val="nil"/>
              <w:right w:val="nil"/>
            </w:tcBorders>
            <w:vAlign w:val="center"/>
          </w:tcPr>
          <w:p w:rsidR="00D92D97" w:rsidRDefault="00D92D97" w:rsidP="0073298C">
            <w:pPr>
              <w:spacing w:before="22" w:after="22"/>
              <w:ind w:left="22" w:right="22"/>
              <w:rPr>
                <w:rFonts w:ascii="Arial" w:hAnsi="Arial" w:cs="Arial"/>
                <w:b/>
                <w:bCs w:val="0"/>
                <w:i/>
                <w:iCs/>
                <w:color w:val="9D1B11"/>
                <w:sz w:val="16"/>
                <w:szCs w:val="16"/>
              </w:rPr>
            </w:pPr>
            <w:r>
              <w:rPr>
                <w:rFonts w:ascii="Arial" w:hAnsi="Arial" w:cs="Arial"/>
                <w:b/>
                <w:bCs w:val="0"/>
                <w:i/>
                <w:iCs/>
                <w:color w:val="9D1B11"/>
                <w:sz w:val="16"/>
                <w:szCs w:val="16"/>
              </w:rPr>
              <w:t>South Dakota</w:t>
            </w:r>
          </w:p>
        </w:tc>
        <w:tc>
          <w:tcPr>
            <w:tcW w:w="104" w:type="dxa"/>
            <w:tcBorders>
              <w:top w:val="nil"/>
              <w:left w:val="nil"/>
              <w:bottom w:val="nil"/>
              <w:right w:val="nil"/>
            </w:tcBorders>
            <w:shd w:val="clear" w:color="00467E" w:fill="00467E"/>
            <w:vAlign w:val="bottom"/>
          </w:tcPr>
          <w:p w:rsidR="00D92D97" w:rsidRDefault="00D92D97" w:rsidP="0073298C">
            <w:pPr>
              <w:spacing w:before="22" w:after="22"/>
              <w:ind w:left="22" w:right="22"/>
              <w:rPr>
                <w:color w:val="000000"/>
              </w:rPr>
            </w:pPr>
            <w:r>
              <w:rPr>
                <w:color w:val="000000"/>
              </w:rPr>
              <w:t> </w:t>
            </w:r>
          </w:p>
        </w:tc>
        <w:tc>
          <w:tcPr>
            <w:tcW w:w="834" w:type="dxa"/>
            <w:tcBorders>
              <w:top w:val="nil"/>
              <w:left w:val="nil"/>
              <w:bottom w:val="nil"/>
              <w:right w:val="nil"/>
            </w:tcBorders>
            <w:vAlign w:val="center"/>
          </w:tcPr>
          <w:p w:rsidR="00D92D97" w:rsidRDefault="00D92D97" w:rsidP="0073298C">
            <w:pPr>
              <w:spacing w:before="22" w:after="22"/>
              <w:ind w:left="22" w:right="22"/>
              <w:rPr>
                <w:color w:val="000000"/>
              </w:rPr>
            </w:pPr>
          </w:p>
          <w:p w:rsidR="00D92D97" w:rsidRDefault="00D92D97" w:rsidP="0073298C">
            <w:pPr>
              <w:rPr>
                <w:sz w:val="16"/>
                <w:szCs w:val="16"/>
              </w:rPr>
            </w:pPr>
            <w:r>
              <w:rPr>
                <w:sz w:val="16"/>
                <w:szCs w:val="16"/>
              </w:rPr>
              <w:t> </w:t>
            </w:r>
          </w:p>
        </w:tc>
        <w:tc>
          <w:tcPr>
            <w:tcW w:w="336" w:type="dxa"/>
            <w:tcBorders>
              <w:top w:val="nil"/>
              <w:left w:val="nil"/>
              <w:bottom w:val="nil"/>
              <w:right w:val="nil"/>
            </w:tcBorders>
            <w:vAlign w:val="bottom"/>
          </w:tcPr>
          <w:p w:rsidR="00D92D97" w:rsidRDefault="00D92D97" w:rsidP="0073298C">
            <w:pPr>
              <w:spacing w:before="22" w:after="22"/>
              <w:ind w:left="22" w:right="22"/>
              <w:rPr>
                <w:color w:val="000000"/>
              </w:rPr>
            </w:pPr>
            <w:r>
              <w:rPr>
                <w:color w:val="000000"/>
              </w:rPr>
              <w:t> </w:t>
            </w:r>
          </w:p>
        </w:tc>
        <w:tc>
          <w:tcPr>
            <w:tcW w:w="837" w:type="dxa"/>
            <w:tcBorders>
              <w:top w:val="nil"/>
              <w:left w:val="nil"/>
              <w:bottom w:val="nil"/>
              <w:right w:val="nil"/>
            </w:tcBorders>
            <w:vAlign w:val="center"/>
          </w:tcPr>
          <w:p w:rsidR="00D92D97" w:rsidRDefault="00D92D97" w:rsidP="0073298C">
            <w:pPr>
              <w:spacing w:before="22" w:after="22"/>
              <w:ind w:left="22" w:right="22"/>
              <w:jc w:val="center"/>
              <w:rPr>
                <w:rFonts w:ascii="Arial" w:hAnsi="Arial" w:cs="Arial"/>
                <w:color w:val="000000"/>
                <w:sz w:val="16"/>
                <w:szCs w:val="16"/>
              </w:rPr>
            </w:pPr>
            <w:r>
              <w:rPr>
                <w:rFonts w:ascii="Arial" w:hAnsi="Arial" w:cs="Arial"/>
                <w:color w:val="000000"/>
                <w:sz w:val="16"/>
                <w:szCs w:val="16"/>
              </w:rPr>
              <w:t>1</w:t>
            </w:r>
          </w:p>
        </w:tc>
        <w:tc>
          <w:tcPr>
            <w:tcW w:w="104" w:type="dxa"/>
            <w:tcBorders>
              <w:top w:val="nil"/>
              <w:left w:val="nil"/>
              <w:bottom w:val="nil"/>
              <w:right w:val="nil"/>
            </w:tcBorders>
            <w:shd w:val="clear" w:color="00467E" w:fill="00467E"/>
            <w:vAlign w:val="bottom"/>
          </w:tcPr>
          <w:p w:rsidR="00D92D97" w:rsidRDefault="00D92D97" w:rsidP="0073298C">
            <w:pPr>
              <w:spacing w:before="22" w:after="22"/>
              <w:ind w:left="22" w:right="22"/>
              <w:rPr>
                <w:color w:val="000000"/>
              </w:rPr>
            </w:pPr>
            <w:r>
              <w:rPr>
                <w:color w:val="000000"/>
              </w:rPr>
              <w:t> </w:t>
            </w:r>
          </w:p>
        </w:tc>
        <w:tc>
          <w:tcPr>
            <w:tcW w:w="1241" w:type="dxa"/>
            <w:tcBorders>
              <w:top w:val="nil"/>
              <w:left w:val="nil"/>
              <w:bottom w:val="nil"/>
              <w:right w:val="nil"/>
            </w:tcBorders>
            <w:vAlign w:val="center"/>
          </w:tcPr>
          <w:p w:rsidR="00D92D97" w:rsidRDefault="00D92D97" w:rsidP="0073298C">
            <w:pPr>
              <w:spacing w:before="22" w:after="22"/>
              <w:ind w:left="22" w:right="22"/>
              <w:jc w:val="center"/>
              <w:rPr>
                <w:rFonts w:ascii="Arial" w:hAnsi="Arial" w:cs="Arial"/>
                <w:color w:val="000000"/>
                <w:sz w:val="16"/>
                <w:szCs w:val="16"/>
              </w:rPr>
            </w:pPr>
            <w:r>
              <w:rPr>
                <w:rFonts w:ascii="Arial" w:hAnsi="Arial" w:cs="Arial"/>
                <w:color w:val="000000"/>
                <w:sz w:val="16"/>
                <w:szCs w:val="16"/>
              </w:rPr>
              <w:t>1</w:t>
            </w:r>
          </w:p>
        </w:tc>
        <w:tc>
          <w:tcPr>
            <w:tcW w:w="104" w:type="dxa"/>
            <w:tcBorders>
              <w:top w:val="nil"/>
              <w:left w:val="nil"/>
              <w:bottom w:val="nil"/>
              <w:right w:val="nil"/>
            </w:tcBorders>
            <w:vAlign w:val="bottom"/>
          </w:tcPr>
          <w:p w:rsidR="00D92D97" w:rsidRDefault="00D92D97" w:rsidP="0073298C">
            <w:pPr>
              <w:spacing w:before="22" w:after="22"/>
              <w:ind w:left="22" w:right="22"/>
              <w:rPr>
                <w:color w:val="000000"/>
              </w:rPr>
            </w:pPr>
            <w:r>
              <w:rPr>
                <w:color w:val="000000"/>
              </w:rPr>
              <w:t> </w:t>
            </w:r>
          </w:p>
        </w:tc>
        <w:tc>
          <w:tcPr>
            <w:tcW w:w="1236" w:type="dxa"/>
            <w:tcBorders>
              <w:top w:val="nil"/>
              <w:left w:val="nil"/>
              <w:bottom w:val="nil"/>
              <w:right w:val="nil"/>
            </w:tcBorders>
            <w:vAlign w:val="center"/>
          </w:tcPr>
          <w:p w:rsidR="00D92D97" w:rsidRDefault="00D92D97" w:rsidP="0073298C">
            <w:pPr>
              <w:spacing w:before="22" w:after="22"/>
              <w:ind w:left="22" w:right="22"/>
              <w:rPr>
                <w:color w:val="000000"/>
              </w:rPr>
            </w:pPr>
          </w:p>
          <w:p w:rsidR="00D92D97" w:rsidRDefault="00D92D97" w:rsidP="0073298C">
            <w:pPr>
              <w:rPr>
                <w:sz w:val="16"/>
                <w:szCs w:val="16"/>
              </w:rPr>
            </w:pPr>
            <w:r>
              <w:rPr>
                <w:sz w:val="16"/>
                <w:szCs w:val="16"/>
              </w:rPr>
              <w:t> </w:t>
            </w:r>
          </w:p>
        </w:tc>
        <w:tc>
          <w:tcPr>
            <w:tcW w:w="104" w:type="dxa"/>
            <w:tcBorders>
              <w:top w:val="nil"/>
              <w:left w:val="nil"/>
              <w:bottom w:val="nil"/>
              <w:right w:val="nil"/>
            </w:tcBorders>
            <w:vAlign w:val="bottom"/>
          </w:tcPr>
          <w:p w:rsidR="00D92D97" w:rsidRDefault="00D92D97" w:rsidP="0073298C">
            <w:pPr>
              <w:spacing w:before="22" w:after="22"/>
              <w:ind w:left="22" w:right="22"/>
              <w:rPr>
                <w:color w:val="000000"/>
              </w:rPr>
            </w:pPr>
            <w:r>
              <w:rPr>
                <w:color w:val="000000"/>
              </w:rPr>
              <w:t> </w:t>
            </w:r>
          </w:p>
        </w:tc>
        <w:tc>
          <w:tcPr>
            <w:tcW w:w="1240" w:type="dxa"/>
            <w:tcBorders>
              <w:top w:val="nil"/>
              <w:left w:val="nil"/>
              <w:bottom w:val="nil"/>
              <w:right w:val="nil"/>
            </w:tcBorders>
            <w:vAlign w:val="center"/>
          </w:tcPr>
          <w:p w:rsidR="00D92D97" w:rsidRDefault="00D92D97" w:rsidP="0073298C">
            <w:pPr>
              <w:spacing w:before="22" w:after="22"/>
              <w:ind w:left="22" w:right="22"/>
              <w:rPr>
                <w:color w:val="000000"/>
              </w:rPr>
            </w:pPr>
          </w:p>
          <w:p w:rsidR="00D92D97" w:rsidRDefault="00D92D97" w:rsidP="0073298C">
            <w:pPr>
              <w:rPr>
                <w:sz w:val="16"/>
                <w:szCs w:val="16"/>
              </w:rPr>
            </w:pPr>
            <w:r>
              <w:rPr>
                <w:sz w:val="16"/>
                <w:szCs w:val="16"/>
              </w:rPr>
              <w:t> </w:t>
            </w:r>
          </w:p>
        </w:tc>
        <w:tc>
          <w:tcPr>
            <w:tcW w:w="104" w:type="dxa"/>
            <w:tcBorders>
              <w:top w:val="nil"/>
              <w:left w:val="nil"/>
              <w:bottom w:val="nil"/>
              <w:right w:val="nil"/>
            </w:tcBorders>
            <w:vAlign w:val="bottom"/>
          </w:tcPr>
          <w:p w:rsidR="00D92D97" w:rsidRDefault="00D92D97" w:rsidP="0073298C">
            <w:pPr>
              <w:spacing w:before="22" w:after="22"/>
              <w:ind w:left="22" w:right="22"/>
              <w:rPr>
                <w:color w:val="000000"/>
              </w:rPr>
            </w:pPr>
            <w:r>
              <w:rPr>
                <w:color w:val="000000"/>
              </w:rPr>
              <w:t> </w:t>
            </w:r>
          </w:p>
        </w:tc>
        <w:tc>
          <w:tcPr>
            <w:tcW w:w="1244" w:type="dxa"/>
            <w:tcBorders>
              <w:top w:val="nil"/>
              <w:left w:val="nil"/>
              <w:bottom w:val="nil"/>
              <w:right w:val="nil"/>
            </w:tcBorders>
            <w:vAlign w:val="center"/>
          </w:tcPr>
          <w:p w:rsidR="00D92D97" w:rsidRDefault="00D92D97" w:rsidP="0073298C">
            <w:pPr>
              <w:spacing w:before="22" w:after="22"/>
              <w:ind w:left="22" w:right="22"/>
              <w:rPr>
                <w:color w:val="000000"/>
              </w:rPr>
            </w:pPr>
          </w:p>
          <w:p w:rsidR="00D92D97" w:rsidRDefault="00D92D97" w:rsidP="0073298C">
            <w:pPr>
              <w:rPr>
                <w:sz w:val="16"/>
                <w:szCs w:val="16"/>
              </w:rPr>
            </w:pPr>
            <w:r>
              <w:rPr>
                <w:sz w:val="16"/>
                <w:szCs w:val="16"/>
              </w:rPr>
              <w:t> </w:t>
            </w:r>
          </w:p>
        </w:tc>
        <w:tc>
          <w:tcPr>
            <w:tcW w:w="104" w:type="dxa"/>
            <w:tcBorders>
              <w:top w:val="nil"/>
              <w:left w:val="nil"/>
              <w:bottom w:val="nil"/>
              <w:right w:val="nil"/>
            </w:tcBorders>
            <w:shd w:val="clear" w:color="00467E" w:fill="00467E"/>
            <w:vAlign w:val="bottom"/>
          </w:tcPr>
          <w:p w:rsidR="00D92D97" w:rsidRDefault="00D92D97" w:rsidP="0073298C">
            <w:pPr>
              <w:spacing w:before="22" w:after="22"/>
              <w:ind w:left="22" w:right="22"/>
              <w:rPr>
                <w:color w:val="000000"/>
              </w:rPr>
            </w:pPr>
            <w:r>
              <w:rPr>
                <w:color w:val="000000"/>
              </w:rPr>
              <w:t> </w:t>
            </w:r>
          </w:p>
        </w:tc>
        <w:tc>
          <w:tcPr>
            <w:tcW w:w="1244" w:type="dxa"/>
            <w:tcBorders>
              <w:top w:val="nil"/>
              <w:left w:val="nil"/>
              <w:bottom w:val="nil"/>
              <w:right w:val="single" w:sz="6" w:space="0" w:color="00467E"/>
            </w:tcBorders>
            <w:vAlign w:val="center"/>
          </w:tcPr>
          <w:p w:rsidR="00D92D97" w:rsidRDefault="00D92D97" w:rsidP="0073298C">
            <w:pPr>
              <w:spacing w:before="22" w:after="22"/>
              <w:ind w:left="22" w:right="22"/>
              <w:jc w:val="center"/>
              <w:rPr>
                <w:rFonts w:ascii="Arial" w:hAnsi="Arial" w:cs="Arial"/>
                <w:color w:val="000000"/>
                <w:sz w:val="16"/>
                <w:szCs w:val="16"/>
              </w:rPr>
            </w:pPr>
            <w:r>
              <w:rPr>
                <w:rFonts w:ascii="Arial" w:hAnsi="Arial" w:cs="Arial"/>
                <w:color w:val="000000"/>
                <w:sz w:val="16"/>
                <w:szCs w:val="16"/>
              </w:rPr>
              <w:t>1</w:t>
            </w:r>
          </w:p>
        </w:tc>
      </w:tr>
      <w:tr w:rsidR="00D92D97" w:rsidTr="00D92D97">
        <w:tblPrEx>
          <w:tblCellMar>
            <w:top w:w="0" w:type="dxa"/>
            <w:left w:w="0" w:type="dxa"/>
            <w:bottom w:w="0" w:type="dxa"/>
            <w:right w:w="0" w:type="dxa"/>
          </w:tblCellMar>
        </w:tblPrEx>
        <w:trPr>
          <w:trHeight w:val="281"/>
        </w:trPr>
        <w:tc>
          <w:tcPr>
            <w:tcW w:w="1058" w:type="dxa"/>
            <w:tcBorders>
              <w:top w:val="nil"/>
              <w:left w:val="single" w:sz="6" w:space="0" w:color="00467E"/>
              <w:bottom w:val="nil"/>
              <w:right w:val="nil"/>
            </w:tcBorders>
            <w:shd w:val="clear" w:color="CFD4D8" w:fill="CFD4D8"/>
            <w:vAlign w:val="center"/>
          </w:tcPr>
          <w:p w:rsidR="00D92D97" w:rsidRDefault="00D92D97" w:rsidP="0073298C">
            <w:pPr>
              <w:spacing w:before="22" w:after="22"/>
              <w:ind w:left="22" w:right="22"/>
              <w:rPr>
                <w:rFonts w:ascii="Arial" w:hAnsi="Arial" w:cs="Arial"/>
                <w:b/>
                <w:bCs w:val="0"/>
                <w:i/>
                <w:iCs/>
                <w:color w:val="9D1B11"/>
                <w:sz w:val="16"/>
                <w:szCs w:val="16"/>
              </w:rPr>
            </w:pPr>
            <w:r>
              <w:rPr>
                <w:rFonts w:ascii="Arial" w:hAnsi="Arial" w:cs="Arial"/>
                <w:b/>
                <w:bCs w:val="0"/>
                <w:i/>
                <w:iCs/>
                <w:color w:val="9D1B11"/>
                <w:sz w:val="16"/>
                <w:szCs w:val="16"/>
              </w:rPr>
              <w:t>Tennessee</w:t>
            </w:r>
          </w:p>
        </w:tc>
        <w:tc>
          <w:tcPr>
            <w:tcW w:w="104" w:type="dxa"/>
            <w:tcBorders>
              <w:top w:val="nil"/>
              <w:left w:val="nil"/>
              <w:bottom w:val="nil"/>
              <w:right w:val="nil"/>
            </w:tcBorders>
            <w:shd w:val="clear" w:color="00467E" w:fill="00467E"/>
            <w:vAlign w:val="bottom"/>
          </w:tcPr>
          <w:p w:rsidR="00D92D97" w:rsidRDefault="00D92D97" w:rsidP="0073298C">
            <w:pPr>
              <w:spacing w:before="22" w:after="22"/>
              <w:ind w:left="22" w:right="22"/>
              <w:rPr>
                <w:color w:val="000000"/>
              </w:rPr>
            </w:pPr>
            <w:r>
              <w:rPr>
                <w:color w:val="000000"/>
              </w:rPr>
              <w:t> </w:t>
            </w:r>
          </w:p>
        </w:tc>
        <w:tc>
          <w:tcPr>
            <w:tcW w:w="834" w:type="dxa"/>
            <w:tcBorders>
              <w:top w:val="nil"/>
              <w:left w:val="nil"/>
              <w:bottom w:val="nil"/>
              <w:right w:val="nil"/>
            </w:tcBorders>
            <w:shd w:val="clear" w:color="CFD4D8" w:fill="CFD4D8"/>
            <w:vAlign w:val="center"/>
          </w:tcPr>
          <w:p w:rsidR="00D92D97" w:rsidRDefault="00D92D97" w:rsidP="0073298C">
            <w:pPr>
              <w:spacing w:before="22" w:after="22"/>
              <w:ind w:left="22" w:right="22"/>
              <w:jc w:val="center"/>
              <w:rPr>
                <w:rFonts w:ascii="Arial" w:hAnsi="Arial" w:cs="Arial"/>
                <w:color w:val="000000"/>
                <w:sz w:val="16"/>
                <w:szCs w:val="16"/>
              </w:rPr>
            </w:pPr>
            <w:r>
              <w:rPr>
                <w:rFonts w:ascii="Arial" w:hAnsi="Arial" w:cs="Arial"/>
                <w:color w:val="000000"/>
                <w:sz w:val="16"/>
                <w:szCs w:val="16"/>
              </w:rPr>
              <w:t>3</w:t>
            </w:r>
          </w:p>
        </w:tc>
        <w:tc>
          <w:tcPr>
            <w:tcW w:w="336" w:type="dxa"/>
            <w:tcBorders>
              <w:top w:val="nil"/>
              <w:left w:val="nil"/>
              <w:bottom w:val="nil"/>
              <w:right w:val="nil"/>
            </w:tcBorders>
            <w:shd w:val="clear" w:color="CFD4D8" w:fill="CFD4D8"/>
            <w:vAlign w:val="bottom"/>
          </w:tcPr>
          <w:p w:rsidR="00D92D97" w:rsidRDefault="00D92D97" w:rsidP="0073298C">
            <w:pPr>
              <w:spacing w:before="22" w:after="22"/>
              <w:ind w:left="22" w:right="22"/>
              <w:rPr>
                <w:color w:val="000000"/>
              </w:rPr>
            </w:pPr>
            <w:r>
              <w:rPr>
                <w:color w:val="000000"/>
              </w:rPr>
              <w:t> </w:t>
            </w:r>
          </w:p>
        </w:tc>
        <w:tc>
          <w:tcPr>
            <w:tcW w:w="837" w:type="dxa"/>
            <w:tcBorders>
              <w:top w:val="nil"/>
              <w:left w:val="nil"/>
              <w:bottom w:val="nil"/>
              <w:right w:val="nil"/>
            </w:tcBorders>
            <w:shd w:val="clear" w:color="CFD4D8" w:fill="CFD4D8"/>
            <w:vAlign w:val="center"/>
          </w:tcPr>
          <w:p w:rsidR="00D92D97" w:rsidRDefault="00D92D97" w:rsidP="0073298C">
            <w:pPr>
              <w:spacing w:before="22" w:after="22"/>
              <w:ind w:left="22" w:right="22"/>
              <w:rPr>
                <w:color w:val="000000"/>
              </w:rPr>
            </w:pPr>
          </w:p>
          <w:p w:rsidR="00D92D97" w:rsidRDefault="00D92D97" w:rsidP="0073298C">
            <w:pPr>
              <w:rPr>
                <w:sz w:val="16"/>
                <w:szCs w:val="16"/>
              </w:rPr>
            </w:pPr>
            <w:r>
              <w:rPr>
                <w:sz w:val="16"/>
                <w:szCs w:val="16"/>
              </w:rPr>
              <w:t> </w:t>
            </w:r>
          </w:p>
        </w:tc>
        <w:tc>
          <w:tcPr>
            <w:tcW w:w="104" w:type="dxa"/>
            <w:tcBorders>
              <w:top w:val="nil"/>
              <w:left w:val="nil"/>
              <w:bottom w:val="nil"/>
              <w:right w:val="nil"/>
            </w:tcBorders>
            <w:shd w:val="clear" w:color="00467E" w:fill="00467E"/>
            <w:vAlign w:val="bottom"/>
          </w:tcPr>
          <w:p w:rsidR="00D92D97" w:rsidRDefault="00D92D97" w:rsidP="0073298C">
            <w:pPr>
              <w:spacing w:before="22" w:after="22"/>
              <w:ind w:left="22" w:right="22"/>
              <w:rPr>
                <w:color w:val="000000"/>
              </w:rPr>
            </w:pPr>
            <w:r>
              <w:rPr>
                <w:color w:val="000000"/>
              </w:rPr>
              <w:t> </w:t>
            </w:r>
          </w:p>
        </w:tc>
        <w:tc>
          <w:tcPr>
            <w:tcW w:w="1241" w:type="dxa"/>
            <w:tcBorders>
              <w:top w:val="nil"/>
              <w:left w:val="nil"/>
              <w:bottom w:val="nil"/>
              <w:right w:val="nil"/>
            </w:tcBorders>
            <w:shd w:val="clear" w:color="CFD4D8" w:fill="CFD4D8"/>
            <w:vAlign w:val="center"/>
          </w:tcPr>
          <w:p w:rsidR="00D92D97" w:rsidRDefault="00D92D97" w:rsidP="0073298C">
            <w:pPr>
              <w:spacing w:before="22" w:after="22"/>
              <w:ind w:left="22" w:right="22"/>
              <w:jc w:val="center"/>
              <w:rPr>
                <w:rFonts w:ascii="Arial" w:hAnsi="Arial" w:cs="Arial"/>
                <w:color w:val="000000"/>
                <w:sz w:val="16"/>
                <w:szCs w:val="16"/>
              </w:rPr>
            </w:pPr>
            <w:r>
              <w:rPr>
                <w:rFonts w:ascii="Arial" w:hAnsi="Arial" w:cs="Arial"/>
                <w:color w:val="000000"/>
                <w:sz w:val="16"/>
                <w:szCs w:val="16"/>
              </w:rPr>
              <w:t>1</w:t>
            </w:r>
          </w:p>
        </w:tc>
        <w:tc>
          <w:tcPr>
            <w:tcW w:w="104" w:type="dxa"/>
            <w:tcBorders>
              <w:top w:val="nil"/>
              <w:left w:val="nil"/>
              <w:bottom w:val="nil"/>
              <w:right w:val="nil"/>
            </w:tcBorders>
            <w:shd w:val="clear" w:color="CFD4D8" w:fill="CFD4D8"/>
            <w:vAlign w:val="bottom"/>
          </w:tcPr>
          <w:p w:rsidR="00D92D97" w:rsidRDefault="00D92D97" w:rsidP="0073298C">
            <w:pPr>
              <w:spacing w:before="22" w:after="22"/>
              <w:ind w:left="22" w:right="22"/>
              <w:rPr>
                <w:color w:val="000000"/>
              </w:rPr>
            </w:pPr>
            <w:r>
              <w:rPr>
                <w:color w:val="000000"/>
              </w:rPr>
              <w:t> </w:t>
            </w:r>
          </w:p>
        </w:tc>
        <w:tc>
          <w:tcPr>
            <w:tcW w:w="1236" w:type="dxa"/>
            <w:tcBorders>
              <w:top w:val="nil"/>
              <w:left w:val="nil"/>
              <w:bottom w:val="nil"/>
              <w:right w:val="nil"/>
            </w:tcBorders>
            <w:shd w:val="clear" w:color="CFD4D8" w:fill="CFD4D8"/>
            <w:vAlign w:val="center"/>
          </w:tcPr>
          <w:p w:rsidR="00D92D97" w:rsidRDefault="00D92D97" w:rsidP="0073298C">
            <w:pPr>
              <w:spacing w:before="22" w:after="22"/>
              <w:ind w:left="22" w:right="22"/>
              <w:jc w:val="center"/>
              <w:rPr>
                <w:rFonts w:ascii="Arial" w:hAnsi="Arial" w:cs="Arial"/>
                <w:color w:val="000000"/>
                <w:sz w:val="16"/>
                <w:szCs w:val="16"/>
              </w:rPr>
            </w:pPr>
            <w:r>
              <w:rPr>
                <w:rFonts w:ascii="Arial" w:hAnsi="Arial" w:cs="Arial"/>
                <w:color w:val="000000"/>
                <w:sz w:val="16"/>
                <w:szCs w:val="16"/>
              </w:rPr>
              <w:t>2</w:t>
            </w:r>
          </w:p>
        </w:tc>
        <w:tc>
          <w:tcPr>
            <w:tcW w:w="104" w:type="dxa"/>
            <w:tcBorders>
              <w:top w:val="nil"/>
              <w:left w:val="nil"/>
              <w:bottom w:val="nil"/>
              <w:right w:val="nil"/>
            </w:tcBorders>
            <w:shd w:val="clear" w:color="CFD4D8" w:fill="CFD4D8"/>
            <w:vAlign w:val="bottom"/>
          </w:tcPr>
          <w:p w:rsidR="00D92D97" w:rsidRDefault="00D92D97" w:rsidP="0073298C">
            <w:pPr>
              <w:spacing w:before="22" w:after="22"/>
              <w:ind w:left="22" w:right="22"/>
              <w:rPr>
                <w:color w:val="000000"/>
              </w:rPr>
            </w:pPr>
            <w:r>
              <w:rPr>
                <w:color w:val="000000"/>
              </w:rPr>
              <w:t> </w:t>
            </w:r>
          </w:p>
        </w:tc>
        <w:tc>
          <w:tcPr>
            <w:tcW w:w="1240" w:type="dxa"/>
            <w:tcBorders>
              <w:top w:val="nil"/>
              <w:left w:val="nil"/>
              <w:bottom w:val="nil"/>
              <w:right w:val="nil"/>
            </w:tcBorders>
            <w:shd w:val="clear" w:color="CFD4D8" w:fill="CFD4D8"/>
            <w:vAlign w:val="center"/>
          </w:tcPr>
          <w:p w:rsidR="00D92D97" w:rsidRDefault="00D92D97" w:rsidP="0073298C">
            <w:pPr>
              <w:spacing w:before="22" w:after="22"/>
              <w:ind w:left="22" w:right="22"/>
              <w:rPr>
                <w:color w:val="000000"/>
              </w:rPr>
            </w:pPr>
          </w:p>
          <w:p w:rsidR="00D92D97" w:rsidRDefault="00D92D97" w:rsidP="0073298C">
            <w:pPr>
              <w:rPr>
                <w:sz w:val="16"/>
                <w:szCs w:val="16"/>
              </w:rPr>
            </w:pPr>
            <w:r>
              <w:rPr>
                <w:sz w:val="16"/>
                <w:szCs w:val="16"/>
              </w:rPr>
              <w:t> </w:t>
            </w:r>
          </w:p>
        </w:tc>
        <w:tc>
          <w:tcPr>
            <w:tcW w:w="104" w:type="dxa"/>
            <w:tcBorders>
              <w:top w:val="nil"/>
              <w:left w:val="nil"/>
              <w:bottom w:val="nil"/>
              <w:right w:val="nil"/>
            </w:tcBorders>
            <w:shd w:val="clear" w:color="CFD4D8" w:fill="CFD4D8"/>
            <w:vAlign w:val="bottom"/>
          </w:tcPr>
          <w:p w:rsidR="00D92D97" w:rsidRDefault="00D92D97" w:rsidP="0073298C">
            <w:pPr>
              <w:spacing w:before="22" w:after="22"/>
              <w:ind w:left="22" w:right="22"/>
              <w:rPr>
                <w:color w:val="000000"/>
              </w:rPr>
            </w:pPr>
            <w:r>
              <w:rPr>
                <w:color w:val="000000"/>
              </w:rPr>
              <w:t> </w:t>
            </w:r>
          </w:p>
        </w:tc>
        <w:tc>
          <w:tcPr>
            <w:tcW w:w="1244" w:type="dxa"/>
            <w:tcBorders>
              <w:top w:val="nil"/>
              <w:left w:val="nil"/>
              <w:bottom w:val="nil"/>
              <w:right w:val="nil"/>
            </w:tcBorders>
            <w:shd w:val="clear" w:color="CFD4D8" w:fill="CFD4D8"/>
            <w:vAlign w:val="center"/>
          </w:tcPr>
          <w:p w:rsidR="00D92D97" w:rsidRDefault="00D92D97" w:rsidP="0073298C">
            <w:pPr>
              <w:spacing w:before="22" w:after="22"/>
              <w:ind w:left="22" w:right="22"/>
              <w:rPr>
                <w:color w:val="000000"/>
              </w:rPr>
            </w:pPr>
          </w:p>
          <w:p w:rsidR="00D92D97" w:rsidRDefault="00D92D97" w:rsidP="0073298C">
            <w:pPr>
              <w:rPr>
                <w:sz w:val="16"/>
                <w:szCs w:val="16"/>
              </w:rPr>
            </w:pPr>
            <w:r>
              <w:rPr>
                <w:sz w:val="16"/>
                <w:szCs w:val="16"/>
              </w:rPr>
              <w:t> </w:t>
            </w:r>
          </w:p>
        </w:tc>
        <w:tc>
          <w:tcPr>
            <w:tcW w:w="104" w:type="dxa"/>
            <w:tcBorders>
              <w:top w:val="nil"/>
              <w:left w:val="nil"/>
              <w:bottom w:val="nil"/>
              <w:right w:val="nil"/>
            </w:tcBorders>
            <w:shd w:val="clear" w:color="00467E" w:fill="00467E"/>
            <w:vAlign w:val="bottom"/>
          </w:tcPr>
          <w:p w:rsidR="00D92D97" w:rsidRDefault="00D92D97" w:rsidP="0073298C">
            <w:pPr>
              <w:spacing w:before="22" w:after="22"/>
              <w:ind w:left="22" w:right="22"/>
              <w:rPr>
                <w:color w:val="000000"/>
              </w:rPr>
            </w:pPr>
            <w:r>
              <w:rPr>
                <w:color w:val="000000"/>
              </w:rPr>
              <w:t> </w:t>
            </w:r>
          </w:p>
        </w:tc>
        <w:tc>
          <w:tcPr>
            <w:tcW w:w="1244" w:type="dxa"/>
            <w:tcBorders>
              <w:top w:val="nil"/>
              <w:left w:val="nil"/>
              <w:bottom w:val="nil"/>
              <w:right w:val="single" w:sz="6" w:space="0" w:color="00467E"/>
            </w:tcBorders>
            <w:shd w:val="clear" w:color="CFD4D8" w:fill="CFD4D8"/>
            <w:vAlign w:val="center"/>
          </w:tcPr>
          <w:p w:rsidR="00D92D97" w:rsidRDefault="00D92D97" w:rsidP="0073298C">
            <w:pPr>
              <w:spacing w:before="22" w:after="22"/>
              <w:ind w:left="22" w:right="22"/>
              <w:jc w:val="center"/>
              <w:rPr>
                <w:rFonts w:ascii="Arial" w:hAnsi="Arial" w:cs="Arial"/>
                <w:color w:val="000000"/>
                <w:sz w:val="16"/>
                <w:szCs w:val="16"/>
              </w:rPr>
            </w:pPr>
            <w:r>
              <w:rPr>
                <w:rFonts w:ascii="Arial" w:hAnsi="Arial" w:cs="Arial"/>
                <w:color w:val="000000"/>
                <w:sz w:val="16"/>
                <w:szCs w:val="16"/>
              </w:rPr>
              <w:t>3</w:t>
            </w:r>
          </w:p>
        </w:tc>
      </w:tr>
      <w:tr w:rsidR="00D92D97" w:rsidTr="00D92D97">
        <w:tblPrEx>
          <w:tblCellMar>
            <w:top w:w="0" w:type="dxa"/>
            <w:left w:w="0" w:type="dxa"/>
            <w:bottom w:w="0" w:type="dxa"/>
            <w:right w:w="0" w:type="dxa"/>
          </w:tblCellMar>
        </w:tblPrEx>
        <w:trPr>
          <w:trHeight w:val="281"/>
        </w:trPr>
        <w:tc>
          <w:tcPr>
            <w:tcW w:w="1058" w:type="dxa"/>
            <w:tcBorders>
              <w:top w:val="nil"/>
              <w:left w:val="single" w:sz="6" w:space="0" w:color="00467E"/>
              <w:bottom w:val="nil"/>
              <w:right w:val="nil"/>
            </w:tcBorders>
            <w:vAlign w:val="center"/>
          </w:tcPr>
          <w:p w:rsidR="00D92D97" w:rsidRDefault="00D92D97" w:rsidP="0073298C">
            <w:pPr>
              <w:spacing w:before="22" w:after="22"/>
              <w:ind w:left="22" w:right="22"/>
              <w:rPr>
                <w:rFonts w:ascii="Arial" w:hAnsi="Arial" w:cs="Arial"/>
                <w:b/>
                <w:bCs w:val="0"/>
                <w:i/>
                <w:iCs/>
                <w:color w:val="9D1B11"/>
                <w:sz w:val="16"/>
                <w:szCs w:val="16"/>
              </w:rPr>
            </w:pPr>
            <w:r>
              <w:rPr>
                <w:rFonts w:ascii="Arial" w:hAnsi="Arial" w:cs="Arial"/>
                <w:b/>
                <w:bCs w:val="0"/>
                <w:i/>
                <w:iCs/>
                <w:color w:val="9D1B11"/>
                <w:sz w:val="16"/>
                <w:szCs w:val="16"/>
              </w:rPr>
              <w:t>Texas</w:t>
            </w:r>
          </w:p>
        </w:tc>
        <w:tc>
          <w:tcPr>
            <w:tcW w:w="104" w:type="dxa"/>
            <w:tcBorders>
              <w:top w:val="nil"/>
              <w:left w:val="nil"/>
              <w:bottom w:val="nil"/>
              <w:right w:val="nil"/>
            </w:tcBorders>
            <w:shd w:val="clear" w:color="00467E" w:fill="00467E"/>
            <w:vAlign w:val="bottom"/>
          </w:tcPr>
          <w:p w:rsidR="00D92D97" w:rsidRDefault="00D92D97" w:rsidP="0073298C">
            <w:pPr>
              <w:spacing w:before="22" w:after="22"/>
              <w:ind w:left="22" w:right="22"/>
              <w:rPr>
                <w:color w:val="000000"/>
              </w:rPr>
            </w:pPr>
            <w:r>
              <w:rPr>
                <w:color w:val="000000"/>
              </w:rPr>
              <w:t> </w:t>
            </w:r>
          </w:p>
        </w:tc>
        <w:tc>
          <w:tcPr>
            <w:tcW w:w="834" w:type="dxa"/>
            <w:tcBorders>
              <w:top w:val="nil"/>
              <w:left w:val="nil"/>
              <w:bottom w:val="nil"/>
              <w:right w:val="nil"/>
            </w:tcBorders>
            <w:vAlign w:val="center"/>
          </w:tcPr>
          <w:p w:rsidR="00D92D97" w:rsidRDefault="00D92D97" w:rsidP="0073298C">
            <w:pPr>
              <w:spacing w:before="22" w:after="22"/>
              <w:ind w:left="22" w:right="22"/>
              <w:jc w:val="center"/>
              <w:rPr>
                <w:rFonts w:ascii="Arial" w:hAnsi="Arial" w:cs="Arial"/>
                <w:color w:val="000000"/>
                <w:sz w:val="16"/>
                <w:szCs w:val="16"/>
              </w:rPr>
            </w:pPr>
            <w:r>
              <w:rPr>
                <w:rFonts w:ascii="Arial" w:hAnsi="Arial" w:cs="Arial"/>
                <w:color w:val="000000"/>
                <w:sz w:val="16"/>
                <w:szCs w:val="16"/>
              </w:rPr>
              <w:t>7</w:t>
            </w:r>
          </w:p>
        </w:tc>
        <w:tc>
          <w:tcPr>
            <w:tcW w:w="336" w:type="dxa"/>
            <w:tcBorders>
              <w:top w:val="nil"/>
              <w:left w:val="nil"/>
              <w:bottom w:val="nil"/>
              <w:right w:val="nil"/>
            </w:tcBorders>
            <w:vAlign w:val="bottom"/>
          </w:tcPr>
          <w:p w:rsidR="00D92D97" w:rsidRDefault="00D92D97" w:rsidP="0073298C">
            <w:pPr>
              <w:spacing w:before="22" w:after="22"/>
              <w:ind w:left="22" w:right="22"/>
              <w:rPr>
                <w:color w:val="000000"/>
              </w:rPr>
            </w:pPr>
            <w:r>
              <w:rPr>
                <w:color w:val="000000"/>
              </w:rPr>
              <w:t> </w:t>
            </w:r>
          </w:p>
        </w:tc>
        <w:tc>
          <w:tcPr>
            <w:tcW w:w="837" w:type="dxa"/>
            <w:tcBorders>
              <w:top w:val="nil"/>
              <w:left w:val="nil"/>
              <w:bottom w:val="nil"/>
              <w:right w:val="nil"/>
            </w:tcBorders>
            <w:vAlign w:val="center"/>
          </w:tcPr>
          <w:p w:rsidR="00D92D97" w:rsidRDefault="00D92D97" w:rsidP="0073298C">
            <w:pPr>
              <w:spacing w:before="22" w:after="22"/>
              <w:ind w:left="22" w:right="22"/>
              <w:jc w:val="center"/>
              <w:rPr>
                <w:rFonts w:ascii="Arial" w:hAnsi="Arial" w:cs="Arial"/>
                <w:color w:val="000000"/>
                <w:sz w:val="16"/>
                <w:szCs w:val="16"/>
              </w:rPr>
            </w:pPr>
            <w:r>
              <w:rPr>
                <w:rFonts w:ascii="Arial" w:hAnsi="Arial" w:cs="Arial"/>
                <w:color w:val="000000"/>
                <w:sz w:val="16"/>
                <w:szCs w:val="16"/>
              </w:rPr>
              <w:t>1</w:t>
            </w:r>
          </w:p>
        </w:tc>
        <w:tc>
          <w:tcPr>
            <w:tcW w:w="104" w:type="dxa"/>
            <w:tcBorders>
              <w:top w:val="nil"/>
              <w:left w:val="nil"/>
              <w:bottom w:val="nil"/>
              <w:right w:val="nil"/>
            </w:tcBorders>
            <w:shd w:val="clear" w:color="00467E" w:fill="00467E"/>
            <w:vAlign w:val="bottom"/>
          </w:tcPr>
          <w:p w:rsidR="00D92D97" w:rsidRDefault="00D92D97" w:rsidP="0073298C">
            <w:pPr>
              <w:spacing w:before="22" w:after="22"/>
              <w:ind w:left="22" w:right="22"/>
              <w:rPr>
                <w:color w:val="000000"/>
              </w:rPr>
            </w:pPr>
            <w:r>
              <w:rPr>
                <w:color w:val="000000"/>
              </w:rPr>
              <w:t> </w:t>
            </w:r>
          </w:p>
        </w:tc>
        <w:tc>
          <w:tcPr>
            <w:tcW w:w="1241" w:type="dxa"/>
            <w:tcBorders>
              <w:top w:val="nil"/>
              <w:left w:val="nil"/>
              <w:bottom w:val="nil"/>
              <w:right w:val="nil"/>
            </w:tcBorders>
            <w:vAlign w:val="center"/>
          </w:tcPr>
          <w:p w:rsidR="00D92D97" w:rsidRDefault="00D92D97" w:rsidP="0073298C">
            <w:pPr>
              <w:spacing w:before="22" w:after="22"/>
              <w:ind w:left="22" w:right="22"/>
              <w:jc w:val="center"/>
              <w:rPr>
                <w:rFonts w:ascii="Arial" w:hAnsi="Arial" w:cs="Arial"/>
                <w:color w:val="000000"/>
                <w:sz w:val="16"/>
                <w:szCs w:val="16"/>
              </w:rPr>
            </w:pPr>
            <w:r>
              <w:rPr>
                <w:rFonts w:ascii="Arial" w:hAnsi="Arial" w:cs="Arial"/>
                <w:color w:val="000000"/>
                <w:sz w:val="16"/>
                <w:szCs w:val="16"/>
              </w:rPr>
              <w:t>3</w:t>
            </w:r>
          </w:p>
        </w:tc>
        <w:tc>
          <w:tcPr>
            <w:tcW w:w="104" w:type="dxa"/>
            <w:tcBorders>
              <w:top w:val="nil"/>
              <w:left w:val="nil"/>
              <w:bottom w:val="nil"/>
              <w:right w:val="nil"/>
            </w:tcBorders>
            <w:vAlign w:val="bottom"/>
          </w:tcPr>
          <w:p w:rsidR="00D92D97" w:rsidRDefault="00D92D97" w:rsidP="0073298C">
            <w:pPr>
              <w:spacing w:before="22" w:after="22"/>
              <w:ind w:left="22" w:right="22"/>
              <w:rPr>
                <w:color w:val="000000"/>
              </w:rPr>
            </w:pPr>
            <w:r>
              <w:rPr>
                <w:color w:val="000000"/>
              </w:rPr>
              <w:t> </w:t>
            </w:r>
          </w:p>
        </w:tc>
        <w:tc>
          <w:tcPr>
            <w:tcW w:w="1236" w:type="dxa"/>
            <w:tcBorders>
              <w:top w:val="nil"/>
              <w:left w:val="nil"/>
              <w:bottom w:val="nil"/>
              <w:right w:val="nil"/>
            </w:tcBorders>
            <w:vAlign w:val="center"/>
          </w:tcPr>
          <w:p w:rsidR="00D92D97" w:rsidRDefault="00D92D97" w:rsidP="0073298C">
            <w:pPr>
              <w:spacing w:before="22" w:after="22"/>
              <w:ind w:left="22" w:right="22"/>
              <w:jc w:val="center"/>
              <w:rPr>
                <w:rFonts w:ascii="Arial" w:hAnsi="Arial" w:cs="Arial"/>
                <w:color w:val="000000"/>
                <w:sz w:val="16"/>
                <w:szCs w:val="16"/>
              </w:rPr>
            </w:pPr>
            <w:r>
              <w:rPr>
                <w:rFonts w:ascii="Arial" w:hAnsi="Arial" w:cs="Arial"/>
                <w:color w:val="000000"/>
                <w:sz w:val="16"/>
                <w:szCs w:val="16"/>
              </w:rPr>
              <w:t>5</w:t>
            </w:r>
          </w:p>
        </w:tc>
        <w:tc>
          <w:tcPr>
            <w:tcW w:w="104" w:type="dxa"/>
            <w:tcBorders>
              <w:top w:val="nil"/>
              <w:left w:val="nil"/>
              <w:bottom w:val="nil"/>
              <w:right w:val="nil"/>
            </w:tcBorders>
            <w:vAlign w:val="bottom"/>
          </w:tcPr>
          <w:p w:rsidR="00D92D97" w:rsidRDefault="00D92D97" w:rsidP="0073298C">
            <w:pPr>
              <w:spacing w:before="22" w:after="22"/>
              <w:ind w:left="22" w:right="22"/>
              <w:rPr>
                <w:color w:val="000000"/>
              </w:rPr>
            </w:pPr>
            <w:r>
              <w:rPr>
                <w:color w:val="000000"/>
              </w:rPr>
              <w:t> </w:t>
            </w:r>
          </w:p>
        </w:tc>
        <w:tc>
          <w:tcPr>
            <w:tcW w:w="1240" w:type="dxa"/>
            <w:tcBorders>
              <w:top w:val="nil"/>
              <w:left w:val="nil"/>
              <w:bottom w:val="nil"/>
              <w:right w:val="nil"/>
            </w:tcBorders>
            <w:vAlign w:val="center"/>
          </w:tcPr>
          <w:p w:rsidR="00D92D97" w:rsidRDefault="00D92D97" w:rsidP="0073298C">
            <w:pPr>
              <w:spacing w:before="22" w:after="22"/>
              <w:ind w:left="22" w:right="22"/>
              <w:rPr>
                <w:color w:val="000000"/>
              </w:rPr>
            </w:pPr>
          </w:p>
          <w:p w:rsidR="00D92D97" w:rsidRDefault="00D92D97" w:rsidP="0073298C">
            <w:pPr>
              <w:rPr>
                <w:sz w:val="16"/>
                <w:szCs w:val="16"/>
              </w:rPr>
            </w:pPr>
            <w:r>
              <w:rPr>
                <w:sz w:val="16"/>
                <w:szCs w:val="16"/>
              </w:rPr>
              <w:lastRenderedPageBreak/>
              <w:t> </w:t>
            </w:r>
          </w:p>
        </w:tc>
        <w:tc>
          <w:tcPr>
            <w:tcW w:w="104" w:type="dxa"/>
            <w:tcBorders>
              <w:top w:val="nil"/>
              <w:left w:val="nil"/>
              <w:bottom w:val="nil"/>
              <w:right w:val="nil"/>
            </w:tcBorders>
            <w:vAlign w:val="bottom"/>
          </w:tcPr>
          <w:p w:rsidR="00D92D97" w:rsidRDefault="00D92D97" w:rsidP="0073298C">
            <w:pPr>
              <w:spacing w:before="22" w:after="22"/>
              <w:ind w:left="22" w:right="22"/>
              <w:rPr>
                <w:color w:val="000000"/>
              </w:rPr>
            </w:pPr>
            <w:r>
              <w:rPr>
                <w:color w:val="000000"/>
              </w:rPr>
              <w:lastRenderedPageBreak/>
              <w:t> </w:t>
            </w:r>
          </w:p>
        </w:tc>
        <w:tc>
          <w:tcPr>
            <w:tcW w:w="1244" w:type="dxa"/>
            <w:tcBorders>
              <w:top w:val="nil"/>
              <w:left w:val="nil"/>
              <w:bottom w:val="nil"/>
              <w:right w:val="nil"/>
            </w:tcBorders>
            <w:vAlign w:val="center"/>
          </w:tcPr>
          <w:p w:rsidR="00D92D97" w:rsidRDefault="00D92D97" w:rsidP="0073298C">
            <w:pPr>
              <w:spacing w:before="22" w:after="22"/>
              <w:ind w:left="22" w:right="22"/>
              <w:rPr>
                <w:color w:val="000000"/>
              </w:rPr>
            </w:pPr>
          </w:p>
          <w:p w:rsidR="00D92D97" w:rsidRDefault="00D92D97" w:rsidP="0073298C">
            <w:pPr>
              <w:rPr>
                <w:sz w:val="16"/>
                <w:szCs w:val="16"/>
              </w:rPr>
            </w:pPr>
            <w:r>
              <w:rPr>
                <w:sz w:val="16"/>
                <w:szCs w:val="16"/>
              </w:rPr>
              <w:lastRenderedPageBreak/>
              <w:t> </w:t>
            </w:r>
          </w:p>
        </w:tc>
        <w:tc>
          <w:tcPr>
            <w:tcW w:w="104" w:type="dxa"/>
            <w:tcBorders>
              <w:top w:val="nil"/>
              <w:left w:val="nil"/>
              <w:bottom w:val="nil"/>
              <w:right w:val="nil"/>
            </w:tcBorders>
            <w:shd w:val="clear" w:color="00467E" w:fill="00467E"/>
            <w:vAlign w:val="bottom"/>
          </w:tcPr>
          <w:p w:rsidR="00D92D97" w:rsidRDefault="00D92D97" w:rsidP="0073298C">
            <w:pPr>
              <w:spacing w:before="22" w:after="22"/>
              <w:ind w:left="22" w:right="22"/>
              <w:rPr>
                <w:color w:val="000000"/>
              </w:rPr>
            </w:pPr>
            <w:r>
              <w:rPr>
                <w:color w:val="000000"/>
              </w:rPr>
              <w:lastRenderedPageBreak/>
              <w:t> </w:t>
            </w:r>
          </w:p>
        </w:tc>
        <w:tc>
          <w:tcPr>
            <w:tcW w:w="1244" w:type="dxa"/>
            <w:tcBorders>
              <w:top w:val="nil"/>
              <w:left w:val="nil"/>
              <w:bottom w:val="nil"/>
              <w:right w:val="single" w:sz="6" w:space="0" w:color="00467E"/>
            </w:tcBorders>
            <w:vAlign w:val="center"/>
          </w:tcPr>
          <w:p w:rsidR="00D92D97" w:rsidRDefault="00D92D97" w:rsidP="0073298C">
            <w:pPr>
              <w:spacing w:before="22" w:after="22"/>
              <w:ind w:left="22" w:right="22"/>
              <w:jc w:val="center"/>
              <w:rPr>
                <w:rFonts w:ascii="Arial" w:hAnsi="Arial" w:cs="Arial"/>
                <w:color w:val="000000"/>
                <w:sz w:val="16"/>
                <w:szCs w:val="16"/>
              </w:rPr>
            </w:pPr>
            <w:r>
              <w:rPr>
                <w:rFonts w:ascii="Arial" w:hAnsi="Arial" w:cs="Arial"/>
                <w:color w:val="000000"/>
                <w:sz w:val="16"/>
                <w:szCs w:val="16"/>
              </w:rPr>
              <w:t>8</w:t>
            </w:r>
          </w:p>
        </w:tc>
      </w:tr>
      <w:tr w:rsidR="00D92D97" w:rsidTr="00D92D97">
        <w:tblPrEx>
          <w:tblCellMar>
            <w:top w:w="0" w:type="dxa"/>
            <w:left w:w="0" w:type="dxa"/>
            <w:bottom w:w="0" w:type="dxa"/>
            <w:right w:w="0" w:type="dxa"/>
          </w:tblCellMar>
        </w:tblPrEx>
        <w:trPr>
          <w:trHeight w:val="281"/>
        </w:trPr>
        <w:tc>
          <w:tcPr>
            <w:tcW w:w="1058" w:type="dxa"/>
            <w:tcBorders>
              <w:top w:val="nil"/>
              <w:left w:val="single" w:sz="6" w:space="0" w:color="00467E"/>
              <w:bottom w:val="nil"/>
              <w:right w:val="nil"/>
            </w:tcBorders>
            <w:shd w:val="clear" w:color="CFD4D8" w:fill="CFD4D8"/>
            <w:vAlign w:val="center"/>
          </w:tcPr>
          <w:p w:rsidR="00D92D97" w:rsidRDefault="00D92D97" w:rsidP="0073298C">
            <w:pPr>
              <w:spacing w:before="22" w:after="22"/>
              <w:ind w:left="22" w:right="22"/>
              <w:rPr>
                <w:rFonts w:ascii="Arial" w:hAnsi="Arial" w:cs="Arial"/>
                <w:b/>
                <w:bCs w:val="0"/>
                <w:i/>
                <w:iCs/>
                <w:color w:val="9D1B11"/>
                <w:sz w:val="16"/>
                <w:szCs w:val="16"/>
              </w:rPr>
            </w:pPr>
            <w:r>
              <w:rPr>
                <w:rFonts w:ascii="Arial" w:hAnsi="Arial" w:cs="Arial"/>
                <w:b/>
                <w:bCs w:val="0"/>
                <w:i/>
                <w:iCs/>
                <w:color w:val="9D1B11"/>
                <w:sz w:val="16"/>
                <w:szCs w:val="16"/>
              </w:rPr>
              <w:lastRenderedPageBreak/>
              <w:t>Utah</w:t>
            </w:r>
          </w:p>
        </w:tc>
        <w:tc>
          <w:tcPr>
            <w:tcW w:w="104" w:type="dxa"/>
            <w:tcBorders>
              <w:top w:val="nil"/>
              <w:left w:val="nil"/>
              <w:bottom w:val="nil"/>
              <w:right w:val="nil"/>
            </w:tcBorders>
            <w:shd w:val="clear" w:color="00467E" w:fill="00467E"/>
            <w:vAlign w:val="bottom"/>
          </w:tcPr>
          <w:p w:rsidR="00D92D97" w:rsidRDefault="00D92D97" w:rsidP="0073298C">
            <w:pPr>
              <w:spacing w:before="22" w:after="22"/>
              <w:ind w:left="22" w:right="22"/>
              <w:rPr>
                <w:color w:val="000000"/>
              </w:rPr>
            </w:pPr>
            <w:r>
              <w:rPr>
                <w:color w:val="000000"/>
              </w:rPr>
              <w:t> </w:t>
            </w:r>
          </w:p>
        </w:tc>
        <w:tc>
          <w:tcPr>
            <w:tcW w:w="834" w:type="dxa"/>
            <w:tcBorders>
              <w:top w:val="nil"/>
              <w:left w:val="nil"/>
              <w:bottom w:val="nil"/>
              <w:right w:val="nil"/>
            </w:tcBorders>
            <w:shd w:val="clear" w:color="CFD4D8" w:fill="CFD4D8"/>
            <w:vAlign w:val="center"/>
          </w:tcPr>
          <w:p w:rsidR="00D92D97" w:rsidRDefault="00D92D97" w:rsidP="0073298C">
            <w:pPr>
              <w:spacing w:before="22" w:after="22"/>
              <w:ind w:left="22" w:right="22"/>
              <w:jc w:val="center"/>
              <w:rPr>
                <w:rFonts w:ascii="Arial" w:hAnsi="Arial" w:cs="Arial"/>
                <w:color w:val="000000"/>
                <w:sz w:val="16"/>
                <w:szCs w:val="16"/>
              </w:rPr>
            </w:pPr>
            <w:r>
              <w:rPr>
                <w:rFonts w:ascii="Arial" w:hAnsi="Arial" w:cs="Arial"/>
                <w:color w:val="000000"/>
                <w:sz w:val="16"/>
                <w:szCs w:val="16"/>
              </w:rPr>
              <w:t>2</w:t>
            </w:r>
          </w:p>
        </w:tc>
        <w:tc>
          <w:tcPr>
            <w:tcW w:w="336" w:type="dxa"/>
            <w:tcBorders>
              <w:top w:val="nil"/>
              <w:left w:val="nil"/>
              <w:bottom w:val="nil"/>
              <w:right w:val="nil"/>
            </w:tcBorders>
            <w:shd w:val="clear" w:color="CFD4D8" w:fill="CFD4D8"/>
            <w:vAlign w:val="bottom"/>
          </w:tcPr>
          <w:p w:rsidR="00D92D97" w:rsidRDefault="00D92D97" w:rsidP="0073298C">
            <w:pPr>
              <w:spacing w:before="22" w:after="22"/>
              <w:ind w:left="22" w:right="22"/>
              <w:rPr>
                <w:color w:val="000000"/>
              </w:rPr>
            </w:pPr>
            <w:r>
              <w:rPr>
                <w:color w:val="000000"/>
              </w:rPr>
              <w:t> </w:t>
            </w:r>
          </w:p>
        </w:tc>
        <w:tc>
          <w:tcPr>
            <w:tcW w:w="837" w:type="dxa"/>
            <w:tcBorders>
              <w:top w:val="nil"/>
              <w:left w:val="nil"/>
              <w:bottom w:val="nil"/>
              <w:right w:val="nil"/>
            </w:tcBorders>
            <w:shd w:val="clear" w:color="CFD4D8" w:fill="CFD4D8"/>
            <w:vAlign w:val="center"/>
          </w:tcPr>
          <w:p w:rsidR="00D92D97" w:rsidRDefault="00D92D97" w:rsidP="0073298C">
            <w:pPr>
              <w:spacing w:before="22" w:after="22"/>
              <w:ind w:left="22" w:right="22"/>
              <w:jc w:val="center"/>
              <w:rPr>
                <w:rFonts w:ascii="Arial" w:hAnsi="Arial" w:cs="Arial"/>
                <w:color w:val="000000"/>
                <w:sz w:val="16"/>
                <w:szCs w:val="16"/>
              </w:rPr>
            </w:pPr>
            <w:r>
              <w:rPr>
                <w:rFonts w:ascii="Arial" w:hAnsi="Arial" w:cs="Arial"/>
                <w:color w:val="000000"/>
                <w:sz w:val="16"/>
                <w:szCs w:val="16"/>
              </w:rPr>
              <w:t>1</w:t>
            </w:r>
          </w:p>
        </w:tc>
        <w:tc>
          <w:tcPr>
            <w:tcW w:w="104" w:type="dxa"/>
            <w:tcBorders>
              <w:top w:val="nil"/>
              <w:left w:val="nil"/>
              <w:bottom w:val="nil"/>
              <w:right w:val="nil"/>
            </w:tcBorders>
            <w:shd w:val="clear" w:color="00467E" w:fill="00467E"/>
            <w:vAlign w:val="bottom"/>
          </w:tcPr>
          <w:p w:rsidR="00D92D97" w:rsidRDefault="00D92D97" w:rsidP="0073298C">
            <w:pPr>
              <w:spacing w:before="22" w:after="22"/>
              <w:ind w:left="22" w:right="22"/>
              <w:rPr>
                <w:color w:val="000000"/>
              </w:rPr>
            </w:pPr>
            <w:r>
              <w:rPr>
                <w:color w:val="000000"/>
              </w:rPr>
              <w:t> </w:t>
            </w:r>
          </w:p>
        </w:tc>
        <w:tc>
          <w:tcPr>
            <w:tcW w:w="1241" w:type="dxa"/>
            <w:tcBorders>
              <w:top w:val="nil"/>
              <w:left w:val="nil"/>
              <w:bottom w:val="nil"/>
              <w:right w:val="nil"/>
            </w:tcBorders>
            <w:shd w:val="clear" w:color="CFD4D8" w:fill="CFD4D8"/>
            <w:vAlign w:val="center"/>
          </w:tcPr>
          <w:p w:rsidR="00D92D97" w:rsidRDefault="00D92D97" w:rsidP="0073298C">
            <w:pPr>
              <w:spacing w:before="22" w:after="22"/>
              <w:ind w:left="22" w:right="22"/>
              <w:jc w:val="center"/>
              <w:rPr>
                <w:rFonts w:ascii="Arial" w:hAnsi="Arial" w:cs="Arial"/>
                <w:color w:val="000000"/>
                <w:sz w:val="16"/>
                <w:szCs w:val="16"/>
              </w:rPr>
            </w:pPr>
            <w:r>
              <w:rPr>
                <w:rFonts w:ascii="Arial" w:hAnsi="Arial" w:cs="Arial"/>
                <w:color w:val="000000"/>
                <w:sz w:val="16"/>
                <w:szCs w:val="16"/>
              </w:rPr>
              <w:t>1</w:t>
            </w:r>
          </w:p>
        </w:tc>
        <w:tc>
          <w:tcPr>
            <w:tcW w:w="104" w:type="dxa"/>
            <w:tcBorders>
              <w:top w:val="nil"/>
              <w:left w:val="nil"/>
              <w:bottom w:val="nil"/>
              <w:right w:val="nil"/>
            </w:tcBorders>
            <w:shd w:val="clear" w:color="CFD4D8" w:fill="CFD4D8"/>
            <w:vAlign w:val="bottom"/>
          </w:tcPr>
          <w:p w:rsidR="00D92D97" w:rsidRDefault="00D92D97" w:rsidP="0073298C">
            <w:pPr>
              <w:spacing w:before="22" w:after="22"/>
              <w:ind w:left="22" w:right="22"/>
              <w:rPr>
                <w:color w:val="000000"/>
              </w:rPr>
            </w:pPr>
            <w:r>
              <w:rPr>
                <w:color w:val="000000"/>
              </w:rPr>
              <w:t> </w:t>
            </w:r>
          </w:p>
        </w:tc>
        <w:tc>
          <w:tcPr>
            <w:tcW w:w="1236" w:type="dxa"/>
            <w:tcBorders>
              <w:top w:val="nil"/>
              <w:left w:val="nil"/>
              <w:bottom w:val="nil"/>
              <w:right w:val="nil"/>
            </w:tcBorders>
            <w:shd w:val="clear" w:color="CFD4D8" w:fill="CFD4D8"/>
            <w:vAlign w:val="center"/>
          </w:tcPr>
          <w:p w:rsidR="00D92D97" w:rsidRDefault="00D92D97" w:rsidP="0073298C">
            <w:pPr>
              <w:spacing w:before="22" w:after="22"/>
              <w:ind w:left="22" w:right="22"/>
              <w:jc w:val="center"/>
              <w:rPr>
                <w:rFonts w:ascii="Arial" w:hAnsi="Arial" w:cs="Arial"/>
                <w:color w:val="000000"/>
                <w:sz w:val="16"/>
                <w:szCs w:val="16"/>
              </w:rPr>
            </w:pPr>
            <w:r>
              <w:rPr>
                <w:rFonts w:ascii="Arial" w:hAnsi="Arial" w:cs="Arial"/>
                <w:color w:val="000000"/>
                <w:sz w:val="16"/>
                <w:szCs w:val="16"/>
              </w:rPr>
              <w:t>1</w:t>
            </w:r>
          </w:p>
        </w:tc>
        <w:tc>
          <w:tcPr>
            <w:tcW w:w="104" w:type="dxa"/>
            <w:tcBorders>
              <w:top w:val="nil"/>
              <w:left w:val="nil"/>
              <w:bottom w:val="nil"/>
              <w:right w:val="nil"/>
            </w:tcBorders>
            <w:shd w:val="clear" w:color="CFD4D8" w:fill="CFD4D8"/>
            <w:vAlign w:val="bottom"/>
          </w:tcPr>
          <w:p w:rsidR="00D92D97" w:rsidRDefault="00D92D97" w:rsidP="0073298C">
            <w:pPr>
              <w:spacing w:before="22" w:after="22"/>
              <w:ind w:left="22" w:right="22"/>
              <w:rPr>
                <w:color w:val="000000"/>
              </w:rPr>
            </w:pPr>
            <w:r>
              <w:rPr>
                <w:color w:val="000000"/>
              </w:rPr>
              <w:t> </w:t>
            </w:r>
          </w:p>
        </w:tc>
        <w:tc>
          <w:tcPr>
            <w:tcW w:w="1240" w:type="dxa"/>
            <w:tcBorders>
              <w:top w:val="nil"/>
              <w:left w:val="nil"/>
              <w:bottom w:val="nil"/>
              <w:right w:val="nil"/>
            </w:tcBorders>
            <w:shd w:val="clear" w:color="CFD4D8" w:fill="CFD4D8"/>
            <w:vAlign w:val="center"/>
          </w:tcPr>
          <w:p w:rsidR="00D92D97" w:rsidRDefault="00D92D97" w:rsidP="0073298C">
            <w:pPr>
              <w:spacing w:before="22" w:after="22"/>
              <w:ind w:left="22" w:right="22"/>
              <w:rPr>
                <w:color w:val="000000"/>
              </w:rPr>
            </w:pPr>
          </w:p>
          <w:p w:rsidR="00D92D97" w:rsidRDefault="00D92D97" w:rsidP="0073298C">
            <w:pPr>
              <w:rPr>
                <w:sz w:val="16"/>
                <w:szCs w:val="16"/>
              </w:rPr>
            </w:pPr>
            <w:r>
              <w:rPr>
                <w:sz w:val="16"/>
                <w:szCs w:val="16"/>
              </w:rPr>
              <w:t> </w:t>
            </w:r>
          </w:p>
        </w:tc>
        <w:tc>
          <w:tcPr>
            <w:tcW w:w="104" w:type="dxa"/>
            <w:tcBorders>
              <w:top w:val="nil"/>
              <w:left w:val="nil"/>
              <w:bottom w:val="nil"/>
              <w:right w:val="nil"/>
            </w:tcBorders>
            <w:shd w:val="clear" w:color="CFD4D8" w:fill="CFD4D8"/>
            <w:vAlign w:val="bottom"/>
          </w:tcPr>
          <w:p w:rsidR="00D92D97" w:rsidRDefault="00D92D97" w:rsidP="0073298C">
            <w:pPr>
              <w:spacing w:before="22" w:after="22"/>
              <w:ind w:left="22" w:right="22"/>
              <w:rPr>
                <w:color w:val="000000"/>
              </w:rPr>
            </w:pPr>
            <w:r>
              <w:rPr>
                <w:color w:val="000000"/>
              </w:rPr>
              <w:t> </w:t>
            </w:r>
          </w:p>
        </w:tc>
        <w:tc>
          <w:tcPr>
            <w:tcW w:w="1244" w:type="dxa"/>
            <w:tcBorders>
              <w:top w:val="nil"/>
              <w:left w:val="nil"/>
              <w:bottom w:val="nil"/>
              <w:right w:val="nil"/>
            </w:tcBorders>
            <w:shd w:val="clear" w:color="CFD4D8" w:fill="CFD4D8"/>
            <w:vAlign w:val="center"/>
          </w:tcPr>
          <w:p w:rsidR="00D92D97" w:rsidRDefault="00D92D97" w:rsidP="0073298C">
            <w:pPr>
              <w:spacing w:before="22" w:after="22"/>
              <w:ind w:left="22" w:right="22"/>
              <w:jc w:val="center"/>
              <w:rPr>
                <w:rFonts w:ascii="Arial" w:hAnsi="Arial" w:cs="Arial"/>
                <w:color w:val="000000"/>
                <w:sz w:val="16"/>
                <w:szCs w:val="16"/>
              </w:rPr>
            </w:pPr>
            <w:r>
              <w:rPr>
                <w:rFonts w:ascii="Arial" w:hAnsi="Arial" w:cs="Arial"/>
                <w:color w:val="000000"/>
                <w:sz w:val="16"/>
                <w:szCs w:val="16"/>
              </w:rPr>
              <w:t>1</w:t>
            </w:r>
          </w:p>
        </w:tc>
        <w:tc>
          <w:tcPr>
            <w:tcW w:w="104" w:type="dxa"/>
            <w:tcBorders>
              <w:top w:val="nil"/>
              <w:left w:val="nil"/>
              <w:bottom w:val="nil"/>
              <w:right w:val="nil"/>
            </w:tcBorders>
            <w:shd w:val="clear" w:color="00467E" w:fill="00467E"/>
            <w:vAlign w:val="bottom"/>
          </w:tcPr>
          <w:p w:rsidR="00D92D97" w:rsidRDefault="00D92D97" w:rsidP="0073298C">
            <w:pPr>
              <w:spacing w:before="22" w:after="22"/>
              <w:ind w:left="22" w:right="22"/>
              <w:rPr>
                <w:color w:val="000000"/>
              </w:rPr>
            </w:pPr>
            <w:r>
              <w:rPr>
                <w:color w:val="000000"/>
              </w:rPr>
              <w:t> </w:t>
            </w:r>
          </w:p>
        </w:tc>
        <w:tc>
          <w:tcPr>
            <w:tcW w:w="1244" w:type="dxa"/>
            <w:tcBorders>
              <w:top w:val="nil"/>
              <w:left w:val="nil"/>
              <w:bottom w:val="nil"/>
              <w:right w:val="single" w:sz="6" w:space="0" w:color="00467E"/>
            </w:tcBorders>
            <w:shd w:val="clear" w:color="CFD4D8" w:fill="CFD4D8"/>
            <w:vAlign w:val="center"/>
          </w:tcPr>
          <w:p w:rsidR="00D92D97" w:rsidRDefault="00D92D97" w:rsidP="0073298C">
            <w:pPr>
              <w:spacing w:before="22" w:after="22"/>
              <w:ind w:left="22" w:right="22"/>
              <w:jc w:val="center"/>
              <w:rPr>
                <w:rFonts w:ascii="Arial" w:hAnsi="Arial" w:cs="Arial"/>
                <w:color w:val="000000"/>
                <w:sz w:val="16"/>
                <w:szCs w:val="16"/>
              </w:rPr>
            </w:pPr>
            <w:r>
              <w:rPr>
                <w:rFonts w:ascii="Arial" w:hAnsi="Arial" w:cs="Arial"/>
                <w:color w:val="000000"/>
                <w:sz w:val="16"/>
                <w:szCs w:val="16"/>
              </w:rPr>
              <w:t>3</w:t>
            </w:r>
          </w:p>
        </w:tc>
      </w:tr>
      <w:tr w:rsidR="00D92D97" w:rsidTr="00D92D97">
        <w:tblPrEx>
          <w:tblCellMar>
            <w:top w:w="0" w:type="dxa"/>
            <w:left w:w="0" w:type="dxa"/>
            <w:bottom w:w="0" w:type="dxa"/>
            <w:right w:w="0" w:type="dxa"/>
          </w:tblCellMar>
        </w:tblPrEx>
        <w:trPr>
          <w:trHeight w:val="281"/>
        </w:trPr>
        <w:tc>
          <w:tcPr>
            <w:tcW w:w="1058" w:type="dxa"/>
            <w:tcBorders>
              <w:top w:val="nil"/>
              <w:left w:val="single" w:sz="6" w:space="0" w:color="00467E"/>
              <w:bottom w:val="nil"/>
              <w:right w:val="nil"/>
            </w:tcBorders>
            <w:vAlign w:val="center"/>
          </w:tcPr>
          <w:p w:rsidR="00D92D97" w:rsidRDefault="00D92D97" w:rsidP="0073298C">
            <w:pPr>
              <w:spacing w:before="22" w:after="22"/>
              <w:ind w:left="22" w:right="22"/>
              <w:rPr>
                <w:rFonts w:ascii="Arial" w:hAnsi="Arial" w:cs="Arial"/>
                <w:b/>
                <w:bCs w:val="0"/>
                <w:i/>
                <w:iCs/>
                <w:color w:val="9D1B11"/>
                <w:sz w:val="16"/>
                <w:szCs w:val="16"/>
              </w:rPr>
            </w:pPr>
            <w:r>
              <w:rPr>
                <w:rFonts w:ascii="Arial" w:hAnsi="Arial" w:cs="Arial"/>
                <w:b/>
                <w:bCs w:val="0"/>
                <w:i/>
                <w:iCs/>
                <w:color w:val="9D1B11"/>
                <w:sz w:val="16"/>
                <w:szCs w:val="16"/>
              </w:rPr>
              <w:t>Virginia</w:t>
            </w:r>
          </w:p>
        </w:tc>
        <w:tc>
          <w:tcPr>
            <w:tcW w:w="104" w:type="dxa"/>
            <w:tcBorders>
              <w:top w:val="nil"/>
              <w:left w:val="nil"/>
              <w:bottom w:val="nil"/>
              <w:right w:val="nil"/>
            </w:tcBorders>
            <w:shd w:val="clear" w:color="00467E" w:fill="00467E"/>
            <w:vAlign w:val="bottom"/>
          </w:tcPr>
          <w:p w:rsidR="00D92D97" w:rsidRDefault="00D92D97" w:rsidP="0073298C">
            <w:pPr>
              <w:spacing w:before="22" w:after="22"/>
              <w:ind w:left="22" w:right="22"/>
              <w:rPr>
                <w:color w:val="000000"/>
              </w:rPr>
            </w:pPr>
            <w:r>
              <w:rPr>
                <w:color w:val="000000"/>
              </w:rPr>
              <w:t> </w:t>
            </w:r>
          </w:p>
        </w:tc>
        <w:tc>
          <w:tcPr>
            <w:tcW w:w="834" w:type="dxa"/>
            <w:tcBorders>
              <w:top w:val="nil"/>
              <w:left w:val="nil"/>
              <w:bottom w:val="nil"/>
              <w:right w:val="nil"/>
            </w:tcBorders>
            <w:vAlign w:val="center"/>
          </w:tcPr>
          <w:p w:rsidR="00D92D97" w:rsidRDefault="00D92D97" w:rsidP="0073298C">
            <w:pPr>
              <w:spacing w:before="22" w:after="22"/>
              <w:ind w:left="22" w:right="22"/>
              <w:jc w:val="center"/>
              <w:rPr>
                <w:rFonts w:ascii="Arial" w:hAnsi="Arial" w:cs="Arial"/>
                <w:color w:val="000000"/>
                <w:sz w:val="16"/>
                <w:szCs w:val="16"/>
              </w:rPr>
            </w:pPr>
            <w:r>
              <w:rPr>
                <w:rFonts w:ascii="Arial" w:hAnsi="Arial" w:cs="Arial"/>
                <w:color w:val="000000"/>
                <w:sz w:val="16"/>
                <w:szCs w:val="16"/>
              </w:rPr>
              <w:t>1</w:t>
            </w:r>
          </w:p>
        </w:tc>
        <w:tc>
          <w:tcPr>
            <w:tcW w:w="336" w:type="dxa"/>
            <w:tcBorders>
              <w:top w:val="nil"/>
              <w:left w:val="nil"/>
              <w:bottom w:val="nil"/>
              <w:right w:val="nil"/>
            </w:tcBorders>
            <w:vAlign w:val="bottom"/>
          </w:tcPr>
          <w:p w:rsidR="00D92D97" w:rsidRDefault="00D92D97" w:rsidP="0073298C">
            <w:pPr>
              <w:spacing w:before="22" w:after="22"/>
              <w:ind w:left="22" w:right="22"/>
              <w:rPr>
                <w:color w:val="000000"/>
              </w:rPr>
            </w:pPr>
            <w:r>
              <w:rPr>
                <w:color w:val="000000"/>
              </w:rPr>
              <w:t> </w:t>
            </w:r>
          </w:p>
        </w:tc>
        <w:tc>
          <w:tcPr>
            <w:tcW w:w="837" w:type="dxa"/>
            <w:tcBorders>
              <w:top w:val="nil"/>
              <w:left w:val="nil"/>
              <w:bottom w:val="nil"/>
              <w:right w:val="nil"/>
            </w:tcBorders>
            <w:vAlign w:val="center"/>
          </w:tcPr>
          <w:p w:rsidR="00D92D97" w:rsidRDefault="00D92D97" w:rsidP="0073298C">
            <w:pPr>
              <w:spacing w:before="22" w:after="22"/>
              <w:ind w:left="22" w:right="22"/>
              <w:rPr>
                <w:color w:val="000000"/>
              </w:rPr>
            </w:pPr>
          </w:p>
          <w:p w:rsidR="00D92D97" w:rsidRDefault="00D92D97" w:rsidP="0073298C">
            <w:pPr>
              <w:rPr>
                <w:sz w:val="16"/>
                <w:szCs w:val="16"/>
              </w:rPr>
            </w:pPr>
            <w:r>
              <w:rPr>
                <w:sz w:val="16"/>
                <w:szCs w:val="16"/>
              </w:rPr>
              <w:t> </w:t>
            </w:r>
          </w:p>
        </w:tc>
        <w:tc>
          <w:tcPr>
            <w:tcW w:w="104" w:type="dxa"/>
            <w:tcBorders>
              <w:top w:val="nil"/>
              <w:left w:val="nil"/>
              <w:bottom w:val="nil"/>
              <w:right w:val="nil"/>
            </w:tcBorders>
            <w:shd w:val="clear" w:color="00467E" w:fill="00467E"/>
            <w:vAlign w:val="bottom"/>
          </w:tcPr>
          <w:p w:rsidR="00D92D97" w:rsidRDefault="00D92D97" w:rsidP="0073298C">
            <w:pPr>
              <w:spacing w:before="22" w:after="22"/>
              <w:ind w:left="22" w:right="22"/>
              <w:rPr>
                <w:color w:val="000000"/>
              </w:rPr>
            </w:pPr>
            <w:r>
              <w:rPr>
                <w:color w:val="000000"/>
              </w:rPr>
              <w:t> </w:t>
            </w:r>
          </w:p>
        </w:tc>
        <w:tc>
          <w:tcPr>
            <w:tcW w:w="1241" w:type="dxa"/>
            <w:tcBorders>
              <w:top w:val="nil"/>
              <w:left w:val="nil"/>
              <w:bottom w:val="nil"/>
              <w:right w:val="nil"/>
            </w:tcBorders>
            <w:vAlign w:val="center"/>
          </w:tcPr>
          <w:p w:rsidR="00D92D97" w:rsidRDefault="00D92D97" w:rsidP="0073298C">
            <w:pPr>
              <w:spacing w:before="22" w:after="22"/>
              <w:ind w:left="22" w:right="22"/>
              <w:rPr>
                <w:color w:val="000000"/>
              </w:rPr>
            </w:pPr>
          </w:p>
          <w:p w:rsidR="00D92D97" w:rsidRDefault="00D92D97" w:rsidP="0073298C">
            <w:pPr>
              <w:rPr>
                <w:sz w:val="16"/>
                <w:szCs w:val="16"/>
              </w:rPr>
            </w:pPr>
            <w:r>
              <w:rPr>
                <w:sz w:val="16"/>
                <w:szCs w:val="16"/>
              </w:rPr>
              <w:t> </w:t>
            </w:r>
          </w:p>
        </w:tc>
        <w:tc>
          <w:tcPr>
            <w:tcW w:w="104" w:type="dxa"/>
            <w:tcBorders>
              <w:top w:val="nil"/>
              <w:left w:val="nil"/>
              <w:bottom w:val="nil"/>
              <w:right w:val="nil"/>
            </w:tcBorders>
            <w:vAlign w:val="bottom"/>
          </w:tcPr>
          <w:p w:rsidR="00D92D97" w:rsidRDefault="00D92D97" w:rsidP="0073298C">
            <w:pPr>
              <w:spacing w:before="22" w:after="22"/>
              <w:ind w:left="22" w:right="22"/>
              <w:rPr>
                <w:color w:val="000000"/>
              </w:rPr>
            </w:pPr>
            <w:r>
              <w:rPr>
                <w:color w:val="000000"/>
              </w:rPr>
              <w:t> </w:t>
            </w:r>
          </w:p>
        </w:tc>
        <w:tc>
          <w:tcPr>
            <w:tcW w:w="1236" w:type="dxa"/>
            <w:tcBorders>
              <w:top w:val="nil"/>
              <w:left w:val="nil"/>
              <w:bottom w:val="nil"/>
              <w:right w:val="nil"/>
            </w:tcBorders>
            <w:vAlign w:val="center"/>
          </w:tcPr>
          <w:p w:rsidR="00D92D97" w:rsidRDefault="00D92D97" w:rsidP="0073298C">
            <w:pPr>
              <w:spacing w:before="22" w:after="22"/>
              <w:ind w:left="22" w:right="22"/>
              <w:jc w:val="center"/>
              <w:rPr>
                <w:rFonts w:ascii="Arial" w:hAnsi="Arial" w:cs="Arial"/>
                <w:color w:val="000000"/>
                <w:sz w:val="16"/>
                <w:szCs w:val="16"/>
              </w:rPr>
            </w:pPr>
            <w:r>
              <w:rPr>
                <w:rFonts w:ascii="Arial" w:hAnsi="Arial" w:cs="Arial"/>
                <w:color w:val="000000"/>
                <w:sz w:val="16"/>
                <w:szCs w:val="16"/>
              </w:rPr>
              <w:t>1</w:t>
            </w:r>
          </w:p>
        </w:tc>
        <w:tc>
          <w:tcPr>
            <w:tcW w:w="104" w:type="dxa"/>
            <w:tcBorders>
              <w:top w:val="nil"/>
              <w:left w:val="nil"/>
              <w:bottom w:val="nil"/>
              <w:right w:val="nil"/>
            </w:tcBorders>
            <w:vAlign w:val="bottom"/>
          </w:tcPr>
          <w:p w:rsidR="00D92D97" w:rsidRDefault="00D92D97" w:rsidP="0073298C">
            <w:pPr>
              <w:spacing w:before="22" w:after="22"/>
              <w:ind w:left="22" w:right="22"/>
              <w:rPr>
                <w:color w:val="000000"/>
              </w:rPr>
            </w:pPr>
            <w:r>
              <w:rPr>
                <w:color w:val="000000"/>
              </w:rPr>
              <w:t> </w:t>
            </w:r>
          </w:p>
        </w:tc>
        <w:tc>
          <w:tcPr>
            <w:tcW w:w="1240" w:type="dxa"/>
            <w:tcBorders>
              <w:top w:val="nil"/>
              <w:left w:val="nil"/>
              <w:bottom w:val="nil"/>
              <w:right w:val="nil"/>
            </w:tcBorders>
            <w:vAlign w:val="center"/>
          </w:tcPr>
          <w:p w:rsidR="00D92D97" w:rsidRDefault="00D92D97" w:rsidP="0073298C">
            <w:pPr>
              <w:spacing w:before="22" w:after="22"/>
              <w:ind w:left="22" w:right="22"/>
              <w:rPr>
                <w:color w:val="000000"/>
              </w:rPr>
            </w:pPr>
          </w:p>
          <w:p w:rsidR="00D92D97" w:rsidRDefault="00D92D97" w:rsidP="0073298C">
            <w:pPr>
              <w:rPr>
                <w:sz w:val="16"/>
                <w:szCs w:val="16"/>
              </w:rPr>
            </w:pPr>
            <w:r>
              <w:rPr>
                <w:sz w:val="16"/>
                <w:szCs w:val="16"/>
              </w:rPr>
              <w:t> </w:t>
            </w:r>
          </w:p>
        </w:tc>
        <w:tc>
          <w:tcPr>
            <w:tcW w:w="104" w:type="dxa"/>
            <w:tcBorders>
              <w:top w:val="nil"/>
              <w:left w:val="nil"/>
              <w:bottom w:val="nil"/>
              <w:right w:val="nil"/>
            </w:tcBorders>
            <w:vAlign w:val="bottom"/>
          </w:tcPr>
          <w:p w:rsidR="00D92D97" w:rsidRDefault="00D92D97" w:rsidP="0073298C">
            <w:pPr>
              <w:spacing w:before="22" w:after="22"/>
              <w:ind w:left="22" w:right="22"/>
              <w:rPr>
                <w:color w:val="000000"/>
              </w:rPr>
            </w:pPr>
            <w:r>
              <w:rPr>
                <w:color w:val="000000"/>
              </w:rPr>
              <w:t> </w:t>
            </w:r>
          </w:p>
        </w:tc>
        <w:tc>
          <w:tcPr>
            <w:tcW w:w="1244" w:type="dxa"/>
            <w:tcBorders>
              <w:top w:val="nil"/>
              <w:left w:val="nil"/>
              <w:bottom w:val="nil"/>
              <w:right w:val="nil"/>
            </w:tcBorders>
            <w:vAlign w:val="center"/>
          </w:tcPr>
          <w:p w:rsidR="00D92D97" w:rsidRDefault="00D92D97" w:rsidP="0073298C">
            <w:pPr>
              <w:spacing w:before="22" w:after="22"/>
              <w:ind w:left="22" w:right="22"/>
              <w:rPr>
                <w:color w:val="000000"/>
              </w:rPr>
            </w:pPr>
          </w:p>
          <w:p w:rsidR="00D92D97" w:rsidRDefault="00D92D97" w:rsidP="0073298C">
            <w:pPr>
              <w:rPr>
                <w:sz w:val="16"/>
                <w:szCs w:val="16"/>
              </w:rPr>
            </w:pPr>
            <w:r>
              <w:rPr>
                <w:sz w:val="16"/>
                <w:szCs w:val="16"/>
              </w:rPr>
              <w:t> </w:t>
            </w:r>
          </w:p>
        </w:tc>
        <w:tc>
          <w:tcPr>
            <w:tcW w:w="104" w:type="dxa"/>
            <w:tcBorders>
              <w:top w:val="nil"/>
              <w:left w:val="nil"/>
              <w:bottom w:val="nil"/>
              <w:right w:val="nil"/>
            </w:tcBorders>
            <w:shd w:val="clear" w:color="00467E" w:fill="00467E"/>
            <w:vAlign w:val="bottom"/>
          </w:tcPr>
          <w:p w:rsidR="00D92D97" w:rsidRDefault="00D92D97" w:rsidP="0073298C">
            <w:pPr>
              <w:spacing w:before="22" w:after="22"/>
              <w:ind w:left="22" w:right="22"/>
              <w:rPr>
                <w:color w:val="000000"/>
              </w:rPr>
            </w:pPr>
            <w:r>
              <w:rPr>
                <w:color w:val="000000"/>
              </w:rPr>
              <w:t> </w:t>
            </w:r>
          </w:p>
        </w:tc>
        <w:tc>
          <w:tcPr>
            <w:tcW w:w="1244" w:type="dxa"/>
            <w:tcBorders>
              <w:top w:val="nil"/>
              <w:left w:val="nil"/>
              <w:bottom w:val="nil"/>
              <w:right w:val="single" w:sz="6" w:space="0" w:color="00467E"/>
            </w:tcBorders>
            <w:vAlign w:val="center"/>
          </w:tcPr>
          <w:p w:rsidR="00D92D97" w:rsidRDefault="00D92D97" w:rsidP="0073298C">
            <w:pPr>
              <w:spacing w:before="22" w:after="22"/>
              <w:ind w:left="22" w:right="22"/>
              <w:jc w:val="center"/>
              <w:rPr>
                <w:rFonts w:ascii="Arial" w:hAnsi="Arial" w:cs="Arial"/>
                <w:color w:val="000000"/>
                <w:sz w:val="16"/>
                <w:szCs w:val="16"/>
              </w:rPr>
            </w:pPr>
            <w:r>
              <w:rPr>
                <w:rFonts w:ascii="Arial" w:hAnsi="Arial" w:cs="Arial"/>
                <w:color w:val="000000"/>
                <w:sz w:val="16"/>
                <w:szCs w:val="16"/>
              </w:rPr>
              <w:t>1</w:t>
            </w:r>
          </w:p>
        </w:tc>
      </w:tr>
      <w:tr w:rsidR="00D92D97" w:rsidTr="00D92D97">
        <w:tblPrEx>
          <w:tblCellMar>
            <w:top w:w="0" w:type="dxa"/>
            <w:left w:w="0" w:type="dxa"/>
            <w:bottom w:w="0" w:type="dxa"/>
            <w:right w:w="0" w:type="dxa"/>
          </w:tblCellMar>
        </w:tblPrEx>
        <w:trPr>
          <w:trHeight w:val="281"/>
        </w:trPr>
        <w:tc>
          <w:tcPr>
            <w:tcW w:w="1058" w:type="dxa"/>
            <w:tcBorders>
              <w:top w:val="nil"/>
              <w:left w:val="single" w:sz="6" w:space="0" w:color="00467E"/>
              <w:bottom w:val="nil"/>
              <w:right w:val="nil"/>
            </w:tcBorders>
            <w:shd w:val="clear" w:color="CFD4D8" w:fill="CFD4D8"/>
            <w:vAlign w:val="center"/>
          </w:tcPr>
          <w:p w:rsidR="00D92D97" w:rsidRDefault="00D92D97" w:rsidP="0073298C">
            <w:pPr>
              <w:spacing w:before="22" w:after="22"/>
              <w:ind w:left="22" w:right="22"/>
              <w:rPr>
                <w:rFonts w:ascii="Arial" w:hAnsi="Arial" w:cs="Arial"/>
                <w:b/>
                <w:bCs w:val="0"/>
                <w:i/>
                <w:iCs/>
                <w:color w:val="9D1B11"/>
                <w:sz w:val="16"/>
                <w:szCs w:val="16"/>
              </w:rPr>
            </w:pPr>
            <w:r>
              <w:rPr>
                <w:rFonts w:ascii="Arial" w:hAnsi="Arial" w:cs="Arial"/>
                <w:b/>
                <w:bCs w:val="0"/>
                <w:i/>
                <w:iCs/>
                <w:color w:val="9D1B11"/>
                <w:sz w:val="16"/>
                <w:szCs w:val="16"/>
              </w:rPr>
              <w:t>Washington</w:t>
            </w:r>
          </w:p>
        </w:tc>
        <w:tc>
          <w:tcPr>
            <w:tcW w:w="104" w:type="dxa"/>
            <w:tcBorders>
              <w:top w:val="nil"/>
              <w:left w:val="nil"/>
              <w:bottom w:val="nil"/>
              <w:right w:val="nil"/>
            </w:tcBorders>
            <w:shd w:val="clear" w:color="00467E" w:fill="00467E"/>
            <w:vAlign w:val="bottom"/>
          </w:tcPr>
          <w:p w:rsidR="00D92D97" w:rsidRDefault="00D92D97" w:rsidP="0073298C">
            <w:pPr>
              <w:spacing w:before="22" w:after="22"/>
              <w:ind w:left="22" w:right="22"/>
              <w:rPr>
                <w:color w:val="000000"/>
              </w:rPr>
            </w:pPr>
            <w:r>
              <w:rPr>
                <w:color w:val="000000"/>
              </w:rPr>
              <w:t> </w:t>
            </w:r>
          </w:p>
        </w:tc>
        <w:tc>
          <w:tcPr>
            <w:tcW w:w="834" w:type="dxa"/>
            <w:tcBorders>
              <w:top w:val="nil"/>
              <w:left w:val="nil"/>
              <w:bottom w:val="nil"/>
              <w:right w:val="nil"/>
            </w:tcBorders>
            <w:shd w:val="clear" w:color="CFD4D8" w:fill="CFD4D8"/>
            <w:vAlign w:val="center"/>
          </w:tcPr>
          <w:p w:rsidR="00D92D97" w:rsidRDefault="00D92D97" w:rsidP="0073298C">
            <w:pPr>
              <w:spacing w:before="22" w:after="22"/>
              <w:ind w:left="22" w:right="22"/>
              <w:jc w:val="center"/>
              <w:rPr>
                <w:rFonts w:ascii="Arial" w:hAnsi="Arial" w:cs="Arial"/>
                <w:color w:val="000000"/>
                <w:sz w:val="16"/>
                <w:szCs w:val="16"/>
              </w:rPr>
            </w:pPr>
            <w:r>
              <w:rPr>
                <w:rFonts w:ascii="Arial" w:hAnsi="Arial" w:cs="Arial"/>
                <w:color w:val="000000"/>
                <w:sz w:val="16"/>
                <w:szCs w:val="16"/>
              </w:rPr>
              <w:t>2</w:t>
            </w:r>
          </w:p>
        </w:tc>
        <w:tc>
          <w:tcPr>
            <w:tcW w:w="336" w:type="dxa"/>
            <w:tcBorders>
              <w:top w:val="nil"/>
              <w:left w:val="nil"/>
              <w:bottom w:val="nil"/>
              <w:right w:val="nil"/>
            </w:tcBorders>
            <w:shd w:val="clear" w:color="CFD4D8" w:fill="CFD4D8"/>
            <w:vAlign w:val="bottom"/>
          </w:tcPr>
          <w:p w:rsidR="00D92D97" w:rsidRDefault="00D92D97" w:rsidP="0073298C">
            <w:pPr>
              <w:spacing w:before="22" w:after="22"/>
              <w:ind w:left="22" w:right="22"/>
              <w:rPr>
                <w:color w:val="000000"/>
              </w:rPr>
            </w:pPr>
            <w:r>
              <w:rPr>
                <w:color w:val="000000"/>
              </w:rPr>
              <w:t> </w:t>
            </w:r>
          </w:p>
        </w:tc>
        <w:tc>
          <w:tcPr>
            <w:tcW w:w="837" w:type="dxa"/>
            <w:tcBorders>
              <w:top w:val="nil"/>
              <w:left w:val="nil"/>
              <w:bottom w:val="nil"/>
              <w:right w:val="nil"/>
            </w:tcBorders>
            <w:shd w:val="clear" w:color="CFD4D8" w:fill="CFD4D8"/>
            <w:vAlign w:val="center"/>
          </w:tcPr>
          <w:p w:rsidR="00D92D97" w:rsidRDefault="00D92D97" w:rsidP="0073298C">
            <w:pPr>
              <w:spacing w:before="22" w:after="22"/>
              <w:ind w:left="22" w:right="22"/>
              <w:rPr>
                <w:color w:val="000000"/>
              </w:rPr>
            </w:pPr>
          </w:p>
          <w:p w:rsidR="00D92D97" w:rsidRDefault="00D92D97" w:rsidP="0073298C">
            <w:pPr>
              <w:rPr>
                <w:sz w:val="16"/>
                <w:szCs w:val="16"/>
              </w:rPr>
            </w:pPr>
            <w:r>
              <w:rPr>
                <w:sz w:val="16"/>
                <w:szCs w:val="16"/>
              </w:rPr>
              <w:t> </w:t>
            </w:r>
          </w:p>
        </w:tc>
        <w:tc>
          <w:tcPr>
            <w:tcW w:w="104" w:type="dxa"/>
            <w:tcBorders>
              <w:top w:val="nil"/>
              <w:left w:val="nil"/>
              <w:bottom w:val="nil"/>
              <w:right w:val="nil"/>
            </w:tcBorders>
            <w:shd w:val="clear" w:color="00467E" w:fill="00467E"/>
            <w:vAlign w:val="bottom"/>
          </w:tcPr>
          <w:p w:rsidR="00D92D97" w:rsidRDefault="00D92D97" w:rsidP="0073298C">
            <w:pPr>
              <w:spacing w:before="22" w:after="22"/>
              <w:ind w:left="22" w:right="22"/>
              <w:rPr>
                <w:color w:val="000000"/>
              </w:rPr>
            </w:pPr>
            <w:r>
              <w:rPr>
                <w:color w:val="000000"/>
              </w:rPr>
              <w:t> </w:t>
            </w:r>
          </w:p>
        </w:tc>
        <w:tc>
          <w:tcPr>
            <w:tcW w:w="1241" w:type="dxa"/>
            <w:tcBorders>
              <w:top w:val="nil"/>
              <w:left w:val="nil"/>
              <w:bottom w:val="nil"/>
              <w:right w:val="nil"/>
            </w:tcBorders>
            <w:shd w:val="clear" w:color="CFD4D8" w:fill="CFD4D8"/>
            <w:vAlign w:val="center"/>
          </w:tcPr>
          <w:p w:rsidR="00D92D97" w:rsidRDefault="00D92D97" w:rsidP="0073298C">
            <w:pPr>
              <w:spacing w:before="22" w:after="22"/>
              <w:ind w:left="22" w:right="22"/>
              <w:jc w:val="center"/>
              <w:rPr>
                <w:rFonts w:ascii="Arial" w:hAnsi="Arial" w:cs="Arial"/>
                <w:color w:val="000000"/>
                <w:sz w:val="16"/>
                <w:szCs w:val="16"/>
              </w:rPr>
            </w:pPr>
            <w:r>
              <w:rPr>
                <w:rFonts w:ascii="Arial" w:hAnsi="Arial" w:cs="Arial"/>
                <w:color w:val="000000"/>
                <w:sz w:val="16"/>
                <w:szCs w:val="16"/>
              </w:rPr>
              <w:t>1</w:t>
            </w:r>
          </w:p>
        </w:tc>
        <w:tc>
          <w:tcPr>
            <w:tcW w:w="104" w:type="dxa"/>
            <w:tcBorders>
              <w:top w:val="nil"/>
              <w:left w:val="nil"/>
              <w:bottom w:val="nil"/>
              <w:right w:val="nil"/>
            </w:tcBorders>
            <w:shd w:val="clear" w:color="CFD4D8" w:fill="CFD4D8"/>
            <w:vAlign w:val="bottom"/>
          </w:tcPr>
          <w:p w:rsidR="00D92D97" w:rsidRDefault="00D92D97" w:rsidP="0073298C">
            <w:pPr>
              <w:spacing w:before="22" w:after="22"/>
              <w:ind w:left="22" w:right="22"/>
              <w:rPr>
                <w:color w:val="000000"/>
              </w:rPr>
            </w:pPr>
            <w:r>
              <w:rPr>
                <w:color w:val="000000"/>
              </w:rPr>
              <w:t> </w:t>
            </w:r>
          </w:p>
        </w:tc>
        <w:tc>
          <w:tcPr>
            <w:tcW w:w="1236" w:type="dxa"/>
            <w:tcBorders>
              <w:top w:val="nil"/>
              <w:left w:val="nil"/>
              <w:bottom w:val="nil"/>
              <w:right w:val="nil"/>
            </w:tcBorders>
            <w:shd w:val="clear" w:color="CFD4D8" w:fill="CFD4D8"/>
            <w:vAlign w:val="center"/>
          </w:tcPr>
          <w:p w:rsidR="00D92D97" w:rsidRDefault="00D92D97" w:rsidP="0073298C">
            <w:pPr>
              <w:spacing w:before="22" w:after="22"/>
              <w:ind w:left="22" w:right="22"/>
              <w:jc w:val="center"/>
              <w:rPr>
                <w:rFonts w:ascii="Arial" w:hAnsi="Arial" w:cs="Arial"/>
                <w:color w:val="000000"/>
                <w:sz w:val="16"/>
                <w:szCs w:val="16"/>
              </w:rPr>
            </w:pPr>
            <w:r>
              <w:rPr>
                <w:rFonts w:ascii="Arial" w:hAnsi="Arial" w:cs="Arial"/>
                <w:color w:val="000000"/>
                <w:sz w:val="16"/>
                <w:szCs w:val="16"/>
              </w:rPr>
              <w:t>1</w:t>
            </w:r>
          </w:p>
        </w:tc>
        <w:tc>
          <w:tcPr>
            <w:tcW w:w="104" w:type="dxa"/>
            <w:tcBorders>
              <w:top w:val="nil"/>
              <w:left w:val="nil"/>
              <w:bottom w:val="nil"/>
              <w:right w:val="nil"/>
            </w:tcBorders>
            <w:shd w:val="clear" w:color="CFD4D8" w:fill="CFD4D8"/>
            <w:vAlign w:val="bottom"/>
          </w:tcPr>
          <w:p w:rsidR="00D92D97" w:rsidRDefault="00D92D97" w:rsidP="0073298C">
            <w:pPr>
              <w:spacing w:before="22" w:after="22"/>
              <w:ind w:left="22" w:right="22"/>
              <w:rPr>
                <w:color w:val="000000"/>
              </w:rPr>
            </w:pPr>
            <w:r>
              <w:rPr>
                <w:color w:val="000000"/>
              </w:rPr>
              <w:t> </w:t>
            </w:r>
          </w:p>
        </w:tc>
        <w:tc>
          <w:tcPr>
            <w:tcW w:w="1240" w:type="dxa"/>
            <w:tcBorders>
              <w:top w:val="nil"/>
              <w:left w:val="nil"/>
              <w:bottom w:val="nil"/>
              <w:right w:val="nil"/>
            </w:tcBorders>
            <w:shd w:val="clear" w:color="CFD4D8" w:fill="CFD4D8"/>
            <w:vAlign w:val="center"/>
          </w:tcPr>
          <w:p w:rsidR="00D92D97" w:rsidRDefault="00D92D97" w:rsidP="0073298C">
            <w:pPr>
              <w:spacing w:before="22" w:after="22"/>
              <w:ind w:left="22" w:right="22"/>
              <w:rPr>
                <w:color w:val="000000"/>
              </w:rPr>
            </w:pPr>
          </w:p>
          <w:p w:rsidR="00D92D97" w:rsidRDefault="00D92D97" w:rsidP="0073298C">
            <w:pPr>
              <w:rPr>
                <w:sz w:val="16"/>
                <w:szCs w:val="16"/>
              </w:rPr>
            </w:pPr>
            <w:r>
              <w:rPr>
                <w:sz w:val="16"/>
                <w:szCs w:val="16"/>
              </w:rPr>
              <w:t> </w:t>
            </w:r>
          </w:p>
        </w:tc>
        <w:tc>
          <w:tcPr>
            <w:tcW w:w="104" w:type="dxa"/>
            <w:tcBorders>
              <w:top w:val="nil"/>
              <w:left w:val="nil"/>
              <w:bottom w:val="nil"/>
              <w:right w:val="nil"/>
            </w:tcBorders>
            <w:shd w:val="clear" w:color="CFD4D8" w:fill="CFD4D8"/>
            <w:vAlign w:val="bottom"/>
          </w:tcPr>
          <w:p w:rsidR="00D92D97" w:rsidRDefault="00D92D97" w:rsidP="0073298C">
            <w:pPr>
              <w:spacing w:before="22" w:after="22"/>
              <w:ind w:left="22" w:right="22"/>
              <w:rPr>
                <w:color w:val="000000"/>
              </w:rPr>
            </w:pPr>
            <w:r>
              <w:rPr>
                <w:color w:val="000000"/>
              </w:rPr>
              <w:t> </w:t>
            </w:r>
          </w:p>
        </w:tc>
        <w:tc>
          <w:tcPr>
            <w:tcW w:w="1244" w:type="dxa"/>
            <w:tcBorders>
              <w:top w:val="nil"/>
              <w:left w:val="nil"/>
              <w:bottom w:val="nil"/>
              <w:right w:val="nil"/>
            </w:tcBorders>
            <w:shd w:val="clear" w:color="CFD4D8" w:fill="CFD4D8"/>
            <w:vAlign w:val="center"/>
          </w:tcPr>
          <w:p w:rsidR="00D92D97" w:rsidRDefault="00D92D97" w:rsidP="0073298C">
            <w:pPr>
              <w:spacing w:before="22" w:after="22"/>
              <w:ind w:left="22" w:right="22"/>
              <w:rPr>
                <w:color w:val="000000"/>
              </w:rPr>
            </w:pPr>
          </w:p>
          <w:p w:rsidR="00D92D97" w:rsidRDefault="00D92D97" w:rsidP="0073298C">
            <w:pPr>
              <w:rPr>
                <w:sz w:val="16"/>
                <w:szCs w:val="16"/>
              </w:rPr>
            </w:pPr>
            <w:r>
              <w:rPr>
                <w:sz w:val="16"/>
                <w:szCs w:val="16"/>
              </w:rPr>
              <w:t> </w:t>
            </w:r>
          </w:p>
        </w:tc>
        <w:tc>
          <w:tcPr>
            <w:tcW w:w="104" w:type="dxa"/>
            <w:tcBorders>
              <w:top w:val="nil"/>
              <w:left w:val="nil"/>
              <w:bottom w:val="nil"/>
              <w:right w:val="nil"/>
            </w:tcBorders>
            <w:shd w:val="clear" w:color="00467E" w:fill="00467E"/>
            <w:vAlign w:val="bottom"/>
          </w:tcPr>
          <w:p w:rsidR="00D92D97" w:rsidRDefault="00D92D97" w:rsidP="0073298C">
            <w:pPr>
              <w:spacing w:before="22" w:after="22"/>
              <w:ind w:left="22" w:right="22"/>
              <w:rPr>
                <w:color w:val="000000"/>
              </w:rPr>
            </w:pPr>
            <w:r>
              <w:rPr>
                <w:color w:val="000000"/>
              </w:rPr>
              <w:t> </w:t>
            </w:r>
          </w:p>
        </w:tc>
        <w:tc>
          <w:tcPr>
            <w:tcW w:w="1244" w:type="dxa"/>
            <w:tcBorders>
              <w:top w:val="nil"/>
              <w:left w:val="nil"/>
              <w:bottom w:val="nil"/>
              <w:right w:val="single" w:sz="6" w:space="0" w:color="00467E"/>
            </w:tcBorders>
            <w:shd w:val="clear" w:color="CFD4D8" w:fill="CFD4D8"/>
            <w:vAlign w:val="center"/>
          </w:tcPr>
          <w:p w:rsidR="00D92D97" w:rsidRDefault="00D92D97" w:rsidP="0073298C">
            <w:pPr>
              <w:spacing w:before="22" w:after="22"/>
              <w:ind w:left="22" w:right="22"/>
              <w:jc w:val="center"/>
              <w:rPr>
                <w:rFonts w:ascii="Arial" w:hAnsi="Arial" w:cs="Arial"/>
                <w:color w:val="000000"/>
                <w:sz w:val="16"/>
                <w:szCs w:val="16"/>
              </w:rPr>
            </w:pPr>
            <w:r>
              <w:rPr>
                <w:rFonts w:ascii="Arial" w:hAnsi="Arial" w:cs="Arial"/>
                <w:color w:val="000000"/>
                <w:sz w:val="16"/>
                <w:szCs w:val="16"/>
              </w:rPr>
              <w:t>2</w:t>
            </w:r>
          </w:p>
        </w:tc>
      </w:tr>
      <w:tr w:rsidR="00D92D97" w:rsidTr="00D92D97">
        <w:tblPrEx>
          <w:tblCellMar>
            <w:top w:w="0" w:type="dxa"/>
            <w:left w:w="0" w:type="dxa"/>
            <w:bottom w:w="0" w:type="dxa"/>
            <w:right w:w="0" w:type="dxa"/>
          </w:tblCellMar>
        </w:tblPrEx>
        <w:trPr>
          <w:trHeight w:val="281"/>
        </w:trPr>
        <w:tc>
          <w:tcPr>
            <w:tcW w:w="1058" w:type="dxa"/>
            <w:tcBorders>
              <w:top w:val="nil"/>
              <w:left w:val="single" w:sz="6" w:space="0" w:color="00467E"/>
              <w:bottom w:val="nil"/>
              <w:right w:val="nil"/>
            </w:tcBorders>
            <w:vAlign w:val="center"/>
          </w:tcPr>
          <w:p w:rsidR="00D92D97" w:rsidRDefault="00D92D97" w:rsidP="0073298C">
            <w:pPr>
              <w:spacing w:before="22" w:after="22"/>
              <w:ind w:left="22" w:right="22"/>
              <w:rPr>
                <w:rFonts w:ascii="Arial" w:hAnsi="Arial" w:cs="Arial"/>
                <w:b/>
                <w:bCs w:val="0"/>
                <w:i/>
                <w:iCs/>
                <w:color w:val="9D1B11"/>
                <w:sz w:val="16"/>
                <w:szCs w:val="16"/>
              </w:rPr>
            </w:pPr>
            <w:r>
              <w:rPr>
                <w:rFonts w:ascii="Arial" w:hAnsi="Arial" w:cs="Arial"/>
                <w:b/>
                <w:bCs w:val="0"/>
                <w:i/>
                <w:iCs/>
                <w:color w:val="9D1B11"/>
                <w:sz w:val="16"/>
                <w:szCs w:val="16"/>
              </w:rPr>
              <w:t>West Virginia</w:t>
            </w:r>
          </w:p>
        </w:tc>
        <w:tc>
          <w:tcPr>
            <w:tcW w:w="104" w:type="dxa"/>
            <w:tcBorders>
              <w:top w:val="nil"/>
              <w:left w:val="nil"/>
              <w:bottom w:val="nil"/>
              <w:right w:val="nil"/>
            </w:tcBorders>
            <w:shd w:val="clear" w:color="00467E" w:fill="00467E"/>
            <w:vAlign w:val="bottom"/>
          </w:tcPr>
          <w:p w:rsidR="00D92D97" w:rsidRDefault="00D92D97" w:rsidP="0073298C">
            <w:pPr>
              <w:spacing w:before="22" w:after="22"/>
              <w:ind w:left="22" w:right="22"/>
              <w:rPr>
                <w:color w:val="000000"/>
              </w:rPr>
            </w:pPr>
            <w:r>
              <w:rPr>
                <w:color w:val="000000"/>
              </w:rPr>
              <w:t> </w:t>
            </w:r>
          </w:p>
        </w:tc>
        <w:tc>
          <w:tcPr>
            <w:tcW w:w="834" w:type="dxa"/>
            <w:tcBorders>
              <w:top w:val="nil"/>
              <w:left w:val="nil"/>
              <w:bottom w:val="nil"/>
              <w:right w:val="nil"/>
            </w:tcBorders>
            <w:vAlign w:val="center"/>
          </w:tcPr>
          <w:p w:rsidR="00D92D97" w:rsidRDefault="00D92D97" w:rsidP="0073298C">
            <w:pPr>
              <w:spacing w:before="22" w:after="22"/>
              <w:ind w:left="22" w:right="22"/>
              <w:jc w:val="center"/>
              <w:rPr>
                <w:rFonts w:ascii="Arial" w:hAnsi="Arial" w:cs="Arial"/>
                <w:color w:val="000000"/>
                <w:sz w:val="16"/>
                <w:szCs w:val="16"/>
              </w:rPr>
            </w:pPr>
            <w:r>
              <w:rPr>
                <w:rFonts w:ascii="Arial" w:hAnsi="Arial" w:cs="Arial"/>
                <w:color w:val="000000"/>
                <w:sz w:val="16"/>
                <w:szCs w:val="16"/>
              </w:rPr>
              <w:t>1</w:t>
            </w:r>
          </w:p>
        </w:tc>
        <w:tc>
          <w:tcPr>
            <w:tcW w:w="336" w:type="dxa"/>
            <w:tcBorders>
              <w:top w:val="nil"/>
              <w:left w:val="nil"/>
              <w:bottom w:val="nil"/>
              <w:right w:val="nil"/>
            </w:tcBorders>
            <w:vAlign w:val="bottom"/>
          </w:tcPr>
          <w:p w:rsidR="00D92D97" w:rsidRDefault="00D92D97" w:rsidP="0073298C">
            <w:pPr>
              <w:spacing w:before="22" w:after="22"/>
              <w:ind w:left="22" w:right="22"/>
              <w:rPr>
                <w:color w:val="000000"/>
              </w:rPr>
            </w:pPr>
            <w:r>
              <w:rPr>
                <w:color w:val="000000"/>
              </w:rPr>
              <w:t> </w:t>
            </w:r>
          </w:p>
        </w:tc>
        <w:tc>
          <w:tcPr>
            <w:tcW w:w="837" w:type="dxa"/>
            <w:tcBorders>
              <w:top w:val="nil"/>
              <w:left w:val="nil"/>
              <w:bottom w:val="nil"/>
              <w:right w:val="nil"/>
            </w:tcBorders>
            <w:vAlign w:val="center"/>
          </w:tcPr>
          <w:p w:rsidR="00D92D97" w:rsidRDefault="00D92D97" w:rsidP="0073298C">
            <w:pPr>
              <w:spacing w:before="22" w:after="22"/>
              <w:ind w:left="22" w:right="22"/>
              <w:rPr>
                <w:color w:val="000000"/>
              </w:rPr>
            </w:pPr>
          </w:p>
          <w:p w:rsidR="00D92D97" w:rsidRDefault="00D92D97" w:rsidP="0073298C">
            <w:pPr>
              <w:rPr>
                <w:sz w:val="16"/>
                <w:szCs w:val="16"/>
              </w:rPr>
            </w:pPr>
            <w:r>
              <w:rPr>
                <w:sz w:val="16"/>
                <w:szCs w:val="16"/>
              </w:rPr>
              <w:t> </w:t>
            </w:r>
          </w:p>
        </w:tc>
        <w:tc>
          <w:tcPr>
            <w:tcW w:w="104" w:type="dxa"/>
            <w:tcBorders>
              <w:top w:val="nil"/>
              <w:left w:val="nil"/>
              <w:bottom w:val="nil"/>
              <w:right w:val="nil"/>
            </w:tcBorders>
            <w:shd w:val="clear" w:color="00467E" w:fill="00467E"/>
            <w:vAlign w:val="bottom"/>
          </w:tcPr>
          <w:p w:rsidR="00D92D97" w:rsidRDefault="00D92D97" w:rsidP="0073298C">
            <w:pPr>
              <w:spacing w:before="22" w:after="22"/>
              <w:ind w:left="22" w:right="22"/>
              <w:rPr>
                <w:color w:val="000000"/>
              </w:rPr>
            </w:pPr>
            <w:r>
              <w:rPr>
                <w:color w:val="000000"/>
              </w:rPr>
              <w:t> </w:t>
            </w:r>
          </w:p>
        </w:tc>
        <w:tc>
          <w:tcPr>
            <w:tcW w:w="1241" w:type="dxa"/>
            <w:tcBorders>
              <w:top w:val="nil"/>
              <w:left w:val="nil"/>
              <w:bottom w:val="nil"/>
              <w:right w:val="nil"/>
            </w:tcBorders>
            <w:vAlign w:val="center"/>
          </w:tcPr>
          <w:p w:rsidR="00D92D97" w:rsidRDefault="00D92D97" w:rsidP="0073298C">
            <w:pPr>
              <w:spacing w:before="22" w:after="22"/>
              <w:ind w:left="22" w:right="22"/>
              <w:rPr>
                <w:color w:val="000000"/>
              </w:rPr>
            </w:pPr>
          </w:p>
          <w:p w:rsidR="00D92D97" w:rsidRDefault="00D92D97" w:rsidP="0073298C">
            <w:pPr>
              <w:rPr>
                <w:sz w:val="16"/>
                <w:szCs w:val="16"/>
              </w:rPr>
            </w:pPr>
            <w:r>
              <w:rPr>
                <w:sz w:val="16"/>
                <w:szCs w:val="16"/>
              </w:rPr>
              <w:t> </w:t>
            </w:r>
          </w:p>
        </w:tc>
        <w:tc>
          <w:tcPr>
            <w:tcW w:w="104" w:type="dxa"/>
            <w:tcBorders>
              <w:top w:val="nil"/>
              <w:left w:val="nil"/>
              <w:bottom w:val="nil"/>
              <w:right w:val="nil"/>
            </w:tcBorders>
            <w:vAlign w:val="bottom"/>
          </w:tcPr>
          <w:p w:rsidR="00D92D97" w:rsidRDefault="00D92D97" w:rsidP="0073298C">
            <w:pPr>
              <w:spacing w:before="22" w:after="22"/>
              <w:ind w:left="22" w:right="22"/>
              <w:rPr>
                <w:color w:val="000000"/>
              </w:rPr>
            </w:pPr>
            <w:r>
              <w:rPr>
                <w:color w:val="000000"/>
              </w:rPr>
              <w:t> </w:t>
            </w:r>
          </w:p>
        </w:tc>
        <w:tc>
          <w:tcPr>
            <w:tcW w:w="1236" w:type="dxa"/>
            <w:tcBorders>
              <w:top w:val="nil"/>
              <w:left w:val="nil"/>
              <w:bottom w:val="nil"/>
              <w:right w:val="nil"/>
            </w:tcBorders>
            <w:vAlign w:val="center"/>
          </w:tcPr>
          <w:p w:rsidR="00D92D97" w:rsidRDefault="00D92D97" w:rsidP="0073298C">
            <w:pPr>
              <w:spacing w:before="22" w:after="22"/>
              <w:ind w:left="22" w:right="22"/>
              <w:jc w:val="center"/>
              <w:rPr>
                <w:rFonts w:ascii="Arial" w:hAnsi="Arial" w:cs="Arial"/>
                <w:color w:val="000000"/>
                <w:sz w:val="16"/>
                <w:szCs w:val="16"/>
              </w:rPr>
            </w:pPr>
            <w:r>
              <w:rPr>
                <w:rFonts w:ascii="Arial" w:hAnsi="Arial" w:cs="Arial"/>
                <w:color w:val="000000"/>
                <w:sz w:val="16"/>
                <w:szCs w:val="16"/>
              </w:rPr>
              <w:t>1</w:t>
            </w:r>
          </w:p>
        </w:tc>
        <w:tc>
          <w:tcPr>
            <w:tcW w:w="104" w:type="dxa"/>
            <w:tcBorders>
              <w:top w:val="nil"/>
              <w:left w:val="nil"/>
              <w:bottom w:val="nil"/>
              <w:right w:val="nil"/>
            </w:tcBorders>
            <w:vAlign w:val="bottom"/>
          </w:tcPr>
          <w:p w:rsidR="00D92D97" w:rsidRDefault="00D92D97" w:rsidP="0073298C">
            <w:pPr>
              <w:spacing w:before="22" w:after="22"/>
              <w:ind w:left="22" w:right="22"/>
              <w:rPr>
                <w:color w:val="000000"/>
              </w:rPr>
            </w:pPr>
            <w:r>
              <w:rPr>
                <w:color w:val="000000"/>
              </w:rPr>
              <w:t> </w:t>
            </w:r>
          </w:p>
        </w:tc>
        <w:tc>
          <w:tcPr>
            <w:tcW w:w="1240" w:type="dxa"/>
            <w:tcBorders>
              <w:top w:val="nil"/>
              <w:left w:val="nil"/>
              <w:bottom w:val="nil"/>
              <w:right w:val="nil"/>
            </w:tcBorders>
            <w:vAlign w:val="center"/>
          </w:tcPr>
          <w:p w:rsidR="00D92D97" w:rsidRDefault="00D92D97" w:rsidP="0073298C">
            <w:pPr>
              <w:spacing w:before="22" w:after="22"/>
              <w:ind w:left="22" w:right="22"/>
              <w:rPr>
                <w:color w:val="000000"/>
              </w:rPr>
            </w:pPr>
          </w:p>
          <w:p w:rsidR="00D92D97" w:rsidRDefault="00D92D97" w:rsidP="0073298C">
            <w:pPr>
              <w:rPr>
                <w:sz w:val="16"/>
                <w:szCs w:val="16"/>
              </w:rPr>
            </w:pPr>
            <w:r>
              <w:rPr>
                <w:sz w:val="16"/>
                <w:szCs w:val="16"/>
              </w:rPr>
              <w:t> </w:t>
            </w:r>
          </w:p>
        </w:tc>
        <w:tc>
          <w:tcPr>
            <w:tcW w:w="104" w:type="dxa"/>
            <w:tcBorders>
              <w:top w:val="nil"/>
              <w:left w:val="nil"/>
              <w:bottom w:val="nil"/>
              <w:right w:val="nil"/>
            </w:tcBorders>
            <w:vAlign w:val="bottom"/>
          </w:tcPr>
          <w:p w:rsidR="00D92D97" w:rsidRDefault="00D92D97" w:rsidP="0073298C">
            <w:pPr>
              <w:spacing w:before="22" w:after="22"/>
              <w:ind w:left="22" w:right="22"/>
              <w:rPr>
                <w:color w:val="000000"/>
              </w:rPr>
            </w:pPr>
            <w:r>
              <w:rPr>
                <w:color w:val="000000"/>
              </w:rPr>
              <w:t> </w:t>
            </w:r>
          </w:p>
        </w:tc>
        <w:tc>
          <w:tcPr>
            <w:tcW w:w="1244" w:type="dxa"/>
            <w:tcBorders>
              <w:top w:val="nil"/>
              <w:left w:val="nil"/>
              <w:bottom w:val="nil"/>
              <w:right w:val="nil"/>
            </w:tcBorders>
            <w:vAlign w:val="center"/>
          </w:tcPr>
          <w:p w:rsidR="00D92D97" w:rsidRDefault="00D92D97" w:rsidP="0073298C">
            <w:pPr>
              <w:spacing w:before="22" w:after="22"/>
              <w:ind w:left="22" w:right="22"/>
              <w:rPr>
                <w:color w:val="000000"/>
              </w:rPr>
            </w:pPr>
          </w:p>
          <w:p w:rsidR="00D92D97" w:rsidRDefault="00D92D97" w:rsidP="0073298C">
            <w:pPr>
              <w:rPr>
                <w:sz w:val="16"/>
                <w:szCs w:val="16"/>
              </w:rPr>
            </w:pPr>
            <w:r>
              <w:rPr>
                <w:sz w:val="16"/>
                <w:szCs w:val="16"/>
              </w:rPr>
              <w:t> </w:t>
            </w:r>
          </w:p>
        </w:tc>
        <w:tc>
          <w:tcPr>
            <w:tcW w:w="104" w:type="dxa"/>
            <w:tcBorders>
              <w:top w:val="nil"/>
              <w:left w:val="nil"/>
              <w:bottom w:val="nil"/>
              <w:right w:val="nil"/>
            </w:tcBorders>
            <w:shd w:val="clear" w:color="00467E" w:fill="00467E"/>
            <w:vAlign w:val="bottom"/>
          </w:tcPr>
          <w:p w:rsidR="00D92D97" w:rsidRDefault="00D92D97" w:rsidP="0073298C">
            <w:pPr>
              <w:spacing w:before="22" w:after="22"/>
              <w:ind w:left="22" w:right="22"/>
              <w:rPr>
                <w:color w:val="000000"/>
              </w:rPr>
            </w:pPr>
            <w:r>
              <w:rPr>
                <w:color w:val="000000"/>
              </w:rPr>
              <w:t> </w:t>
            </w:r>
          </w:p>
        </w:tc>
        <w:tc>
          <w:tcPr>
            <w:tcW w:w="1244" w:type="dxa"/>
            <w:tcBorders>
              <w:top w:val="nil"/>
              <w:left w:val="nil"/>
              <w:bottom w:val="nil"/>
              <w:right w:val="single" w:sz="6" w:space="0" w:color="00467E"/>
            </w:tcBorders>
            <w:vAlign w:val="center"/>
          </w:tcPr>
          <w:p w:rsidR="00D92D97" w:rsidRDefault="00D92D97" w:rsidP="0073298C">
            <w:pPr>
              <w:spacing w:before="22" w:after="22"/>
              <w:ind w:left="22" w:right="22"/>
              <w:jc w:val="center"/>
              <w:rPr>
                <w:rFonts w:ascii="Arial" w:hAnsi="Arial" w:cs="Arial"/>
                <w:color w:val="000000"/>
                <w:sz w:val="16"/>
                <w:szCs w:val="16"/>
              </w:rPr>
            </w:pPr>
            <w:r>
              <w:rPr>
                <w:rFonts w:ascii="Arial" w:hAnsi="Arial" w:cs="Arial"/>
                <w:color w:val="000000"/>
                <w:sz w:val="16"/>
                <w:szCs w:val="16"/>
              </w:rPr>
              <w:t>1</w:t>
            </w:r>
          </w:p>
        </w:tc>
      </w:tr>
      <w:tr w:rsidR="00D92D97" w:rsidTr="00D92D97">
        <w:tblPrEx>
          <w:tblCellMar>
            <w:top w:w="0" w:type="dxa"/>
            <w:left w:w="0" w:type="dxa"/>
            <w:bottom w:w="0" w:type="dxa"/>
            <w:right w:w="0" w:type="dxa"/>
          </w:tblCellMar>
        </w:tblPrEx>
        <w:trPr>
          <w:trHeight w:val="281"/>
        </w:trPr>
        <w:tc>
          <w:tcPr>
            <w:tcW w:w="1058" w:type="dxa"/>
            <w:tcBorders>
              <w:top w:val="nil"/>
              <w:left w:val="single" w:sz="6" w:space="0" w:color="00467E"/>
              <w:bottom w:val="nil"/>
              <w:right w:val="nil"/>
            </w:tcBorders>
            <w:shd w:val="clear" w:color="CFD4D8" w:fill="CFD4D8"/>
            <w:vAlign w:val="center"/>
          </w:tcPr>
          <w:p w:rsidR="00D92D97" w:rsidRDefault="00D92D97" w:rsidP="0073298C">
            <w:pPr>
              <w:spacing w:before="22" w:after="22"/>
              <w:ind w:left="22" w:right="22"/>
              <w:rPr>
                <w:rFonts w:ascii="Arial" w:hAnsi="Arial" w:cs="Arial"/>
                <w:b/>
                <w:bCs w:val="0"/>
                <w:i/>
                <w:iCs/>
                <w:color w:val="9D1B11"/>
                <w:sz w:val="16"/>
                <w:szCs w:val="16"/>
              </w:rPr>
            </w:pPr>
            <w:r>
              <w:rPr>
                <w:rFonts w:ascii="Arial" w:hAnsi="Arial" w:cs="Arial"/>
                <w:b/>
                <w:bCs w:val="0"/>
                <w:i/>
                <w:iCs/>
                <w:color w:val="9D1B11"/>
                <w:sz w:val="16"/>
                <w:szCs w:val="16"/>
              </w:rPr>
              <w:t>Wisconsin</w:t>
            </w:r>
          </w:p>
        </w:tc>
        <w:tc>
          <w:tcPr>
            <w:tcW w:w="104" w:type="dxa"/>
            <w:tcBorders>
              <w:top w:val="nil"/>
              <w:left w:val="nil"/>
              <w:bottom w:val="nil"/>
              <w:right w:val="nil"/>
            </w:tcBorders>
            <w:shd w:val="clear" w:color="00467E" w:fill="00467E"/>
            <w:vAlign w:val="bottom"/>
          </w:tcPr>
          <w:p w:rsidR="00D92D97" w:rsidRDefault="00D92D97" w:rsidP="0073298C">
            <w:pPr>
              <w:spacing w:before="22" w:after="22"/>
              <w:ind w:left="22" w:right="22"/>
              <w:rPr>
                <w:color w:val="000000"/>
              </w:rPr>
            </w:pPr>
            <w:r>
              <w:rPr>
                <w:color w:val="000000"/>
              </w:rPr>
              <w:t> </w:t>
            </w:r>
          </w:p>
        </w:tc>
        <w:tc>
          <w:tcPr>
            <w:tcW w:w="834" w:type="dxa"/>
            <w:tcBorders>
              <w:top w:val="nil"/>
              <w:left w:val="nil"/>
              <w:bottom w:val="nil"/>
              <w:right w:val="nil"/>
            </w:tcBorders>
            <w:shd w:val="clear" w:color="CFD4D8" w:fill="CFD4D8"/>
            <w:vAlign w:val="center"/>
          </w:tcPr>
          <w:p w:rsidR="00D92D97" w:rsidRDefault="00D92D97" w:rsidP="0073298C">
            <w:pPr>
              <w:spacing w:before="22" w:after="22"/>
              <w:ind w:left="22" w:right="22"/>
              <w:jc w:val="center"/>
              <w:rPr>
                <w:rFonts w:ascii="Arial" w:hAnsi="Arial" w:cs="Arial"/>
                <w:color w:val="000000"/>
                <w:sz w:val="16"/>
                <w:szCs w:val="16"/>
              </w:rPr>
            </w:pPr>
            <w:r>
              <w:rPr>
                <w:rFonts w:ascii="Arial" w:hAnsi="Arial" w:cs="Arial"/>
                <w:color w:val="000000"/>
                <w:sz w:val="16"/>
                <w:szCs w:val="16"/>
              </w:rPr>
              <w:t>1</w:t>
            </w:r>
          </w:p>
        </w:tc>
        <w:tc>
          <w:tcPr>
            <w:tcW w:w="336" w:type="dxa"/>
            <w:tcBorders>
              <w:top w:val="nil"/>
              <w:left w:val="nil"/>
              <w:bottom w:val="nil"/>
              <w:right w:val="nil"/>
            </w:tcBorders>
            <w:shd w:val="clear" w:color="CFD4D8" w:fill="CFD4D8"/>
            <w:vAlign w:val="bottom"/>
          </w:tcPr>
          <w:p w:rsidR="00D92D97" w:rsidRDefault="00D92D97" w:rsidP="0073298C">
            <w:pPr>
              <w:spacing w:before="22" w:after="22"/>
              <w:ind w:left="22" w:right="22"/>
              <w:rPr>
                <w:color w:val="000000"/>
              </w:rPr>
            </w:pPr>
            <w:r>
              <w:rPr>
                <w:color w:val="000000"/>
              </w:rPr>
              <w:t> </w:t>
            </w:r>
          </w:p>
        </w:tc>
        <w:tc>
          <w:tcPr>
            <w:tcW w:w="837" w:type="dxa"/>
            <w:tcBorders>
              <w:top w:val="nil"/>
              <w:left w:val="nil"/>
              <w:bottom w:val="nil"/>
              <w:right w:val="nil"/>
            </w:tcBorders>
            <w:shd w:val="clear" w:color="CFD4D8" w:fill="CFD4D8"/>
            <w:vAlign w:val="center"/>
          </w:tcPr>
          <w:p w:rsidR="00D92D97" w:rsidRDefault="00D92D97" w:rsidP="0073298C">
            <w:pPr>
              <w:spacing w:before="22" w:after="22"/>
              <w:ind w:left="22" w:right="22"/>
              <w:rPr>
                <w:color w:val="000000"/>
              </w:rPr>
            </w:pPr>
          </w:p>
          <w:p w:rsidR="00D92D97" w:rsidRDefault="00D92D97" w:rsidP="0073298C">
            <w:pPr>
              <w:rPr>
                <w:sz w:val="16"/>
                <w:szCs w:val="16"/>
              </w:rPr>
            </w:pPr>
            <w:r>
              <w:rPr>
                <w:sz w:val="16"/>
                <w:szCs w:val="16"/>
              </w:rPr>
              <w:t> </w:t>
            </w:r>
          </w:p>
        </w:tc>
        <w:tc>
          <w:tcPr>
            <w:tcW w:w="104" w:type="dxa"/>
            <w:tcBorders>
              <w:top w:val="nil"/>
              <w:left w:val="nil"/>
              <w:bottom w:val="nil"/>
              <w:right w:val="nil"/>
            </w:tcBorders>
            <w:shd w:val="clear" w:color="00467E" w:fill="00467E"/>
            <w:vAlign w:val="bottom"/>
          </w:tcPr>
          <w:p w:rsidR="00D92D97" w:rsidRDefault="00D92D97" w:rsidP="0073298C">
            <w:pPr>
              <w:spacing w:before="22" w:after="22"/>
              <w:ind w:left="22" w:right="22"/>
              <w:rPr>
                <w:color w:val="000000"/>
              </w:rPr>
            </w:pPr>
            <w:r>
              <w:rPr>
                <w:color w:val="000000"/>
              </w:rPr>
              <w:t> </w:t>
            </w:r>
          </w:p>
        </w:tc>
        <w:tc>
          <w:tcPr>
            <w:tcW w:w="1241" w:type="dxa"/>
            <w:tcBorders>
              <w:top w:val="nil"/>
              <w:left w:val="nil"/>
              <w:bottom w:val="nil"/>
              <w:right w:val="nil"/>
            </w:tcBorders>
            <w:shd w:val="clear" w:color="CFD4D8" w:fill="CFD4D8"/>
            <w:vAlign w:val="center"/>
          </w:tcPr>
          <w:p w:rsidR="00D92D97" w:rsidRDefault="00D92D97" w:rsidP="0073298C">
            <w:pPr>
              <w:spacing w:before="22" w:after="22"/>
              <w:ind w:left="22" w:right="22"/>
              <w:rPr>
                <w:color w:val="000000"/>
              </w:rPr>
            </w:pPr>
          </w:p>
          <w:p w:rsidR="00D92D97" w:rsidRDefault="00D92D97" w:rsidP="0073298C">
            <w:pPr>
              <w:rPr>
                <w:sz w:val="16"/>
                <w:szCs w:val="16"/>
              </w:rPr>
            </w:pPr>
            <w:r>
              <w:rPr>
                <w:sz w:val="16"/>
                <w:szCs w:val="16"/>
              </w:rPr>
              <w:t> </w:t>
            </w:r>
          </w:p>
        </w:tc>
        <w:tc>
          <w:tcPr>
            <w:tcW w:w="104" w:type="dxa"/>
            <w:tcBorders>
              <w:top w:val="nil"/>
              <w:left w:val="nil"/>
              <w:bottom w:val="nil"/>
              <w:right w:val="nil"/>
            </w:tcBorders>
            <w:shd w:val="clear" w:color="CFD4D8" w:fill="CFD4D8"/>
            <w:vAlign w:val="bottom"/>
          </w:tcPr>
          <w:p w:rsidR="00D92D97" w:rsidRDefault="00D92D97" w:rsidP="0073298C">
            <w:pPr>
              <w:spacing w:before="22" w:after="22"/>
              <w:ind w:left="22" w:right="22"/>
              <w:rPr>
                <w:color w:val="000000"/>
              </w:rPr>
            </w:pPr>
            <w:r>
              <w:rPr>
                <w:color w:val="000000"/>
              </w:rPr>
              <w:t> </w:t>
            </w:r>
          </w:p>
        </w:tc>
        <w:tc>
          <w:tcPr>
            <w:tcW w:w="1236" w:type="dxa"/>
            <w:tcBorders>
              <w:top w:val="nil"/>
              <w:left w:val="nil"/>
              <w:bottom w:val="nil"/>
              <w:right w:val="nil"/>
            </w:tcBorders>
            <w:shd w:val="clear" w:color="CFD4D8" w:fill="CFD4D8"/>
            <w:vAlign w:val="center"/>
          </w:tcPr>
          <w:p w:rsidR="00D92D97" w:rsidRDefault="00D92D97" w:rsidP="0073298C">
            <w:pPr>
              <w:spacing w:before="22" w:after="22"/>
              <w:ind w:left="22" w:right="22"/>
              <w:jc w:val="center"/>
              <w:rPr>
                <w:rFonts w:ascii="Arial" w:hAnsi="Arial" w:cs="Arial"/>
                <w:color w:val="000000"/>
                <w:sz w:val="16"/>
                <w:szCs w:val="16"/>
              </w:rPr>
            </w:pPr>
            <w:r>
              <w:rPr>
                <w:rFonts w:ascii="Arial" w:hAnsi="Arial" w:cs="Arial"/>
                <w:color w:val="000000"/>
                <w:sz w:val="16"/>
                <w:szCs w:val="16"/>
              </w:rPr>
              <w:t>1</w:t>
            </w:r>
          </w:p>
        </w:tc>
        <w:tc>
          <w:tcPr>
            <w:tcW w:w="104" w:type="dxa"/>
            <w:tcBorders>
              <w:top w:val="nil"/>
              <w:left w:val="nil"/>
              <w:bottom w:val="nil"/>
              <w:right w:val="nil"/>
            </w:tcBorders>
            <w:shd w:val="clear" w:color="CFD4D8" w:fill="CFD4D8"/>
            <w:vAlign w:val="bottom"/>
          </w:tcPr>
          <w:p w:rsidR="00D92D97" w:rsidRDefault="00D92D97" w:rsidP="0073298C">
            <w:pPr>
              <w:spacing w:before="22" w:after="22"/>
              <w:ind w:left="22" w:right="22"/>
              <w:rPr>
                <w:color w:val="000000"/>
              </w:rPr>
            </w:pPr>
            <w:r>
              <w:rPr>
                <w:color w:val="000000"/>
              </w:rPr>
              <w:t> </w:t>
            </w:r>
          </w:p>
        </w:tc>
        <w:tc>
          <w:tcPr>
            <w:tcW w:w="1240" w:type="dxa"/>
            <w:tcBorders>
              <w:top w:val="nil"/>
              <w:left w:val="nil"/>
              <w:bottom w:val="nil"/>
              <w:right w:val="nil"/>
            </w:tcBorders>
            <w:shd w:val="clear" w:color="CFD4D8" w:fill="CFD4D8"/>
            <w:vAlign w:val="center"/>
          </w:tcPr>
          <w:p w:rsidR="00D92D97" w:rsidRDefault="00D92D97" w:rsidP="0073298C">
            <w:pPr>
              <w:spacing w:before="22" w:after="22"/>
              <w:ind w:left="22" w:right="22"/>
              <w:rPr>
                <w:color w:val="000000"/>
              </w:rPr>
            </w:pPr>
          </w:p>
          <w:p w:rsidR="00D92D97" w:rsidRDefault="00D92D97" w:rsidP="0073298C">
            <w:pPr>
              <w:rPr>
                <w:sz w:val="16"/>
                <w:szCs w:val="16"/>
              </w:rPr>
            </w:pPr>
            <w:r>
              <w:rPr>
                <w:sz w:val="16"/>
                <w:szCs w:val="16"/>
              </w:rPr>
              <w:t> </w:t>
            </w:r>
          </w:p>
        </w:tc>
        <w:tc>
          <w:tcPr>
            <w:tcW w:w="104" w:type="dxa"/>
            <w:tcBorders>
              <w:top w:val="nil"/>
              <w:left w:val="nil"/>
              <w:bottom w:val="nil"/>
              <w:right w:val="nil"/>
            </w:tcBorders>
            <w:shd w:val="clear" w:color="CFD4D8" w:fill="CFD4D8"/>
            <w:vAlign w:val="bottom"/>
          </w:tcPr>
          <w:p w:rsidR="00D92D97" w:rsidRDefault="00D92D97" w:rsidP="0073298C">
            <w:pPr>
              <w:spacing w:before="22" w:after="22"/>
              <w:ind w:left="22" w:right="22"/>
              <w:rPr>
                <w:color w:val="000000"/>
              </w:rPr>
            </w:pPr>
            <w:r>
              <w:rPr>
                <w:color w:val="000000"/>
              </w:rPr>
              <w:t> </w:t>
            </w:r>
          </w:p>
        </w:tc>
        <w:tc>
          <w:tcPr>
            <w:tcW w:w="1244" w:type="dxa"/>
            <w:tcBorders>
              <w:top w:val="nil"/>
              <w:left w:val="nil"/>
              <w:bottom w:val="nil"/>
              <w:right w:val="nil"/>
            </w:tcBorders>
            <w:shd w:val="clear" w:color="CFD4D8" w:fill="CFD4D8"/>
            <w:vAlign w:val="center"/>
          </w:tcPr>
          <w:p w:rsidR="00D92D97" w:rsidRDefault="00D92D97" w:rsidP="0073298C">
            <w:pPr>
              <w:spacing w:before="22" w:after="22"/>
              <w:ind w:left="22" w:right="22"/>
              <w:rPr>
                <w:color w:val="000000"/>
              </w:rPr>
            </w:pPr>
          </w:p>
          <w:p w:rsidR="00D92D97" w:rsidRDefault="00D92D97" w:rsidP="0073298C">
            <w:pPr>
              <w:rPr>
                <w:sz w:val="16"/>
                <w:szCs w:val="16"/>
              </w:rPr>
            </w:pPr>
            <w:r>
              <w:rPr>
                <w:sz w:val="16"/>
                <w:szCs w:val="16"/>
              </w:rPr>
              <w:t> </w:t>
            </w:r>
          </w:p>
        </w:tc>
        <w:tc>
          <w:tcPr>
            <w:tcW w:w="104" w:type="dxa"/>
            <w:tcBorders>
              <w:top w:val="nil"/>
              <w:left w:val="nil"/>
              <w:bottom w:val="nil"/>
              <w:right w:val="nil"/>
            </w:tcBorders>
            <w:shd w:val="clear" w:color="00467E" w:fill="00467E"/>
            <w:vAlign w:val="bottom"/>
          </w:tcPr>
          <w:p w:rsidR="00D92D97" w:rsidRDefault="00D92D97" w:rsidP="0073298C">
            <w:pPr>
              <w:spacing w:before="22" w:after="22"/>
              <w:ind w:left="22" w:right="22"/>
              <w:rPr>
                <w:color w:val="000000"/>
              </w:rPr>
            </w:pPr>
            <w:r>
              <w:rPr>
                <w:color w:val="000000"/>
              </w:rPr>
              <w:t> </w:t>
            </w:r>
          </w:p>
        </w:tc>
        <w:tc>
          <w:tcPr>
            <w:tcW w:w="1244" w:type="dxa"/>
            <w:tcBorders>
              <w:top w:val="nil"/>
              <w:left w:val="nil"/>
              <w:bottom w:val="nil"/>
              <w:right w:val="single" w:sz="6" w:space="0" w:color="00467E"/>
            </w:tcBorders>
            <w:shd w:val="clear" w:color="CFD4D8" w:fill="CFD4D8"/>
            <w:vAlign w:val="center"/>
          </w:tcPr>
          <w:p w:rsidR="00D92D97" w:rsidRDefault="00D92D97" w:rsidP="0073298C">
            <w:pPr>
              <w:spacing w:before="22" w:after="22"/>
              <w:ind w:left="22" w:right="22"/>
              <w:jc w:val="center"/>
              <w:rPr>
                <w:rFonts w:ascii="Arial" w:hAnsi="Arial" w:cs="Arial"/>
                <w:color w:val="000000"/>
                <w:sz w:val="16"/>
                <w:szCs w:val="16"/>
              </w:rPr>
            </w:pPr>
            <w:r>
              <w:rPr>
                <w:rFonts w:ascii="Arial" w:hAnsi="Arial" w:cs="Arial"/>
                <w:color w:val="000000"/>
                <w:sz w:val="16"/>
                <w:szCs w:val="16"/>
              </w:rPr>
              <w:t>1</w:t>
            </w:r>
          </w:p>
        </w:tc>
      </w:tr>
      <w:tr w:rsidR="00D92D97" w:rsidTr="00D92D97">
        <w:tblPrEx>
          <w:tblCellMar>
            <w:top w:w="0" w:type="dxa"/>
            <w:left w:w="0" w:type="dxa"/>
            <w:bottom w:w="0" w:type="dxa"/>
            <w:right w:w="0" w:type="dxa"/>
          </w:tblCellMar>
        </w:tblPrEx>
        <w:trPr>
          <w:trHeight w:val="281"/>
        </w:trPr>
        <w:tc>
          <w:tcPr>
            <w:tcW w:w="1058" w:type="dxa"/>
            <w:tcBorders>
              <w:top w:val="single" w:sz="6" w:space="0" w:color="000000"/>
              <w:left w:val="single" w:sz="6" w:space="0" w:color="00467E"/>
              <w:bottom w:val="nil"/>
              <w:right w:val="nil"/>
            </w:tcBorders>
            <w:vAlign w:val="center"/>
          </w:tcPr>
          <w:p w:rsidR="00D92D97" w:rsidRDefault="00D92D97" w:rsidP="0073298C">
            <w:pPr>
              <w:spacing w:before="22" w:after="22"/>
              <w:ind w:left="330" w:right="22"/>
              <w:rPr>
                <w:rFonts w:ascii="Arial" w:hAnsi="Arial" w:cs="Arial"/>
                <w:b/>
                <w:bCs w:val="0"/>
                <w:i/>
                <w:iCs/>
                <w:color w:val="9D1B11"/>
                <w:sz w:val="16"/>
                <w:szCs w:val="16"/>
              </w:rPr>
            </w:pPr>
            <w:r>
              <w:rPr>
                <w:rFonts w:ascii="Arial" w:hAnsi="Arial" w:cs="Arial"/>
                <w:b/>
                <w:bCs w:val="0"/>
                <w:i/>
                <w:iCs/>
                <w:color w:val="9D1B11"/>
                <w:sz w:val="16"/>
                <w:szCs w:val="16"/>
              </w:rPr>
              <w:t>Total Properties</w:t>
            </w:r>
          </w:p>
        </w:tc>
        <w:tc>
          <w:tcPr>
            <w:tcW w:w="104" w:type="dxa"/>
            <w:tcBorders>
              <w:top w:val="nil"/>
              <w:left w:val="nil"/>
              <w:bottom w:val="nil"/>
              <w:right w:val="nil"/>
            </w:tcBorders>
            <w:shd w:val="clear" w:color="00467E" w:fill="00467E"/>
            <w:vAlign w:val="bottom"/>
          </w:tcPr>
          <w:p w:rsidR="00D92D97" w:rsidRDefault="00D92D97" w:rsidP="0073298C">
            <w:pPr>
              <w:spacing w:before="22" w:after="22"/>
              <w:ind w:left="22" w:right="22"/>
              <w:rPr>
                <w:color w:val="000000"/>
              </w:rPr>
            </w:pPr>
            <w:r>
              <w:rPr>
                <w:color w:val="000000"/>
              </w:rPr>
              <w:t> </w:t>
            </w:r>
          </w:p>
        </w:tc>
        <w:tc>
          <w:tcPr>
            <w:tcW w:w="834" w:type="dxa"/>
            <w:tcBorders>
              <w:top w:val="single" w:sz="6" w:space="0" w:color="000000"/>
              <w:left w:val="nil"/>
              <w:bottom w:val="double" w:sz="6" w:space="0" w:color="000000"/>
              <w:right w:val="nil"/>
            </w:tcBorders>
            <w:vAlign w:val="center"/>
          </w:tcPr>
          <w:p w:rsidR="00D92D97" w:rsidRDefault="00D92D97" w:rsidP="0073298C">
            <w:pPr>
              <w:spacing w:before="22" w:after="22"/>
              <w:ind w:left="22" w:right="22"/>
              <w:jc w:val="center"/>
              <w:rPr>
                <w:rFonts w:ascii="Arial" w:hAnsi="Arial" w:cs="Arial"/>
                <w:color w:val="000000"/>
                <w:sz w:val="16"/>
                <w:szCs w:val="16"/>
              </w:rPr>
            </w:pPr>
            <w:r>
              <w:rPr>
                <w:rFonts w:ascii="Arial" w:hAnsi="Arial" w:cs="Arial"/>
                <w:color w:val="000000"/>
                <w:sz w:val="16"/>
                <w:szCs w:val="16"/>
              </w:rPr>
              <w:t>68</w:t>
            </w:r>
          </w:p>
        </w:tc>
        <w:tc>
          <w:tcPr>
            <w:tcW w:w="336" w:type="dxa"/>
            <w:tcBorders>
              <w:top w:val="nil"/>
              <w:left w:val="nil"/>
              <w:bottom w:val="nil"/>
              <w:right w:val="nil"/>
            </w:tcBorders>
            <w:vAlign w:val="bottom"/>
          </w:tcPr>
          <w:p w:rsidR="00D92D97" w:rsidRDefault="00D92D97" w:rsidP="0073298C">
            <w:pPr>
              <w:spacing w:before="22" w:after="22"/>
              <w:ind w:left="22" w:right="22"/>
              <w:rPr>
                <w:color w:val="000000"/>
              </w:rPr>
            </w:pPr>
            <w:r>
              <w:rPr>
                <w:color w:val="000000"/>
              </w:rPr>
              <w:t> </w:t>
            </w:r>
          </w:p>
        </w:tc>
        <w:tc>
          <w:tcPr>
            <w:tcW w:w="837" w:type="dxa"/>
            <w:tcBorders>
              <w:top w:val="single" w:sz="6" w:space="0" w:color="000000"/>
              <w:left w:val="nil"/>
              <w:bottom w:val="double" w:sz="6" w:space="0" w:color="000000"/>
              <w:right w:val="nil"/>
            </w:tcBorders>
            <w:vAlign w:val="center"/>
          </w:tcPr>
          <w:p w:rsidR="00D92D97" w:rsidRDefault="00D92D97" w:rsidP="0073298C">
            <w:pPr>
              <w:spacing w:before="22" w:after="22"/>
              <w:ind w:left="22" w:right="22"/>
              <w:jc w:val="center"/>
              <w:rPr>
                <w:rFonts w:ascii="Arial" w:hAnsi="Arial" w:cs="Arial"/>
                <w:color w:val="000000"/>
                <w:sz w:val="16"/>
                <w:szCs w:val="16"/>
              </w:rPr>
            </w:pPr>
            <w:r>
              <w:rPr>
                <w:rFonts w:ascii="Arial" w:hAnsi="Arial" w:cs="Arial"/>
                <w:color w:val="000000"/>
                <w:sz w:val="16"/>
                <w:szCs w:val="16"/>
              </w:rPr>
              <w:t>16</w:t>
            </w:r>
          </w:p>
        </w:tc>
        <w:tc>
          <w:tcPr>
            <w:tcW w:w="104" w:type="dxa"/>
            <w:tcBorders>
              <w:top w:val="nil"/>
              <w:left w:val="nil"/>
              <w:bottom w:val="nil"/>
              <w:right w:val="nil"/>
            </w:tcBorders>
            <w:shd w:val="clear" w:color="00467E" w:fill="00467E"/>
            <w:vAlign w:val="bottom"/>
          </w:tcPr>
          <w:p w:rsidR="00D92D97" w:rsidRDefault="00D92D97" w:rsidP="0073298C">
            <w:pPr>
              <w:spacing w:before="22" w:after="22"/>
              <w:ind w:left="22" w:right="22"/>
              <w:rPr>
                <w:color w:val="000000"/>
              </w:rPr>
            </w:pPr>
            <w:r>
              <w:rPr>
                <w:color w:val="000000"/>
              </w:rPr>
              <w:t> </w:t>
            </w:r>
          </w:p>
        </w:tc>
        <w:tc>
          <w:tcPr>
            <w:tcW w:w="1241" w:type="dxa"/>
            <w:tcBorders>
              <w:top w:val="single" w:sz="6" w:space="0" w:color="000000"/>
              <w:left w:val="nil"/>
              <w:bottom w:val="double" w:sz="6" w:space="0" w:color="000000"/>
              <w:right w:val="nil"/>
            </w:tcBorders>
            <w:vAlign w:val="center"/>
          </w:tcPr>
          <w:p w:rsidR="00D92D97" w:rsidRDefault="00D92D97" w:rsidP="0073298C">
            <w:pPr>
              <w:spacing w:before="22" w:after="22"/>
              <w:ind w:left="22" w:right="22"/>
              <w:jc w:val="center"/>
              <w:rPr>
                <w:rFonts w:ascii="Arial" w:hAnsi="Arial" w:cs="Arial"/>
                <w:color w:val="000000"/>
                <w:sz w:val="16"/>
                <w:szCs w:val="16"/>
              </w:rPr>
            </w:pPr>
            <w:r>
              <w:rPr>
                <w:rFonts w:ascii="Arial" w:hAnsi="Arial" w:cs="Arial"/>
                <w:color w:val="000000"/>
                <w:sz w:val="16"/>
                <w:szCs w:val="16"/>
              </w:rPr>
              <w:t>30</w:t>
            </w:r>
          </w:p>
        </w:tc>
        <w:tc>
          <w:tcPr>
            <w:tcW w:w="104" w:type="dxa"/>
            <w:tcBorders>
              <w:top w:val="nil"/>
              <w:left w:val="nil"/>
              <w:bottom w:val="nil"/>
              <w:right w:val="nil"/>
            </w:tcBorders>
            <w:vAlign w:val="bottom"/>
          </w:tcPr>
          <w:p w:rsidR="00D92D97" w:rsidRDefault="00D92D97" w:rsidP="0073298C">
            <w:pPr>
              <w:spacing w:before="22" w:after="22"/>
              <w:ind w:left="22" w:right="22"/>
              <w:rPr>
                <w:color w:val="000000"/>
              </w:rPr>
            </w:pPr>
            <w:r>
              <w:rPr>
                <w:color w:val="000000"/>
              </w:rPr>
              <w:t> </w:t>
            </w:r>
          </w:p>
        </w:tc>
        <w:tc>
          <w:tcPr>
            <w:tcW w:w="1236" w:type="dxa"/>
            <w:tcBorders>
              <w:top w:val="single" w:sz="6" w:space="0" w:color="000000"/>
              <w:left w:val="nil"/>
              <w:bottom w:val="double" w:sz="6" w:space="0" w:color="000000"/>
              <w:right w:val="nil"/>
            </w:tcBorders>
            <w:vAlign w:val="center"/>
          </w:tcPr>
          <w:p w:rsidR="00D92D97" w:rsidRDefault="00D92D97" w:rsidP="0073298C">
            <w:pPr>
              <w:spacing w:before="22" w:after="22"/>
              <w:ind w:left="22" w:right="22"/>
              <w:jc w:val="center"/>
              <w:rPr>
                <w:rFonts w:ascii="Arial" w:hAnsi="Arial" w:cs="Arial"/>
                <w:color w:val="000000"/>
                <w:sz w:val="16"/>
                <w:szCs w:val="16"/>
              </w:rPr>
            </w:pPr>
            <w:r>
              <w:rPr>
                <w:rFonts w:ascii="Arial" w:hAnsi="Arial" w:cs="Arial"/>
                <w:color w:val="000000"/>
                <w:sz w:val="16"/>
                <w:szCs w:val="16"/>
              </w:rPr>
              <w:t>49</w:t>
            </w:r>
          </w:p>
        </w:tc>
        <w:tc>
          <w:tcPr>
            <w:tcW w:w="104" w:type="dxa"/>
            <w:tcBorders>
              <w:top w:val="nil"/>
              <w:left w:val="nil"/>
              <w:bottom w:val="nil"/>
              <w:right w:val="nil"/>
            </w:tcBorders>
            <w:vAlign w:val="bottom"/>
          </w:tcPr>
          <w:p w:rsidR="00D92D97" w:rsidRDefault="00D92D97" w:rsidP="0073298C">
            <w:pPr>
              <w:spacing w:before="22" w:after="22"/>
              <w:ind w:left="22" w:right="22"/>
              <w:rPr>
                <w:color w:val="000000"/>
              </w:rPr>
            </w:pPr>
            <w:r>
              <w:rPr>
                <w:color w:val="000000"/>
              </w:rPr>
              <w:t> </w:t>
            </w:r>
          </w:p>
        </w:tc>
        <w:tc>
          <w:tcPr>
            <w:tcW w:w="1240" w:type="dxa"/>
            <w:tcBorders>
              <w:top w:val="single" w:sz="6" w:space="0" w:color="000000"/>
              <w:left w:val="nil"/>
              <w:bottom w:val="double" w:sz="6" w:space="0" w:color="000000"/>
              <w:right w:val="nil"/>
            </w:tcBorders>
            <w:vAlign w:val="center"/>
          </w:tcPr>
          <w:p w:rsidR="00D92D97" w:rsidRDefault="00D92D97" w:rsidP="0073298C">
            <w:pPr>
              <w:spacing w:before="22" w:after="22"/>
              <w:ind w:left="22" w:right="22"/>
              <w:jc w:val="center"/>
              <w:rPr>
                <w:rFonts w:ascii="Arial" w:hAnsi="Arial" w:cs="Arial"/>
                <w:color w:val="000000"/>
                <w:sz w:val="16"/>
                <w:szCs w:val="16"/>
              </w:rPr>
            </w:pPr>
            <w:r>
              <w:rPr>
                <w:rFonts w:ascii="Arial" w:hAnsi="Arial" w:cs="Arial"/>
                <w:color w:val="000000"/>
                <w:sz w:val="16"/>
                <w:szCs w:val="16"/>
              </w:rPr>
              <w:t>4</w:t>
            </w:r>
          </w:p>
        </w:tc>
        <w:tc>
          <w:tcPr>
            <w:tcW w:w="104" w:type="dxa"/>
            <w:tcBorders>
              <w:top w:val="nil"/>
              <w:left w:val="nil"/>
              <w:bottom w:val="nil"/>
              <w:right w:val="nil"/>
            </w:tcBorders>
            <w:vAlign w:val="bottom"/>
          </w:tcPr>
          <w:p w:rsidR="00D92D97" w:rsidRDefault="00D92D97" w:rsidP="0073298C">
            <w:pPr>
              <w:spacing w:before="22" w:after="22"/>
              <w:ind w:left="22" w:right="22"/>
              <w:rPr>
                <w:color w:val="000000"/>
              </w:rPr>
            </w:pPr>
            <w:r>
              <w:rPr>
                <w:color w:val="000000"/>
              </w:rPr>
              <w:t> </w:t>
            </w:r>
          </w:p>
        </w:tc>
        <w:tc>
          <w:tcPr>
            <w:tcW w:w="1244" w:type="dxa"/>
            <w:tcBorders>
              <w:top w:val="single" w:sz="6" w:space="0" w:color="000000"/>
              <w:left w:val="nil"/>
              <w:bottom w:val="double" w:sz="6" w:space="0" w:color="000000"/>
              <w:right w:val="nil"/>
            </w:tcBorders>
            <w:vAlign w:val="center"/>
          </w:tcPr>
          <w:p w:rsidR="00D92D97" w:rsidRDefault="00D92D97" w:rsidP="0073298C">
            <w:pPr>
              <w:spacing w:before="22" w:after="22"/>
              <w:ind w:left="22" w:right="22"/>
              <w:jc w:val="center"/>
              <w:rPr>
                <w:rFonts w:ascii="Arial" w:hAnsi="Arial" w:cs="Arial"/>
                <w:color w:val="000000"/>
                <w:sz w:val="16"/>
                <w:szCs w:val="16"/>
              </w:rPr>
            </w:pPr>
            <w:r>
              <w:rPr>
                <w:rFonts w:ascii="Arial" w:hAnsi="Arial" w:cs="Arial"/>
                <w:color w:val="000000"/>
                <w:sz w:val="16"/>
                <w:szCs w:val="16"/>
              </w:rPr>
              <w:t>1</w:t>
            </w:r>
          </w:p>
        </w:tc>
        <w:tc>
          <w:tcPr>
            <w:tcW w:w="104" w:type="dxa"/>
            <w:tcBorders>
              <w:top w:val="nil"/>
              <w:left w:val="nil"/>
              <w:bottom w:val="nil"/>
              <w:right w:val="nil"/>
            </w:tcBorders>
            <w:shd w:val="clear" w:color="00467E" w:fill="00467E"/>
            <w:vAlign w:val="bottom"/>
          </w:tcPr>
          <w:p w:rsidR="00D92D97" w:rsidRDefault="00D92D97" w:rsidP="0073298C">
            <w:pPr>
              <w:spacing w:before="22" w:after="22"/>
              <w:ind w:left="22" w:right="22"/>
              <w:rPr>
                <w:color w:val="000000"/>
              </w:rPr>
            </w:pPr>
            <w:r>
              <w:rPr>
                <w:color w:val="000000"/>
              </w:rPr>
              <w:t> </w:t>
            </w:r>
          </w:p>
        </w:tc>
        <w:tc>
          <w:tcPr>
            <w:tcW w:w="1244" w:type="dxa"/>
            <w:tcBorders>
              <w:top w:val="single" w:sz="6" w:space="0" w:color="000000"/>
              <w:left w:val="nil"/>
              <w:bottom w:val="double" w:sz="6" w:space="0" w:color="000000"/>
              <w:right w:val="single" w:sz="6" w:space="0" w:color="00467E"/>
            </w:tcBorders>
            <w:vAlign w:val="center"/>
          </w:tcPr>
          <w:p w:rsidR="00D92D97" w:rsidRDefault="00D92D97" w:rsidP="0073298C">
            <w:pPr>
              <w:spacing w:before="22" w:after="22"/>
              <w:ind w:left="22" w:right="22"/>
              <w:jc w:val="center"/>
              <w:rPr>
                <w:rFonts w:ascii="Arial" w:hAnsi="Arial" w:cs="Arial"/>
                <w:color w:val="000000"/>
                <w:sz w:val="16"/>
                <w:szCs w:val="16"/>
              </w:rPr>
            </w:pPr>
            <w:r>
              <w:rPr>
                <w:rFonts w:ascii="Arial" w:hAnsi="Arial" w:cs="Arial"/>
                <w:color w:val="000000"/>
                <w:sz w:val="16"/>
                <w:szCs w:val="16"/>
              </w:rPr>
              <w:t>84</w:t>
            </w:r>
          </w:p>
        </w:tc>
      </w:tr>
    </w:tbl>
    <w:p w:rsidR="00D92D97" w:rsidRDefault="00D92D97" w:rsidP="00D92D97">
      <w:pPr>
        <w:rPr>
          <w:rStyle w:val="Heading1Char"/>
        </w:rPr>
      </w:pPr>
      <w:bookmarkStart w:id="27" w:name="_Toc526330223"/>
      <w:r w:rsidRPr="00D92D97">
        <w:rPr>
          <w:rStyle w:val="Heading1Char"/>
        </w:rPr>
        <w:t>Stockholder Return Graph</w:t>
      </w:r>
      <w:bookmarkEnd w:id="27"/>
      <w:r>
        <w:rPr>
          <w:rFonts w:ascii="Arial" w:hAnsi="Arial" w:cs="Arial"/>
          <w:noProof/>
          <w:color w:val="000000"/>
          <w:sz w:val="18"/>
          <w:szCs w:val="18"/>
        </w:rPr>
        <w:drawing>
          <wp:inline distT="0" distB="0" distL="0" distR="0">
            <wp:extent cx="5943600" cy="3475789"/>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43600" cy="3475789"/>
                    </a:xfrm>
                    <a:prstGeom prst="rect">
                      <a:avLst/>
                    </a:prstGeom>
                    <a:noFill/>
                    <a:ln w="9525">
                      <a:noFill/>
                      <a:miter lim="800000"/>
                      <a:headEnd/>
                      <a:tailEnd/>
                    </a:ln>
                  </pic:spPr>
                </pic:pic>
              </a:graphicData>
            </a:graphic>
          </wp:inline>
        </w:drawing>
      </w:r>
    </w:p>
    <w:p w:rsidR="0073298C" w:rsidRDefault="0073298C">
      <w:pPr>
        <w:rPr>
          <w:rStyle w:val="Heading1Char"/>
        </w:rPr>
      </w:pPr>
      <w:r>
        <w:rPr>
          <w:rStyle w:val="Heading1Char"/>
        </w:rPr>
        <w:br w:type="page"/>
      </w:r>
    </w:p>
    <w:p w:rsidR="00D92D97" w:rsidRDefault="0073298C" w:rsidP="0073298C">
      <w:pPr>
        <w:pStyle w:val="Heading1"/>
      </w:pPr>
      <w:bookmarkStart w:id="28" w:name="_Toc526330224"/>
      <w:r>
        <w:lastRenderedPageBreak/>
        <w:t>Selected Financial Data</w:t>
      </w:r>
      <w:bookmarkEnd w:id="28"/>
    </w:p>
    <w:p w:rsidR="00C21B80" w:rsidRDefault="00C21B80" w:rsidP="00C21B80">
      <w:pPr>
        <w:pStyle w:val="Heading2"/>
      </w:pPr>
      <w:bookmarkStart w:id="29" w:name="_Toc526330225"/>
      <w:r>
        <w:t>Summary P&amp;L</w:t>
      </w:r>
      <w:bookmarkEnd w:id="29"/>
    </w:p>
    <w:p w:rsidR="00C21B80" w:rsidRPr="00C21B80" w:rsidRDefault="00C21B80" w:rsidP="00C21B80">
      <w:r w:rsidRPr="00C21B80">
        <w:drawing>
          <wp:inline distT="0" distB="0" distL="0" distR="0">
            <wp:extent cx="5943600" cy="5383543"/>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5943600" cy="5383543"/>
                    </a:xfrm>
                    <a:prstGeom prst="rect">
                      <a:avLst/>
                    </a:prstGeom>
                    <a:noFill/>
                    <a:ln w="9525">
                      <a:noFill/>
                      <a:miter lim="800000"/>
                      <a:headEnd/>
                      <a:tailEnd/>
                    </a:ln>
                  </pic:spPr>
                </pic:pic>
              </a:graphicData>
            </a:graphic>
          </wp:inline>
        </w:drawing>
      </w:r>
    </w:p>
    <w:tbl>
      <w:tblPr>
        <w:tblW w:w="10804" w:type="dxa"/>
        <w:jc w:val="center"/>
        <w:tblLayout w:type="fixed"/>
        <w:tblCellMar>
          <w:left w:w="0" w:type="dxa"/>
          <w:right w:w="0" w:type="dxa"/>
        </w:tblCellMar>
        <w:tblLook w:val="0000"/>
      </w:tblPr>
      <w:tblGrid>
        <w:gridCol w:w="4217"/>
        <w:gridCol w:w="109"/>
        <w:gridCol w:w="52"/>
        <w:gridCol w:w="121"/>
        <w:gridCol w:w="782"/>
        <w:gridCol w:w="162"/>
        <w:gridCol w:w="24"/>
        <w:gridCol w:w="81"/>
        <w:gridCol w:w="29"/>
        <w:gridCol w:w="81"/>
        <w:gridCol w:w="26"/>
        <w:gridCol w:w="121"/>
        <w:gridCol w:w="809"/>
        <w:gridCol w:w="162"/>
        <w:gridCol w:w="110"/>
        <w:gridCol w:w="110"/>
        <w:gridCol w:w="121"/>
        <w:gridCol w:w="835"/>
        <w:gridCol w:w="133"/>
        <w:gridCol w:w="29"/>
        <w:gridCol w:w="81"/>
        <w:gridCol w:w="24"/>
        <w:gridCol w:w="83"/>
        <w:gridCol w:w="27"/>
        <w:gridCol w:w="94"/>
        <w:gridCol w:w="862"/>
        <w:gridCol w:w="106"/>
        <w:gridCol w:w="56"/>
        <w:gridCol w:w="54"/>
        <w:gridCol w:w="51"/>
        <w:gridCol w:w="56"/>
        <w:gridCol w:w="54"/>
        <w:gridCol w:w="56"/>
        <w:gridCol w:w="891"/>
        <w:gridCol w:w="75"/>
        <w:gridCol w:w="87"/>
        <w:gridCol w:w="6"/>
        <w:gridCol w:w="17"/>
        <w:gridCol w:w="10"/>
      </w:tblGrid>
      <w:tr w:rsidR="0073298C" w:rsidTr="0073298C">
        <w:tblPrEx>
          <w:tblCellMar>
            <w:top w:w="0" w:type="dxa"/>
            <w:left w:w="0" w:type="dxa"/>
            <w:bottom w:w="0" w:type="dxa"/>
            <w:right w:w="0" w:type="dxa"/>
          </w:tblCellMar>
        </w:tblPrEx>
        <w:trPr>
          <w:gridAfter w:val="2"/>
          <w:wAfter w:w="27" w:type="dxa"/>
          <w:trHeight w:val="66"/>
          <w:jc w:val="center"/>
        </w:trPr>
        <w:tc>
          <w:tcPr>
            <w:tcW w:w="10777" w:type="dxa"/>
            <w:gridSpan w:val="37"/>
            <w:tcBorders>
              <w:top w:val="nil"/>
              <w:left w:val="nil"/>
              <w:bottom w:val="nil"/>
              <w:right w:val="nil"/>
            </w:tcBorders>
            <w:vAlign w:val="center"/>
          </w:tcPr>
          <w:p w:rsidR="0073298C" w:rsidRDefault="0073298C" w:rsidP="0073298C">
            <w:pPr>
              <w:rPr>
                <w:sz w:val="16"/>
                <w:szCs w:val="16"/>
              </w:rPr>
            </w:pPr>
            <w:r>
              <w:rPr>
                <w:sz w:val="16"/>
                <w:szCs w:val="16"/>
              </w:rPr>
              <w:t> </w:t>
            </w:r>
          </w:p>
        </w:tc>
      </w:tr>
      <w:tr w:rsidR="0073298C" w:rsidTr="0073298C">
        <w:tblPrEx>
          <w:tblCellMar>
            <w:top w:w="0" w:type="dxa"/>
            <w:left w:w="0" w:type="dxa"/>
            <w:bottom w:w="0" w:type="dxa"/>
            <w:right w:w="0" w:type="dxa"/>
          </w:tblCellMar>
        </w:tblPrEx>
        <w:trPr>
          <w:gridAfter w:val="2"/>
          <w:wAfter w:w="27" w:type="dxa"/>
          <w:trHeight w:val="66"/>
          <w:jc w:val="center"/>
        </w:trPr>
        <w:tc>
          <w:tcPr>
            <w:tcW w:w="4217" w:type="dxa"/>
            <w:tcBorders>
              <w:top w:val="nil"/>
              <w:left w:val="nil"/>
              <w:bottom w:val="nil"/>
              <w:right w:val="nil"/>
            </w:tcBorders>
            <w:vAlign w:val="center"/>
          </w:tcPr>
          <w:p w:rsidR="0073298C" w:rsidRDefault="0073298C" w:rsidP="0073298C">
            <w:pPr>
              <w:rPr>
                <w:sz w:val="16"/>
                <w:szCs w:val="16"/>
              </w:rPr>
            </w:pPr>
            <w:r>
              <w:rPr>
                <w:sz w:val="16"/>
                <w:szCs w:val="16"/>
              </w:rPr>
              <w:t> </w:t>
            </w:r>
          </w:p>
        </w:tc>
        <w:tc>
          <w:tcPr>
            <w:tcW w:w="109" w:type="dxa"/>
            <w:tcBorders>
              <w:top w:val="nil"/>
              <w:left w:val="nil"/>
              <w:bottom w:val="nil"/>
              <w:right w:val="nil"/>
            </w:tcBorders>
            <w:vAlign w:val="center"/>
          </w:tcPr>
          <w:p w:rsidR="0073298C" w:rsidRDefault="0073298C" w:rsidP="0073298C">
            <w:pPr>
              <w:rPr>
                <w:sz w:val="16"/>
                <w:szCs w:val="16"/>
              </w:rPr>
            </w:pPr>
            <w:r>
              <w:rPr>
                <w:sz w:val="16"/>
                <w:szCs w:val="16"/>
              </w:rPr>
              <w:t> </w:t>
            </w:r>
          </w:p>
        </w:tc>
        <w:tc>
          <w:tcPr>
            <w:tcW w:w="955" w:type="dxa"/>
            <w:gridSpan w:val="3"/>
            <w:tcBorders>
              <w:top w:val="nil"/>
              <w:left w:val="nil"/>
              <w:bottom w:val="nil"/>
              <w:right w:val="nil"/>
            </w:tcBorders>
            <w:vAlign w:val="center"/>
          </w:tcPr>
          <w:p w:rsidR="0073298C" w:rsidRDefault="0073298C" w:rsidP="0073298C">
            <w:pPr>
              <w:rPr>
                <w:sz w:val="16"/>
                <w:szCs w:val="16"/>
              </w:rPr>
            </w:pPr>
            <w:r>
              <w:rPr>
                <w:sz w:val="16"/>
                <w:szCs w:val="16"/>
              </w:rPr>
              <w:t> </w:t>
            </w:r>
          </w:p>
        </w:tc>
        <w:tc>
          <w:tcPr>
            <w:tcW w:w="162" w:type="dxa"/>
            <w:tcBorders>
              <w:top w:val="nil"/>
              <w:left w:val="nil"/>
              <w:bottom w:val="nil"/>
              <w:right w:val="nil"/>
            </w:tcBorders>
            <w:vAlign w:val="center"/>
          </w:tcPr>
          <w:p w:rsidR="0073298C" w:rsidRDefault="0073298C" w:rsidP="0073298C">
            <w:pPr>
              <w:rPr>
                <w:sz w:val="16"/>
                <w:szCs w:val="16"/>
              </w:rPr>
            </w:pPr>
            <w:r>
              <w:rPr>
                <w:sz w:val="16"/>
                <w:szCs w:val="16"/>
              </w:rPr>
              <w:t> </w:t>
            </w:r>
          </w:p>
        </w:tc>
        <w:tc>
          <w:tcPr>
            <w:tcW w:w="105" w:type="dxa"/>
            <w:gridSpan w:val="2"/>
            <w:tcBorders>
              <w:top w:val="nil"/>
              <w:left w:val="nil"/>
              <w:bottom w:val="nil"/>
              <w:right w:val="nil"/>
            </w:tcBorders>
            <w:vAlign w:val="center"/>
          </w:tcPr>
          <w:p w:rsidR="0073298C" w:rsidRDefault="0073298C" w:rsidP="0073298C">
            <w:pPr>
              <w:rPr>
                <w:sz w:val="16"/>
                <w:szCs w:val="16"/>
              </w:rPr>
            </w:pPr>
            <w:r>
              <w:rPr>
                <w:sz w:val="16"/>
                <w:szCs w:val="16"/>
              </w:rPr>
              <w:t> </w:t>
            </w:r>
          </w:p>
        </w:tc>
        <w:tc>
          <w:tcPr>
            <w:tcW w:w="110" w:type="dxa"/>
            <w:gridSpan w:val="2"/>
            <w:tcBorders>
              <w:top w:val="nil"/>
              <w:left w:val="nil"/>
              <w:bottom w:val="nil"/>
              <w:right w:val="nil"/>
            </w:tcBorders>
            <w:vAlign w:val="center"/>
          </w:tcPr>
          <w:p w:rsidR="0073298C" w:rsidRDefault="0073298C" w:rsidP="0073298C">
            <w:pPr>
              <w:rPr>
                <w:sz w:val="16"/>
                <w:szCs w:val="16"/>
              </w:rPr>
            </w:pPr>
            <w:r>
              <w:rPr>
                <w:sz w:val="16"/>
                <w:szCs w:val="16"/>
              </w:rPr>
              <w:t> </w:t>
            </w:r>
          </w:p>
        </w:tc>
        <w:tc>
          <w:tcPr>
            <w:tcW w:w="956" w:type="dxa"/>
            <w:gridSpan w:val="3"/>
            <w:tcBorders>
              <w:top w:val="nil"/>
              <w:left w:val="nil"/>
              <w:bottom w:val="nil"/>
              <w:right w:val="nil"/>
            </w:tcBorders>
            <w:vAlign w:val="center"/>
          </w:tcPr>
          <w:p w:rsidR="0073298C" w:rsidRDefault="0073298C" w:rsidP="0073298C">
            <w:pPr>
              <w:rPr>
                <w:sz w:val="16"/>
                <w:szCs w:val="16"/>
              </w:rPr>
            </w:pPr>
            <w:r>
              <w:rPr>
                <w:sz w:val="16"/>
                <w:szCs w:val="16"/>
              </w:rPr>
              <w:t> </w:t>
            </w:r>
          </w:p>
        </w:tc>
        <w:tc>
          <w:tcPr>
            <w:tcW w:w="162" w:type="dxa"/>
            <w:tcBorders>
              <w:top w:val="nil"/>
              <w:left w:val="nil"/>
              <w:bottom w:val="nil"/>
              <w:right w:val="nil"/>
            </w:tcBorders>
            <w:vAlign w:val="center"/>
          </w:tcPr>
          <w:p w:rsidR="0073298C" w:rsidRDefault="0073298C" w:rsidP="0073298C">
            <w:pPr>
              <w:rPr>
                <w:sz w:val="16"/>
                <w:szCs w:val="16"/>
              </w:rPr>
            </w:pPr>
            <w:r>
              <w:rPr>
                <w:sz w:val="16"/>
                <w:szCs w:val="16"/>
              </w:rPr>
              <w:t> </w:t>
            </w:r>
          </w:p>
        </w:tc>
        <w:tc>
          <w:tcPr>
            <w:tcW w:w="110" w:type="dxa"/>
            <w:tcBorders>
              <w:top w:val="nil"/>
              <w:left w:val="nil"/>
              <w:bottom w:val="nil"/>
              <w:right w:val="nil"/>
            </w:tcBorders>
            <w:vAlign w:val="center"/>
          </w:tcPr>
          <w:p w:rsidR="0073298C" w:rsidRDefault="0073298C" w:rsidP="0073298C">
            <w:pPr>
              <w:rPr>
                <w:sz w:val="16"/>
                <w:szCs w:val="16"/>
              </w:rPr>
            </w:pPr>
            <w:r>
              <w:rPr>
                <w:sz w:val="16"/>
                <w:szCs w:val="16"/>
              </w:rPr>
              <w:t> </w:t>
            </w:r>
          </w:p>
        </w:tc>
        <w:tc>
          <w:tcPr>
            <w:tcW w:w="110" w:type="dxa"/>
            <w:tcBorders>
              <w:top w:val="nil"/>
              <w:left w:val="nil"/>
              <w:bottom w:val="nil"/>
              <w:right w:val="nil"/>
            </w:tcBorders>
            <w:vAlign w:val="center"/>
          </w:tcPr>
          <w:p w:rsidR="0073298C" w:rsidRDefault="0073298C" w:rsidP="0073298C">
            <w:pPr>
              <w:rPr>
                <w:sz w:val="16"/>
                <w:szCs w:val="16"/>
              </w:rPr>
            </w:pPr>
            <w:r>
              <w:rPr>
                <w:sz w:val="16"/>
                <w:szCs w:val="16"/>
              </w:rPr>
              <w:t> </w:t>
            </w:r>
          </w:p>
        </w:tc>
        <w:tc>
          <w:tcPr>
            <w:tcW w:w="956" w:type="dxa"/>
            <w:gridSpan w:val="2"/>
            <w:tcBorders>
              <w:top w:val="nil"/>
              <w:left w:val="nil"/>
              <w:bottom w:val="nil"/>
              <w:right w:val="nil"/>
            </w:tcBorders>
            <w:vAlign w:val="center"/>
          </w:tcPr>
          <w:p w:rsidR="0073298C" w:rsidRDefault="0073298C" w:rsidP="0073298C">
            <w:pPr>
              <w:rPr>
                <w:sz w:val="16"/>
                <w:szCs w:val="16"/>
              </w:rPr>
            </w:pPr>
            <w:r>
              <w:rPr>
                <w:sz w:val="16"/>
                <w:szCs w:val="16"/>
              </w:rPr>
              <w:t> </w:t>
            </w:r>
          </w:p>
        </w:tc>
        <w:tc>
          <w:tcPr>
            <w:tcW w:w="162" w:type="dxa"/>
            <w:gridSpan w:val="2"/>
            <w:tcBorders>
              <w:top w:val="nil"/>
              <w:left w:val="nil"/>
              <w:bottom w:val="nil"/>
              <w:right w:val="nil"/>
            </w:tcBorders>
            <w:vAlign w:val="center"/>
          </w:tcPr>
          <w:p w:rsidR="0073298C" w:rsidRDefault="0073298C" w:rsidP="0073298C">
            <w:pPr>
              <w:rPr>
                <w:sz w:val="16"/>
                <w:szCs w:val="16"/>
              </w:rPr>
            </w:pPr>
            <w:r>
              <w:rPr>
                <w:sz w:val="16"/>
                <w:szCs w:val="16"/>
              </w:rPr>
              <w:t> </w:t>
            </w:r>
          </w:p>
        </w:tc>
        <w:tc>
          <w:tcPr>
            <w:tcW w:w="105" w:type="dxa"/>
            <w:gridSpan w:val="2"/>
            <w:tcBorders>
              <w:top w:val="nil"/>
              <w:left w:val="nil"/>
              <w:bottom w:val="nil"/>
              <w:right w:val="nil"/>
            </w:tcBorders>
            <w:vAlign w:val="center"/>
          </w:tcPr>
          <w:p w:rsidR="0073298C" w:rsidRDefault="0073298C" w:rsidP="0073298C">
            <w:pPr>
              <w:rPr>
                <w:sz w:val="16"/>
                <w:szCs w:val="16"/>
              </w:rPr>
            </w:pPr>
            <w:r>
              <w:rPr>
                <w:sz w:val="16"/>
                <w:szCs w:val="16"/>
              </w:rPr>
              <w:t> </w:t>
            </w:r>
          </w:p>
        </w:tc>
        <w:tc>
          <w:tcPr>
            <w:tcW w:w="110" w:type="dxa"/>
            <w:gridSpan w:val="2"/>
            <w:tcBorders>
              <w:top w:val="nil"/>
              <w:left w:val="nil"/>
              <w:bottom w:val="nil"/>
              <w:right w:val="nil"/>
            </w:tcBorders>
            <w:vAlign w:val="center"/>
          </w:tcPr>
          <w:p w:rsidR="0073298C" w:rsidRDefault="0073298C" w:rsidP="0073298C">
            <w:pPr>
              <w:rPr>
                <w:sz w:val="16"/>
                <w:szCs w:val="16"/>
              </w:rPr>
            </w:pPr>
            <w:r>
              <w:rPr>
                <w:sz w:val="16"/>
                <w:szCs w:val="16"/>
              </w:rPr>
              <w:t> </w:t>
            </w:r>
          </w:p>
        </w:tc>
        <w:tc>
          <w:tcPr>
            <w:tcW w:w="956" w:type="dxa"/>
            <w:gridSpan w:val="2"/>
            <w:tcBorders>
              <w:top w:val="nil"/>
              <w:left w:val="nil"/>
              <w:bottom w:val="nil"/>
              <w:right w:val="nil"/>
            </w:tcBorders>
            <w:vAlign w:val="center"/>
          </w:tcPr>
          <w:p w:rsidR="0073298C" w:rsidRDefault="0073298C" w:rsidP="0073298C">
            <w:pPr>
              <w:rPr>
                <w:sz w:val="16"/>
                <w:szCs w:val="16"/>
              </w:rPr>
            </w:pPr>
            <w:r>
              <w:rPr>
                <w:sz w:val="16"/>
                <w:szCs w:val="16"/>
              </w:rPr>
              <w:t> </w:t>
            </w:r>
          </w:p>
        </w:tc>
        <w:tc>
          <w:tcPr>
            <w:tcW w:w="162" w:type="dxa"/>
            <w:gridSpan w:val="2"/>
            <w:tcBorders>
              <w:top w:val="nil"/>
              <w:left w:val="nil"/>
              <w:bottom w:val="nil"/>
              <w:right w:val="nil"/>
            </w:tcBorders>
            <w:vAlign w:val="center"/>
          </w:tcPr>
          <w:p w:rsidR="0073298C" w:rsidRDefault="0073298C" w:rsidP="0073298C">
            <w:pPr>
              <w:rPr>
                <w:sz w:val="16"/>
                <w:szCs w:val="16"/>
              </w:rPr>
            </w:pPr>
            <w:r>
              <w:rPr>
                <w:sz w:val="16"/>
                <w:szCs w:val="16"/>
              </w:rPr>
              <w:t> </w:t>
            </w:r>
          </w:p>
        </w:tc>
        <w:tc>
          <w:tcPr>
            <w:tcW w:w="105" w:type="dxa"/>
            <w:gridSpan w:val="2"/>
            <w:tcBorders>
              <w:top w:val="nil"/>
              <w:left w:val="nil"/>
              <w:bottom w:val="nil"/>
              <w:right w:val="nil"/>
            </w:tcBorders>
            <w:vAlign w:val="center"/>
          </w:tcPr>
          <w:p w:rsidR="0073298C" w:rsidRDefault="0073298C" w:rsidP="0073298C">
            <w:pPr>
              <w:rPr>
                <w:sz w:val="16"/>
                <w:szCs w:val="16"/>
              </w:rPr>
            </w:pPr>
            <w:r>
              <w:rPr>
                <w:sz w:val="16"/>
                <w:szCs w:val="16"/>
              </w:rPr>
              <w:t> </w:t>
            </w:r>
          </w:p>
        </w:tc>
        <w:tc>
          <w:tcPr>
            <w:tcW w:w="110" w:type="dxa"/>
            <w:gridSpan w:val="2"/>
            <w:tcBorders>
              <w:top w:val="nil"/>
              <w:left w:val="nil"/>
              <w:bottom w:val="nil"/>
              <w:right w:val="nil"/>
            </w:tcBorders>
            <w:vAlign w:val="center"/>
          </w:tcPr>
          <w:p w:rsidR="0073298C" w:rsidRDefault="0073298C" w:rsidP="0073298C">
            <w:pPr>
              <w:rPr>
                <w:sz w:val="16"/>
                <w:szCs w:val="16"/>
              </w:rPr>
            </w:pPr>
            <w:r>
              <w:rPr>
                <w:sz w:val="16"/>
                <w:szCs w:val="16"/>
              </w:rPr>
              <w:t> </w:t>
            </w:r>
          </w:p>
        </w:tc>
        <w:tc>
          <w:tcPr>
            <w:tcW w:w="947" w:type="dxa"/>
            <w:gridSpan w:val="2"/>
            <w:tcBorders>
              <w:top w:val="nil"/>
              <w:left w:val="nil"/>
              <w:bottom w:val="nil"/>
              <w:right w:val="nil"/>
            </w:tcBorders>
            <w:vAlign w:val="center"/>
          </w:tcPr>
          <w:p w:rsidR="0073298C" w:rsidRDefault="0073298C" w:rsidP="0073298C">
            <w:pPr>
              <w:rPr>
                <w:sz w:val="16"/>
                <w:szCs w:val="16"/>
              </w:rPr>
            </w:pPr>
            <w:r>
              <w:rPr>
                <w:sz w:val="16"/>
                <w:szCs w:val="16"/>
              </w:rPr>
              <w:t> </w:t>
            </w:r>
          </w:p>
        </w:tc>
        <w:tc>
          <w:tcPr>
            <w:tcW w:w="168" w:type="dxa"/>
            <w:gridSpan w:val="3"/>
            <w:tcBorders>
              <w:top w:val="nil"/>
              <w:left w:val="nil"/>
              <w:bottom w:val="nil"/>
              <w:right w:val="nil"/>
            </w:tcBorders>
            <w:vAlign w:val="center"/>
          </w:tcPr>
          <w:p w:rsidR="0073298C" w:rsidRDefault="0073298C" w:rsidP="0073298C">
            <w:pPr>
              <w:rPr>
                <w:sz w:val="16"/>
                <w:szCs w:val="16"/>
              </w:rPr>
            </w:pPr>
            <w:r>
              <w:rPr>
                <w:sz w:val="16"/>
                <w:szCs w:val="16"/>
              </w:rPr>
              <w:t> </w:t>
            </w:r>
          </w:p>
        </w:tc>
      </w:tr>
      <w:tr w:rsidR="0073298C" w:rsidTr="0073298C">
        <w:tblPrEx>
          <w:tblCellMar>
            <w:top w:w="0" w:type="dxa"/>
            <w:left w:w="0" w:type="dxa"/>
            <w:bottom w:w="0" w:type="dxa"/>
            <w:right w:w="0" w:type="dxa"/>
          </w:tblCellMar>
        </w:tblPrEx>
        <w:trPr>
          <w:gridAfter w:val="3"/>
          <w:wAfter w:w="33" w:type="dxa"/>
          <w:trHeight w:val="298"/>
          <w:jc w:val="center"/>
        </w:trPr>
        <w:tc>
          <w:tcPr>
            <w:tcW w:w="4217" w:type="dxa"/>
            <w:tcBorders>
              <w:top w:val="single" w:sz="6" w:space="0" w:color="00467E"/>
              <w:left w:val="single" w:sz="6" w:space="0" w:color="00467E"/>
              <w:bottom w:val="nil"/>
              <w:right w:val="nil"/>
            </w:tcBorders>
            <w:vAlign w:val="bottom"/>
          </w:tcPr>
          <w:p w:rsidR="0073298C" w:rsidRDefault="0073298C" w:rsidP="0073298C">
            <w:pPr>
              <w:spacing w:before="22" w:after="22"/>
              <w:ind w:left="22" w:right="22"/>
              <w:rPr>
                <w:rFonts w:ascii="Arial" w:hAnsi="Arial" w:cs="Arial"/>
                <w:b/>
                <w:bCs w:val="0"/>
                <w:i/>
                <w:iCs/>
                <w:color w:val="9D1B11"/>
                <w:sz w:val="16"/>
                <w:szCs w:val="16"/>
              </w:rPr>
            </w:pPr>
            <w:r>
              <w:rPr>
                <w:rFonts w:ascii="Arial" w:hAnsi="Arial" w:cs="Arial"/>
                <w:b/>
                <w:bCs w:val="0"/>
                <w:i/>
                <w:iCs/>
                <w:color w:val="9D1B11"/>
                <w:sz w:val="16"/>
                <w:szCs w:val="16"/>
              </w:rPr>
              <w:t>Consolidated income statement GAAP data</w:t>
            </w:r>
            <w:r>
              <w:rPr>
                <w:rFonts w:ascii="Arial" w:hAnsi="Arial" w:cs="Arial"/>
                <w:b/>
                <w:bCs w:val="0"/>
                <w:i/>
                <w:iCs/>
                <w:color w:val="9D1B11"/>
                <w:sz w:val="14"/>
                <w:szCs w:val="14"/>
                <w:vertAlign w:val="superscript"/>
              </w:rPr>
              <w:t>(1)</w:t>
            </w:r>
            <w:r>
              <w:rPr>
                <w:rFonts w:ascii="Arial" w:hAnsi="Arial" w:cs="Arial"/>
                <w:b/>
                <w:bCs w:val="0"/>
                <w:i/>
                <w:iCs/>
                <w:color w:val="9D1B11"/>
                <w:sz w:val="16"/>
                <w:szCs w:val="16"/>
              </w:rPr>
              <w:t>:</w:t>
            </w:r>
          </w:p>
        </w:tc>
        <w:tc>
          <w:tcPr>
            <w:tcW w:w="1226" w:type="dxa"/>
            <w:gridSpan w:val="5"/>
            <w:tcBorders>
              <w:top w:val="single" w:sz="6" w:space="0" w:color="00467E"/>
              <w:left w:val="nil"/>
              <w:bottom w:val="single" w:sz="6" w:space="0" w:color="000000"/>
              <w:right w:val="nil"/>
            </w:tcBorders>
            <w:vAlign w:val="bottom"/>
          </w:tcPr>
          <w:p w:rsidR="0073298C" w:rsidRDefault="0073298C" w:rsidP="0073298C">
            <w:pPr>
              <w:spacing w:before="22" w:after="22"/>
              <w:ind w:left="22" w:right="22"/>
              <w:jc w:val="center"/>
              <w:rPr>
                <w:rFonts w:ascii="Arial" w:hAnsi="Arial" w:cs="Arial"/>
                <w:b/>
                <w:bCs w:val="0"/>
                <w:color w:val="000000"/>
                <w:sz w:val="14"/>
                <w:szCs w:val="14"/>
              </w:rPr>
            </w:pPr>
            <w:r>
              <w:rPr>
                <w:rFonts w:ascii="Arial" w:hAnsi="Arial" w:cs="Arial"/>
                <w:b/>
                <w:bCs w:val="0"/>
                <w:color w:val="000000"/>
                <w:sz w:val="14"/>
                <w:szCs w:val="14"/>
              </w:rPr>
              <w:t>2017</w:t>
            </w:r>
          </w:p>
        </w:tc>
        <w:tc>
          <w:tcPr>
            <w:tcW w:w="105" w:type="dxa"/>
            <w:gridSpan w:val="2"/>
            <w:tcBorders>
              <w:top w:val="single" w:sz="6" w:space="0" w:color="00467E"/>
              <w:left w:val="nil"/>
              <w:bottom w:val="nil"/>
              <w:right w:val="nil"/>
            </w:tcBorders>
            <w:vAlign w:val="bottom"/>
          </w:tcPr>
          <w:p w:rsidR="0073298C" w:rsidRDefault="0073298C" w:rsidP="0073298C">
            <w:pPr>
              <w:spacing w:before="22" w:after="22"/>
              <w:ind w:left="22" w:right="22"/>
              <w:rPr>
                <w:color w:val="000000"/>
              </w:rPr>
            </w:pPr>
            <w:r>
              <w:rPr>
                <w:color w:val="000000"/>
              </w:rPr>
              <w:t> </w:t>
            </w:r>
          </w:p>
        </w:tc>
        <w:tc>
          <w:tcPr>
            <w:tcW w:w="1228" w:type="dxa"/>
            <w:gridSpan w:val="6"/>
            <w:tcBorders>
              <w:top w:val="single" w:sz="6" w:space="0" w:color="00467E"/>
              <w:left w:val="nil"/>
              <w:bottom w:val="single" w:sz="6" w:space="0" w:color="000000"/>
              <w:right w:val="nil"/>
            </w:tcBorders>
            <w:vAlign w:val="bottom"/>
          </w:tcPr>
          <w:p w:rsidR="0073298C" w:rsidRDefault="0073298C" w:rsidP="0073298C">
            <w:pPr>
              <w:spacing w:before="22" w:after="22"/>
              <w:ind w:left="22" w:right="22"/>
              <w:jc w:val="center"/>
              <w:rPr>
                <w:rFonts w:ascii="Arial" w:hAnsi="Arial" w:cs="Arial"/>
                <w:b/>
                <w:bCs w:val="0"/>
                <w:color w:val="000000"/>
                <w:sz w:val="14"/>
                <w:szCs w:val="14"/>
              </w:rPr>
            </w:pPr>
            <w:r>
              <w:rPr>
                <w:rFonts w:ascii="Arial" w:hAnsi="Arial" w:cs="Arial"/>
                <w:b/>
                <w:bCs w:val="0"/>
                <w:color w:val="000000"/>
                <w:sz w:val="14"/>
                <w:szCs w:val="14"/>
              </w:rPr>
              <w:t>2016</w:t>
            </w:r>
          </w:p>
        </w:tc>
        <w:tc>
          <w:tcPr>
            <w:tcW w:w="110" w:type="dxa"/>
            <w:tcBorders>
              <w:top w:val="single" w:sz="6" w:space="0" w:color="00467E"/>
              <w:left w:val="nil"/>
              <w:bottom w:val="nil"/>
              <w:right w:val="nil"/>
            </w:tcBorders>
            <w:vAlign w:val="bottom"/>
          </w:tcPr>
          <w:p w:rsidR="0073298C" w:rsidRDefault="0073298C" w:rsidP="0073298C">
            <w:pPr>
              <w:spacing w:before="22" w:after="22"/>
              <w:ind w:left="22" w:right="22"/>
              <w:rPr>
                <w:color w:val="000000"/>
              </w:rPr>
            </w:pPr>
            <w:r>
              <w:rPr>
                <w:color w:val="000000"/>
              </w:rPr>
              <w:t> </w:t>
            </w:r>
          </w:p>
        </w:tc>
        <w:tc>
          <w:tcPr>
            <w:tcW w:w="1228" w:type="dxa"/>
            <w:gridSpan w:val="5"/>
            <w:tcBorders>
              <w:top w:val="single" w:sz="6" w:space="0" w:color="00467E"/>
              <w:left w:val="nil"/>
              <w:bottom w:val="single" w:sz="6" w:space="0" w:color="000000"/>
              <w:right w:val="nil"/>
            </w:tcBorders>
            <w:vAlign w:val="bottom"/>
          </w:tcPr>
          <w:p w:rsidR="0073298C" w:rsidRDefault="0073298C" w:rsidP="0073298C">
            <w:pPr>
              <w:spacing w:before="22" w:after="22"/>
              <w:ind w:left="22" w:right="22"/>
              <w:jc w:val="center"/>
              <w:rPr>
                <w:rFonts w:ascii="Arial" w:hAnsi="Arial" w:cs="Arial"/>
                <w:b/>
                <w:bCs w:val="0"/>
                <w:color w:val="000000"/>
                <w:sz w:val="14"/>
                <w:szCs w:val="14"/>
              </w:rPr>
            </w:pPr>
            <w:r>
              <w:rPr>
                <w:rFonts w:ascii="Arial" w:hAnsi="Arial" w:cs="Arial"/>
                <w:b/>
                <w:bCs w:val="0"/>
                <w:color w:val="000000"/>
                <w:sz w:val="14"/>
                <w:szCs w:val="14"/>
              </w:rPr>
              <w:t>2015</w:t>
            </w:r>
          </w:p>
        </w:tc>
        <w:tc>
          <w:tcPr>
            <w:tcW w:w="105" w:type="dxa"/>
            <w:gridSpan w:val="2"/>
            <w:tcBorders>
              <w:top w:val="single" w:sz="6" w:space="0" w:color="00467E"/>
              <w:left w:val="nil"/>
              <w:bottom w:val="nil"/>
              <w:right w:val="nil"/>
            </w:tcBorders>
            <w:vAlign w:val="bottom"/>
          </w:tcPr>
          <w:p w:rsidR="0073298C" w:rsidRDefault="0073298C" w:rsidP="0073298C">
            <w:pPr>
              <w:spacing w:before="22" w:after="22"/>
              <w:ind w:left="22" w:right="22"/>
              <w:rPr>
                <w:color w:val="000000"/>
              </w:rPr>
            </w:pPr>
            <w:r>
              <w:rPr>
                <w:color w:val="000000"/>
              </w:rPr>
              <w:t> </w:t>
            </w:r>
          </w:p>
        </w:tc>
        <w:tc>
          <w:tcPr>
            <w:tcW w:w="1228" w:type="dxa"/>
            <w:gridSpan w:val="6"/>
            <w:tcBorders>
              <w:top w:val="single" w:sz="6" w:space="0" w:color="00467E"/>
              <w:left w:val="nil"/>
              <w:bottom w:val="single" w:sz="6" w:space="0" w:color="000000"/>
              <w:right w:val="nil"/>
            </w:tcBorders>
            <w:vAlign w:val="bottom"/>
          </w:tcPr>
          <w:p w:rsidR="0073298C" w:rsidRDefault="0073298C" w:rsidP="0073298C">
            <w:pPr>
              <w:spacing w:before="22" w:after="22"/>
              <w:ind w:left="22" w:right="22"/>
              <w:jc w:val="center"/>
              <w:rPr>
                <w:rFonts w:ascii="Arial" w:hAnsi="Arial" w:cs="Arial"/>
                <w:b/>
                <w:bCs w:val="0"/>
                <w:color w:val="000000"/>
                <w:sz w:val="12"/>
                <w:szCs w:val="12"/>
                <w:vertAlign w:val="superscript"/>
              </w:rPr>
            </w:pPr>
            <w:r>
              <w:rPr>
                <w:rFonts w:ascii="Arial" w:hAnsi="Arial" w:cs="Arial"/>
                <w:b/>
                <w:bCs w:val="0"/>
                <w:color w:val="000000"/>
                <w:sz w:val="14"/>
                <w:szCs w:val="14"/>
              </w:rPr>
              <w:t xml:space="preserve">2014 </w:t>
            </w:r>
            <w:r>
              <w:rPr>
                <w:rFonts w:ascii="Arial" w:hAnsi="Arial" w:cs="Arial"/>
                <w:b/>
                <w:bCs w:val="0"/>
                <w:color w:val="000000"/>
                <w:sz w:val="12"/>
                <w:szCs w:val="12"/>
                <w:vertAlign w:val="superscript"/>
              </w:rPr>
              <w:t>(8)</w:t>
            </w:r>
          </w:p>
        </w:tc>
        <w:tc>
          <w:tcPr>
            <w:tcW w:w="105" w:type="dxa"/>
            <w:gridSpan w:val="2"/>
            <w:tcBorders>
              <w:top w:val="single" w:sz="6" w:space="0" w:color="00467E"/>
              <w:left w:val="nil"/>
              <w:bottom w:val="nil"/>
              <w:right w:val="nil"/>
            </w:tcBorders>
            <w:vAlign w:val="bottom"/>
          </w:tcPr>
          <w:p w:rsidR="0073298C" w:rsidRDefault="0073298C" w:rsidP="0073298C">
            <w:pPr>
              <w:spacing w:before="22" w:after="22"/>
              <w:ind w:left="22" w:right="22"/>
              <w:rPr>
                <w:color w:val="000000"/>
              </w:rPr>
            </w:pPr>
            <w:r>
              <w:rPr>
                <w:color w:val="000000"/>
              </w:rPr>
              <w:t> </w:t>
            </w:r>
          </w:p>
        </w:tc>
        <w:tc>
          <w:tcPr>
            <w:tcW w:w="1219" w:type="dxa"/>
            <w:gridSpan w:val="6"/>
            <w:tcBorders>
              <w:top w:val="single" w:sz="6" w:space="0" w:color="00467E"/>
              <w:left w:val="nil"/>
              <w:bottom w:val="single" w:sz="6" w:space="0" w:color="000000"/>
              <w:right w:val="single" w:sz="6" w:space="0" w:color="00467E"/>
            </w:tcBorders>
            <w:vAlign w:val="bottom"/>
          </w:tcPr>
          <w:p w:rsidR="0073298C" w:rsidRDefault="0073298C" w:rsidP="0073298C">
            <w:pPr>
              <w:spacing w:before="22" w:after="22"/>
              <w:ind w:left="22" w:right="22"/>
              <w:jc w:val="center"/>
              <w:rPr>
                <w:rFonts w:ascii="Arial" w:hAnsi="Arial" w:cs="Arial"/>
                <w:b/>
                <w:bCs w:val="0"/>
                <w:color w:val="000000"/>
                <w:sz w:val="14"/>
                <w:szCs w:val="14"/>
              </w:rPr>
            </w:pPr>
            <w:r>
              <w:rPr>
                <w:rFonts w:ascii="Arial" w:hAnsi="Arial" w:cs="Arial"/>
                <w:b/>
                <w:bCs w:val="0"/>
                <w:color w:val="000000"/>
                <w:sz w:val="14"/>
                <w:szCs w:val="14"/>
              </w:rPr>
              <w:t>2013</w:t>
            </w:r>
          </w:p>
        </w:tc>
      </w:tr>
      <w:tr w:rsidR="0073298C" w:rsidTr="0073298C">
        <w:tblPrEx>
          <w:tblCellMar>
            <w:top w:w="0" w:type="dxa"/>
            <w:left w:w="0" w:type="dxa"/>
            <w:bottom w:w="0" w:type="dxa"/>
            <w:right w:w="0" w:type="dxa"/>
          </w:tblCellMar>
        </w:tblPrEx>
        <w:trPr>
          <w:gridAfter w:val="2"/>
          <w:wAfter w:w="27" w:type="dxa"/>
          <w:trHeight w:val="281"/>
          <w:jc w:val="center"/>
        </w:trPr>
        <w:tc>
          <w:tcPr>
            <w:tcW w:w="4217" w:type="dxa"/>
            <w:tcBorders>
              <w:top w:val="nil"/>
              <w:left w:val="single" w:sz="6" w:space="0" w:color="00467E"/>
              <w:bottom w:val="nil"/>
              <w:right w:val="nil"/>
            </w:tcBorders>
            <w:shd w:val="clear" w:color="CFD4D8" w:fill="CFD4D8"/>
            <w:vAlign w:val="center"/>
          </w:tcPr>
          <w:p w:rsidR="0073298C" w:rsidRDefault="0073298C" w:rsidP="0073298C">
            <w:pPr>
              <w:spacing w:before="22" w:after="22"/>
              <w:ind w:left="22" w:right="22"/>
              <w:rPr>
                <w:rFonts w:ascii="Arial" w:hAnsi="Arial" w:cs="Arial"/>
                <w:color w:val="000000"/>
                <w:sz w:val="16"/>
                <w:szCs w:val="16"/>
              </w:rPr>
            </w:pPr>
            <w:r>
              <w:rPr>
                <w:rFonts w:ascii="Arial" w:hAnsi="Arial" w:cs="Arial"/>
                <w:color w:val="000000"/>
                <w:sz w:val="16"/>
                <w:szCs w:val="16"/>
              </w:rPr>
              <w:t>Total revenue</w:t>
            </w:r>
          </w:p>
        </w:tc>
        <w:tc>
          <w:tcPr>
            <w:tcW w:w="109" w:type="dxa"/>
            <w:tcBorders>
              <w:top w:val="single" w:sz="6" w:space="0" w:color="000000"/>
              <w:left w:val="nil"/>
              <w:bottom w:val="nil"/>
              <w:right w:val="nil"/>
            </w:tcBorders>
            <w:shd w:val="clear" w:color="CFD4D8" w:fill="CFD4D8"/>
            <w:vAlign w:val="center"/>
          </w:tcPr>
          <w:p w:rsidR="0073298C" w:rsidRDefault="0073298C" w:rsidP="0073298C">
            <w:pPr>
              <w:spacing w:before="22" w:after="22"/>
              <w:ind w:left="22"/>
              <w:rPr>
                <w:rFonts w:ascii="Arial" w:hAnsi="Arial" w:cs="Arial"/>
                <w:color w:val="000000"/>
                <w:sz w:val="16"/>
                <w:szCs w:val="16"/>
              </w:rPr>
            </w:pPr>
            <w:r>
              <w:rPr>
                <w:rFonts w:ascii="Arial" w:hAnsi="Arial" w:cs="Arial"/>
                <w:color w:val="000000"/>
                <w:sz w:val="16"/>
                <w:szCs w:val="16"/>
              </w:rPr>
              <w:t>$</w:t>
            </w:r>
          </w:p>
        </w:tc>
        <w:tc>
          <w:tcPr>
            <w:tcW w:w="955" w:type="dxa"/>
            <w:gridSpan w:val="3"/>
            <w:tcBorders>
              <w:top w:val="single" w:sz="6" w:space="0" w:color="000000"/>
              <w:left w:val="nil"/>
              <w:bottom w:val="nil"/>
              <w:right w:val="nil"/>
            </w:tcBorders>
            <w:shd w:val="clear" w:color="CFD4D8" w:fill="CFD4D8"/>
            <w:vAlign w:val="center"/>
          </w:tcPr>
          <w:p w:rsidR="0073298C" w:rsidRDefault="0073298C" w:rsidP="0073298C">
            <w:pPr>
              <w:spacing w:before="22" w:after="22"/>
              <w:jc w:val="right"/>
              <w:rPr>
                <w:rFonts w:ascii="Arial" w:hAnsi="Arial" w:cs="Arial"/>
                <w:color w:val="000000"/>
                <w:sz w:val="16"/>
                <w:szCs w:val="16"/>
              </w:rPr>
            </w:pPr>
            <w:r>
              <w:rPr>
                <w:rFonts w:ascii="Arial" w:hAnsi="Arial" w:cs="Arial"/>
                <w:color w:val="000000"/>
                <w:sz w:val="16"/>
                <w:szCs w:val="16"/>
              </w:rPr>
              <w:t>2,425,453</w:t>
            </w:r>
          </w:p>
        </w:tc>
        <w:tc>
          <w:tcPr>
            <w:tcW w:w="162" w:type="dxa"/>
            <w:tcBorders>
              <w:top w:val="single" w:sz="6" w:space="0" w:color="000000"/>
              <w:left w:val="nil"/>
              <w:bottom w:val="nil"/>
              <w:right w:val="nil"/>
            </w:tcBorders>
            <w:shd w:val="clear" w:color="CFD4D8" w:fill="CFD4D8"/>
            <w:vAlign w:val="bottom"/>
          </w:tcPr>
          <w:p w:rsidR="0073298C" w:rsidRDefault="0073298C" w:rsidP="0073298C">
            <w:pPr>
              <w:spacing w:before="22" w:after="22"/>
              <w:jc w:val="right"/>
              <w:rPr>
                <w:rFonts w:ascii="Arial" w:hAnsi="Arial" w:cs="Arial"/>
                <w:color w:val="000000"/>
                <w:sz w:val="16"/>
                <w:szCs w:val="16"/>
              </w:rPr>
            </w:pPr>
          </w:p>
          <w:p w:rsidR="0073298C" w:rsidRDefault="0073298C" w:rsidP="0073298C">
            <w:pPr>
              <w:rPr>
                <w:sz w:val="16"/>
                <w:szCs w:val="16"/>
              </w:rPr>
            </w:pPr>
            <w:r>
              <w:rPr>
                <w:sz w:val="16"/>
                <w:szCs w:val="16"/>
              </w:rPr>
              <w:t> </w:t>
            </w:r>
          </w:p>
        </w:tc>
        <w:tc>
          <w:tcPr>
            <w:tcW w:w="105" w:type="dxa"/>
            <w:gridSpan w:val="2"/>
            <w:tcBorders>
              <w:top w:val="nil"/>
              <w:left w:val="nil"/>
              <w:bottom w:val="nil"/>
              <w:right w:val="nil"/>
            </w:tcBorders>
            <w:shd w:val="clear" w:color="CFD4D8" w:fill="CFD4D8"/>
            <w:vAlign w:val="bottom"/>
          </w:tcPr>
          <w:p w:rsidR="0073298C" w:rsidRDefault="0073298C" w:rsidP="0073298C">
            <w:pPr>
              <w:spacing w:before="22" w:after="22"/>
              <w:ind w:left="22" w:right="22"/>
              <w:rPr>
                <w:color w:val="000000"/>
              </w:rPr>
            </w:pPr>
            <w:r>
              <w:rPr>
                <w:color w:val="000000"/>
              </w:rPr>
              <w:t> </w:t>
            </w:r>
          </w:p>
        </w:tc>
        <w:tc>
          <w:tcPr>
            <w:tcW w:w="110" w:type="dxa"/>
            <w:gridSpan w:val="2"/>
            <w:tcBorders>
              <w:top w:val="nil"/>
              <w:left w:val="nil"/>
              <w:bottom w:val="nil"/>
              <w:right w:val="nil"/>
            </w:tcBorders>
            <w:shd w:val="clear" w:color="CFD4D8" w:fill="CFD4D8"/>
            <w:vAlign w:val="center"/>
          </w:tcPr>
          <w:p w:rsidR="0073298C" w:rsidRDefault="0073298C" w:rsidP="0073298C">
            <w:pPr>
              <w:spacing w:before="22" w:after="22"/>
              <w:ind w:left="22"/>
              <w:rPr>
                <w:rFonts w:ascii="Arial" w:hAnsi="Arial" w:cs="Arial"/>
                <w:color w:val="000000"/>
                <w:sz w:val="16"/>
                <w:szCs w:val="16"/>
              </w:rPr>
            </w:pPr>
            <w:r>
              <w:rPr>
                <w:rFonts w:ascii="Arial" w:hAnsi="Arial" w:cs="Arial"/>
                <w:color w:val="000000"/>
                <w:sz w:val="16"/>
                <w:szCs w:val="16"/>
              </w:rPr>
              <w:t>$</w:t>
            </w:r>
          </w:p>
        </w:tc>
        <w:tc>
          <w:tcPr>
            <w:tcW w:w="956" w:type="dxa"/>
            <w:gridSpan w:val="3"/>
            <w:tcBorders>
              <w:top w:val="nil"/>
              <w:left w:val="nil"/>
              <w:bottom w:val="nil"/>
              <w:right w:val="nil"/>
            </w:tcBorders>
            <w:shd w:val="clear" w:color="CFD4D8" w:fill="CFD4D8"/>
            <w:vAlign w:val="center"/>
          </w:tcPr>
          <w:p w:rsidR="0073298C" w:rsidRDefault="0073298C" w:rsidP="0073298C">
            <w:pPr>
              <w:spacing w:before="22" w:after="22"/>
              <w:jc w:val="right"/>
              <w:rPr>
                <w:rFonts w:ascii="Arial" w:hAnsi="Arial" w:cs="Arial"/>
                <w:color w:val="000000"/>
                <w:sz w:val="16"/>
                <w:szCs w:val="16"/>
              </w:rPr>
            </w:pPr>
            <w:r>
              <w:rPr>
                <w:rFonts w:ascii="Arial" w:hAnsi="Arial" w:cs="Arial"/>
                <w:color w:val="000000"/>
                <w:sz w:val="16"/>
                <w:szCs w:val="16"/>
              </w:rPr>
              <w:t>1,118,034</w:t>
            </w:r>
          </w:p>
        </w:tc>
        <w:tc>
          <w:tcPr>
            <w:tcW w:w="162" w:type="dxa"/>
            <w:tcBorders>
              <w:top w:val="nil"/>
              <w:left w:val="nil"/>
              <w:bottom w:val="nil"/>
              <w:right w:val="nil"/>
            </w:tcBorders>
            <w:shd w:val="clear" w:color="CFD4D8" w:fill="CFD4D8"/>
            <w:vAlign w:val="bottom"/>
          </w:tcPr>
          <w:p w:rsidR="0073298C" w:rsidRDefault="0073298C" w:rsidP="0073298C">
            <w:pPr>
              <w:spacing w:before="22" w:after="22"/>
              <w:jc w:val="right"/>
              <w:rPr>
                <w:rFonts w:ascii="Arial" w:hAnsi="Arial" w:cs="Arial"/>
                <w:color w:val="000000"/>
                <w:sz w:val="16"/>
                <w:szCs w:val="16"/>
              </w:rPr>
            </w:pPr>
          </w:p>
          <w:p w:rsidR="0073298C" w:rsidRDefault="0073298C" w:rsidP="0073298C">
            <w:pPr>
              <w:rPr>
                <w:sz w:val="16"/>
                <w:szCs w:val="16"/>
              </w:rPr>
            </w:pPr>
            <w:r>
              <w:rPr>
                <w:sz w:val="16"/>
                <w:szCs w:val="16"/>
              </w:rPr>
              <w:t> </w:t>
            </w:r>
          </w:p>
        </w:tc>
        <w:tc>
          <w:tcPr>
            <w:tcW w:w="110" w:type="dxa"/>
            <w:tcBorders>
              <w:top w:val="nil"/>
              <w:left w:val="nil"/>
              <w:bottom w:val="nil"/>
              <w:right w:val="nil"/>
            </w:tcBorders>
            <w:shd w:val="clear" w:color="CFD4D8" w:fill="CFD4D8"/>
            <w:vAlign w:val="bottom"/>
          </w:tcPr>
          <w:p w:rsidR="0073298C" w:rsidRDefault="0073298C" w:rsidP="0073298C">
            <w:pPr>
              <w:spacing w:before="22" w:after="22"/>
              <w:ind w:left="22" w:right="22"/>
              <w:rPr>
                <w:color w:val="000000"/>
              </w:rPr>
            </w:pPr>
            <w:r>
              <w:rPr>
                <w:color w:val="000000"/>
              </w:rPr>
              <w:t> </w:t>
            </w:r>
          </w:p>
        </w:tc>
        <w:tc>
          <w:tcPr>
            <w:tcW w:w="110" w:type="dxa"/>
            <w:tcBorders>
              <w:top w:val="nil"/>
              <w:left w:val="nil"/>
              <w:bottom w:val="nil"/>
              <w:right w:val="nil"/>
            </w:tcBorders>
            <w:shd w:val="clear" w:color="CFD4D8" w:fill="CFD4D8"/>
            <w:vAlign w:val="center"/>
          </w:tcPr>
          <w:p w:rsidR="0073298C" w:rsidRDefault="0073298C" w:rsidP="0073298C">
            <w:pPr>
              <w:spacing w:before="22" w:after="22"/>
              <w:ind w:left="22"/>
              <w:rPr>
                <w:rFonts w:ascii="Arial" w:hAnsi="Arial" w:cs="Arial"/>
                <w:color w:val="000000"/>
                <w:sz w:val="16"/>
                <w:szCs w:val="16"/>
              </w:rPr>
            </w:pPr>
            <w:r>
              <w:rPr>
                <w:rFonts w:ascii="Arial" w:hAnsi="Arial" w:cs="Arial"/>
                <w:color w:val="000000"/>
                <w:sz w:val="16"/>
                <w:szCs w:val="16"/>
              </w:rPr>
              <w:t>$</w:t>
            </w:r>
          </w:p>
        </w:tc>
        <w:tc>
          <w:tcPr>
            <w:tcW w:w="956" w:type="dxa"/>
            <w:gridSpan w:val="2"/>
            <w:tcBorders>
              <w:top w:val="nil"/>
              <w:left w:val="nil"/>
              <w:bottom w:val="nil"/>
              <w:right w:val="nil"/>
            </w:tcBorders>
            <w:shd w:val="clear" w:color="CFD4D8" w:fill="CFD4D8"/>
            <w:vAlign w:val="center"/>
          </w:tcPr>
          <w:p w:rsidR="0073298C" w:rsidRDefault="0073298C" w:rsidP="0073298C">
            <w:pPr>
              <w:spacing w:before="22" w:after="22"/>
              <w:jc w:val="right"/>
              <w:rPr>
                <w:rFonts w:ascii="Arial" w:hAnsi="Arial" w:cs="Arial"/>
                <w:color w:val="000000"/>
                <w:sz w:val="16"/>
                <w:szCs w:val="16"/>
              </w:rPr>
            </w:pPr>
            <w:r>
              <w:rPr>
                <w:rFonts w:ascii="Arial" w:hAnsi="Arial" w:cs="Arial"/>
                <w:color w:val="000000"/>
                <w:sz w:val="16"/>
                <w:szCs w:val="16"/>
              </w:rPr>
              <w:t>1,182,964</w:t>
            </w:r>
          </w:p>
        </w:tc>
        <w:tc>
          <w:tcPr>
            <w:tcW w:w="162" w:type="dxa"/>
            <w:gridSpan w:val="2"/>
            <w:tcBorders>
              <w:top w:val="nil"/>
              <w:left w:val="nil"/>
              <w:bottom w:val="nil"/>
              <w:right w:val="nil"/>
            </w:tcBorders>
            <w:shd w:val="clear" w:color="CFD4D8" w:fill="CFD4D8"/>
            <w:vAlign w:val="bottom"/>
          </w:tcPr>
          <w:p w:rsidR="0073298C" w:rsidRDefault="0073298C" w:rsidP="0073298C">
            <w:pPr>
              <w:spacing w:before="22" w:after="22"/>
              <w:jc w:val="right"/>
              <w:rPr>
                <w:rFonts w:ascii="Arial" w:hAnsi="Arial" w:cs="Arial"/>
                <w:color w:val="000000"/>
                <w:sz w:val="16"/>
                <w:szCs w:val="16"/>
              </w:rPr>
            </w:pPr>
          </w:p>
          <w:p w:rsidR="0073298C" w:rsidRDefault="0073298C" w:rsidP="0073298C">
            <w:pPr>
              <w:rPr>
                <w:sz w:val="16"/>
                <w:szCs w:val="16"/>
              </w:rPr>
            </w:pPr>
            <w:r>
              <w:rPr>
                <w:sz w:val="16"/>
                <w:szCs w:val="16"/>
              </w:rPr>
              <w:t> </w:t>
            </w:r>
          </w:p>
        </w:tc>
        <w:tc>
          <w:tcPr>
            <w:tcW w:w="105" w:type="dxa"/>
            <w:gridSpan w:val="2"/>
            <w:tcBorders>
              <w:top w:val="nil"/>
              <w:left w:val="nil"/>
              <w:bottom w:val="nil"/>
              <w:right w:val="nil"/>
            </w:tcBorders>
            <w:shd w:val="clear" w:color="CFD4D8" w:fill="CFD4D8"/>
            <w:vAlign w:val="bottom"/>
          </w:tcPr>
          <w:p w:rsidR="0073298C" w:rsidRDefault="0073298C" w:rsidP="0073298C">
            <w:pPr>
              <w:spacing w:before="22" w:after="22"/>
              <w:ind w:left="22" w:right="22"/>
              <w:rPr>
                <w:color w:val="000000"/>
              </w:rPr>
            </w:pPr>
            <w:r>
              <w:rPr>
                <w:color w:val="000000"/>
              </w:rPr>
              <w:t> </w:t>
            </w:r>
          </w:p>
        </w:tc>
        <w:tc>
          <w:tcPr>
            <w:tcW w:w="110" w:type="dxa"/>
            <w:gridSpan w:val="2"/>
            <w:tcBorders>
              <w:top w:val="nil"/>
              <w:left w:val="nil"/>
              <w:bottom w:val="nil"/>
              <w:right w:val="nil"/>
            </w:tcBorders>
            <w:shd w:val="clear" w:color="CFD4D8" w:fill="CFD4D8"/>
            <w:vAlign w:val="center"/>
          </w:tcPr>
          <w:p w:rsidR="0073298C" w:rsidRDefault="0073298C" w:rsidP="0073298C">
            <w:pPr>
              <w:spacing w:before="22" w:after="22"/>
              <w:ind w:left="22"/>
              <w:rPr>
                <w:rFonts w:ascii="Arial" w:hAnsi="Arial" w:cs="Arial"/>
                <w:color w:val="000000"/>
                <w:sz w:val="16"/>
                <w:szCs w:val="16"/>
              </w:rPr>
            </w:pPr>
            <w:r>
              <w:rPr>
                <w:rFonts w:ascii="Arial" w:hAnsi="Arial" w:cs="Arial"/>
                <w:color w:val="000000"/>
                <w:sz w:val="16"/>
                <w:szCs w:val="16"/>
              </w:rPr>
              <w:t>$</w:t>
            </w:r>
          </w:p>
        </w:tc>
        <w:tc>
          <w:tcPr>
            <w:tcW w:w="956" w:type="dxa"/>
            <w:gridSpan w:val="2"/>
            <w:tcBorders>
              <w:top w:val="nil"/>
              <w:left w:val="nil"/>
              <w:bottom w:val="nil"/>
              <w:right w:val="nil"/>
            </w:tcBorders>
            <w:shd w:val="clear" w:color="CFD4D8" w:fill="CFD4D8"/>
            <w:vAlign w:val="center"/>
          </w:tcPr>
          <w:p w:rsidR="0073298C" w:rsidRDefault="0073298C" w:rsidP="0073298C">
            <w:pPr>
              <w:spacing w:before="22" w:after="22"/>
              <w:jc w:val="right"/>
              <w:rPr>
                <w:rFonts w:ascii="Arial" w:hAnsi="Arial" w:cs="Arial"/>
                <w:color w:val="000000"/>
                <w:sz w:val="16"/>
                <w:szCs w:val="16"/>
              </w:rPr>
            </w:pPr>
            <w:r>
              <w:rPr>
                <w:rFonts w:ascii="Arial" w:hAnsi="Arial" w:cs="Arial"/>
                <w:color w:val="000000"/>
                <w:sz w:val="16"/>
                <w:szCs w:val="16"/>
              </w:rPr>
              <w:t>1,102,332</w:t>
            </w:r>
          </w:p>
        </w:tc>
        <w:tc>
          <w:tcPr>
            <w:tcW w:w="162" w:type="dxa"/>
            <w:gridSpan w:val="2"/>
            <w:tcBorders>
              <w:top w:val="nil"/>
              <w:left w:val="nil"/>
              <w:bottom w:val="nil"/>
              <w:right w:val="nil"/>
            </w:tcBorders>
            <w:shd w:val="clear" w:color="CFD4D8" w:fill="CFD4D8"/>
            <w:vAlign w:val="bottom"/>
          </w:tcPr>
          <w:p w:rsidR="0073298C" w:rsidRDefault="0073298C" w:rsidP="0073298C">
            <w:pPr>
              <w:spacing w:before="22" w:after="22"/>
              <w:jc w:val="right"/>
              <w:rPr>
                <w:rFonts w:ascii="Arial" w:hAnsi="Arial" w:cs="Arial"/>
                <w:color w:val="000000"/>
                <w:sz w:val="16"/>
                <w:szCs w:val="16"/>
              </w:rPr>
            </w:pPr>
          </w:p>
          <w:p w:rsidR="0073298C" w:rsidRDefault="0073298C" w:rsidP="0073298C">
            <w:pPr>
              <w:rPr>
                <w:sz w:val="16"/>
                <w:szCs w:val="16"/>
              </w:rPr>
            </w:pPr>
            <w:r>
              <w:rPr>
                <w:sz w:val="16"/>
                <w:szCs w:val="16"/>
              </w:rPr>
              <w:t> </w:t>
            </w:r>
          </w:p>
        </w:tc>
        <w:tc>
          <w:tcPr>
            <w:tcW w:w="105" w:type="dxa"/>
            <w:gridSpan w:val="2"/>
            <w:tcBorders>
              <w:top w:val="nil"/>
              <w:left w:val="nil"/>
              <w:bottom w:val="nil"/>
              <w:right w:val="nil"/>
            </w:tcBorders>
            <w:shd w:val="clear" w:color="CFD4D8" w:fill="CFD4D8"/>
            <w:vAlign w:val="bottom"/>
          </w:tcPr>
          <w:p w:rsidR="0073298C" w:rsidRDefault="0073298C" w:rsidP="0073298C">
            <w:pPr>
              <w:spacing w:before="22" w:after="22"/>
              <w:ind w:left="22" w:right="22"/>
              <w:rPr>
                <w:color w:val="000000"/>
              </w:rPr>
            </w:pPr>
            <w:r>
              <w:rPr>
                <w:color w:val="000000"/>
              </w:rPr>
              <w:t> </w:t>
            </w:r>
          </w:p>
        </w:tc>
        <w:tc>
          <w:tcPr>
            <w:tcW w:w="110" w:type="dxa"/>
            <w:gridSpan w:val="2"/>
            <w:tcBorders>
              <w:top w:val="nil"/>
              <w:left w:val="nil"/>
              <w:bottom w:val="nil"/>
              <w:right w:val="nil"/>
            </w:tcBorders>
            <w:shd w:val="clear" w:color="CFD4D8" w:fill="CFD4D8"/>
            <w:vAlign w:val="center"/>
          </w:tcPr>
          <w:p w:rsidR="0073298C" w:rsidRDefault="0073298C" w:rsidP="0073298C">
            <w:pPr>
              <w:spacing w:before="22" w:after="22"/>
              <w:ind w:left="22"/>
              <w:rPr>
                <w:rFonts w:ascii="Arial" w:hAnsi="Arial" w:cs="Arial"/>
                <w:color w:val="000000"/>
                <w:sz w:val="16"/>
                <w:szCs w:val="16"/>
              </w:rPr>
            </w:pPr>
            <w:r>
              <w:rPr>
                <w:rFonts w:ascii="Arial" w:hAnsi="Arial" w:cs="Arial"/>
                <w:color w:val="000000"/>
                <w:sz w:val="16"/>
                <w:szCs w:val="16"/>
              </w:rPr>
              <w:t>$</w:t>
            </w:r>
          </w:p>
        </w:tc>
        <w:tc>
          <w:tcPr>
            <w:tcW w:w="947" w:type="dxa"/>
            <w:gridSpan w:val="2"/>
            <w:tcBorders>
              <w:top w:val="nil"/>
              <w:left w:val="nil"/>
              <w:bottom w:val="nil"/>
              <w:right w:val="nil"/>
            </w:tcBorders>
            <w:shd w:val="clear" w:color="CFD4D8" w:fill="CFD4D8"/>
            <w:vAlign w:val="center"/>
          </w:tcPr>
          <w:p w:rsidR="0073298C" w:rsidRDefault="0073298C" w:rsidP="0073298C">
            <w:pPr>
              <w:spacing w:before="22" w:after="22"/>
              <w:jc w:val="right"/>
              <w:rPr>
                <w:rFonts w:ascii="Arial" w:hAnsi="Arial" w:cs="Arial"/>
                <w:color w:val="000000"/>
                <w:sz w:val="16"/>
                <w:szCs w:val="16"/>
              </w:rPr>
            </w:pPr>
            <w:r>
              <w:rPr>
                <w:rFonts w:ascii="Arial" w:hAnsi="Arial" w:cs="Arial"/>
                <w:color w:val="000000"/>
                <w:sz w:val="16"/>
                <w:szCs w:val="16"/>
              </w:rPr>
              <w:t>969,237</w:t>
            </w:r>
          </w:p>
        </w:tc>
        <w:tc>
          <w:tcPr>
            <w:tcW w:w="168" w:type="dxa"/>
            <w:gridSpan w:val="3"/>
            <w:tcBorders>
              <w:top w:val="nil"/>
              <w:left w:val="nil"/>
              <w:bottom w:val="nil"/>
              <w:right w:val="single" w:sz="6" w:space="0" w:color="00467E"/>
            </w:tcBorders>
            <w:shd w:val="clear" w:color="CFD4D8" w:fill="CFD4D8"/>
            <w:vAlign w:val="bottom"/>
          </w:tcPr>
          <w:p w:rsidR="0073298C" w:rsidRDefault="0073298C" w:rsidP="0073298C">
            <w:pPr>
              <w:spacing w:before="22" w:after="22"/>
              <w:jc w:val="right"/>
              <w:rPr>
                <w:rFonts w:ascii="Arial" w:hAnsi="Arial" w:cs="Arial"/>
                <w:color w:val="000000"/>
                <w:sz w:val="16"/>
                <w:szCs w:val="16"/>
              </w:rPr>
            </w:pPr>
          </w:p>
          <w:p w:rsidR="0073298C" w:rsidRDefault="0073298C" w:rsidP="0073298C">
            <w:pPr>
              <w:rPr>
                <w:sz w:val="16"/>
                <w:szCs w:val="16"/>
              </w:rPr>
            </w:pPr>
            <w:r>
              <w:rPr>
                <w:sz w:val="16"/>
                <w:szCs w:val="16"/>
              </w:rPr>
              <w:t> </w:t>
            </w:r>
          </w:p>
        </w:tc>
      </w:tr>
      <w:tr w:rsidR="0073298C" w:rsidTr="0073298C">
        <w:tblPrEx>
          <w:tblCellMar>
            <w:top w:w="0" w:type="dxa"/>
            <w:left w:w="0" w:type="dxa"/>
            <w:bottom w:w="0" w:type="dxa"/>
            <w:right w:w="0" w:type="dxa"/>
          </w:tblCellMar>
        </w:tblPrEx>
        <w:trPr>
          <w:gridAfter w:val="2"/>
          <w:wAfter w:w="27" w:type="dxa"/>
          <w:trHeight w:val="281"/>
          <w:jc w:val="center"/>
        </w:trPr>
        <w:tc>
          <w:tcPr>
            <w:tcW w:w="4217" w:type="dxa"/>
            <w:tcBorders>
              <w:top w:val="nil"/>
              <w:left w:val="single" w:sz="6" w:space="0" w:color="00467E"/>
              <w:bottom w:val="nil"/>
              <w:right w:val="nil"/>
            </w:tcBorders>
            <w:vAlign w:val="center"/>
          </w:tcPr>
          <w:p w:rsidR="0073298C" w:rsidRDefault="0073298C" w:rsidP="0073298C">
            <w:pPr>
              <w:spacing w:before="22" w:after="22"/>
              <w:ind w:left="22" w:right="22"/>
              <w:rPr>
                <w:rFonts w:ascii="Arial" w:hAnsi="Arial" w:cs="Arial"/>
                <w:color w:val="000000"/>
                <w:sz w:val="16"/>
                <w:szCs w:val="16"/>
              </w:rPr>
            </w:pPr>
            <w:r>
              <w:rPr>
                <w:rFonts w:ascii="Arial" w:hAnsi="Arial" w:cs="Arial"/>
                <w:color w:val="000000"/>
                <w:sz w:val="16"/>
                <w:szCs w:val="16"/>
              </w:rPr>
              <w:t>Operating expenses</w:t>
            </w:r>
          </w:p>
        </w:tc>
        <w:tc>
          <w:tcPr>
            <w:tcW w:w="1064" w:type="dxa"/>
            <w:gridSpan w:val="4"/>
            <w:tcBorders>
              <w:top w:val="nil"/>
              <w:left w:val="nil"/>
              <w:bottom w:val="nil"/>
              <w:right w:val="nil"/>
            </w:tcBorders>
            <w:vAlign w:val="center"/>
          </w:tcPr>
          <w:p w:rsidR="0073298C" w:rsidRDefault="0073298C" w:rsidP="0073298C">
            <w:pPr>
              <w:spacing w:before="22" w:after="22"/>
              <w:ind w:left="22"/>
              <w:jc w:val="right"/>
              <w:rPr>
                <w:rFonts w:ascii="Arial" w:hAnsi="Arial" w:cs="Arial"/>
                <w:color w:val="000000"/>
                <w:sz w:val="16"/>
                <w:szCs w:val="16"/>
              </w:rPr>
            </w:pPr>
            <w:r>
              <w:rPr>
                <w:rFonts w:ascii="Arial" w:hAnsi="Arial" w:cs="Arial"/>
                <w:color w:val="000000"/>
                <w:sz w:val="16"/>
                <w:szCs w:val="16"/>
              </w:rPr>
              <w:t>2,224,823</w:t>
            </w:r>
          </w:p>
        </w:tc>
        <w:tc>
          <w:tcPr>
            <w:tcW w:w="162" w:type="dxa"/>
            <w:tcBorders>
              <w:top w:val="nil"/>
              <w:left w:val="nil"/>
              <w:bottom w:val="nil"/>
              <w:right w:val="nil"/>
            </w:tcBorders>
            <w:vAlign w:val="bottom"/>
          </w:tcPr>
          <w:p w:rsidR="0073298C" w:rsidRDefault="0073298C" w:rsidP="0073298C">
            <w:pPr>
              <w:spacing w:before="22" w:after="22"/>
              <w:ind w:left="22"/>
              <w:jc w:val="right"/>
              <w:rPr>
                <w:rFonts w:ascii="Arial" w:hAnsi="Arial" w:cs="Arial"/>
                <w:color w:val="000000"/>
                <w:sz w:val="16"/>
                <w:szCs w:val="16"/>
              </w:rPr>
            </w:pPr>
          </w:p>
          <w:p w:rsidR="0073298C" w:rsidRDefault="0073298C" w:rsidP="0073298C">
            <w:pPr>
              <w:rPr>
                <w:sz w:val="16"/>
                <w:szCs w:val="16"/>
              </w:rPr>
            </w:pPr>
            <w:r>
              <w:rPr>
                <w:sz w:val="16"/>
                <w:szCs w:val="16"/>
              </w:rPr>
              <w:t> </w:t>
            </w:r>
          </w:p>
        </w:tc>
        <w:tc>
          <w:tcPr>
            <w:tcW w:w="105" w:type="dxa"/>
            <w:gridSpan w:val="2"/>
            <w:tcBorders>
              <w:top w:val="nil"/>
              <w:left w:val="nil"/>
              <w:bottom w:val="nil"/>
              <w:right w:val="nil"/>
            </w:tcBorders>
            <w:vAlign w:val="bottom"/>
          </w:tcPr>
          <w:p w:rsidR="0073298C" w:rsidRDefault="0073298C" w:rsidP="0073298C">
            <w:pPr>
              <w:spacing w:before="22" w:after="22"/>
              <w:ind w:left="22" w:right="22"/>
              <w:rPr>
                <w:color w:val="000000"/>
              </w:rPr>
            </w:pPr>
            <w:r>
              <w:rPr>
                <w:color w:val="000000"/>
              </w:rPr>
              <w:t> </w:t>
            </w:r>
          </w:p>
        </w:tc>
        <w:tc>
          <w:tcPr>
            <w:tcW w:w="1066" w:type="dxa"/>
            <w:gridSpan w:val="5"/>
            <w:tcBorders>
              <w:top w:val="nil"/>
              <w:left w:val="nil"/>
              <w:bottom w:val="nil"/>
              <w:right w:val="nil"/>
            </w:tcBorders>
            <w:vAlign w:val="center"/>
          </w:tcPr>
          <w:p w:rsidR="0073298C" w:rsidRDefault="0073298C" w:rsidP="0073298C">
            <w:pPr>
              <w:spacing w:before="22" w:after="22"/>
              <w:ind w:left="22"/>
              <w:jc w:val="right"/>
              <w:rPr>
                <w:rFonts w:ascii="Arial" w:hAnsi="Arial" w:cs="Arial"/>
                <w:color w:val="000000"/>
                <w:sz w:val="16"/>
                <w:szCs w:val="16"/>
              </w:rPr>
            </w:pPr>
            <w:r>
              <w:rPr>
                <w:rFonts w:ascii="Arial" w:hAnsi="Arial" w:cs="Arial"/>
                <w:color w:val="000000"/>
                <w:sz w:val="16"/>
                <w:szCs w:val="16"/>
              </w:rPr>
              <w:t>969,555</w:t>
            </w:r>
          </w:p>
        </w:tc>
        <w:tc>
          <w:tcPr>
            <w:tcW w:w="162" w:type="dxa"/>
            <w:tcBorders>
              <w:top w:val="nil"/>
              <w:left w:val="nil"/>
              <w:bottom w:val="nil"/>
              <w:right w:val="nil"/>
            </w:tcBorders>
            <w:vAlign w:val="bottom"/>
          </w:tcPr>
          <w:p w:rsidR="0073298C" w:rsidRDefault="0073298C" w:rsidP="0073298C">
            <w:pPr>
              <w:spacing w:before="22" w:after="22"/>
              <w:ind w:left="22"/>
              <w:jc w:val="right"/>
              <w:rPr>
                <w:rFonts w:ascii="Arial" w:hAnsi="Arial" w:cs="Arial"/>
                <w:color w:val="000000"/>
                <w:sz w:val="16"/>
                <w:szCs w:val="16"/>
              </w:rPr>
            </w:pPr>
          </w:p>
          <w:p w:rsidR="0073298C" w:rsidRDefault="0073298C" w:rsidP="0073298C">
            <w:pPr>
              <w:rPr>
                <w:sz w:val="16"/>
                <w:szCs w:val="16"/>
              </w:rPr>
            </w:pPr>
            <w:r>
              <w:rPr>
                <w:sz w:val="16"/>
                <w:szCs w:val="16"/>
              </w:rPr>
              <w:t> </w:t>
            </w:r>
          </w:p>
        </w:tc>
        <w:tc>
          <w:tcPr>
            <w:tcW w:w="110" w:type="dxa"/>
            <w:tcBorders>
              <w:top w:val="nil"/>
              <w:left w:val="nil"/>
              <w:bottom w:val="nil"/>
              <w:right w:val="nil"/>
            </w:tcBorders>
            <w:vAlign w:val="bottom"/>
          </w:tcPr>
          <w:p w:rsidR="0073298C" w:rsidRDefault="0073298C" w:rsidP="0073298C">
            <w:pPr>
              <w:spacing w:before="22" w:after="22"/>
              <w:ind w:left="22" w:right="22"/>
              <w:rPr>
                <w:color w:val="000000"/>
              </w:rPr>
            </w:pPr>
            <w:r>
              <w:rPr>
                <w:color w:val="000000"/>
              </w:rPr>
              <w:t> </w:t>
            </w:r>
          </w:p>
        </w:tc>
        <w:tc>
          <w:tcPr>
            <w:tcW w:w="1066" w:type="dxa"/>
            <w:gridSpan w:val="3"/>
            <w:tcBorders>
              <w:top w:val="nil"/>
              <w:left w:val="nil"/>
              <w:bottom w:val="nil"/>
              <w:right w:val="nil"/>
            </w:tcBorders>
            <w:vAlign w:val="center"/>
          </w:tcPr>
          <w:p w:rsidR="0073298C" w:rsidRDefault="0073298C" w:rsidP="0073298C">
            <w:pPr>
              <w:spacing w:before="22" w:after="22"/>
              <w:ind w:left="22"/>
              <w:jc w:val="right"/>
              <w:rPr>
                <w:rFonts w:ascii="Arial" w:hAnsi="Arial" w:cs="Arial"/>
                <w:color w:val="000000"/>
                <w:sz w:val="16"/>
                <w:szCs w:val="16"/>
              </w:rPr>
            </w:pPr>
            <w:r>
              <w:rPr>
                <w:rFonts w:ascii="Arial" w:hAnsi="Arial" w:cs="Arial"/>
                <w:color w:val="000000"/>
                <w:sz w:val="16"/>
                <w:szCs w:val="16"/>
              </w:rPr>
              <w:t>1,004,964</w:t>
            </w:r>
          </w:p>
        </w:tc>
        <w:tc>
          <w:tcPr>
            <w:tcW w:w="162" w:type="dxa"/>
            <w:gridSpan w:val="2"/>
            <w:tcBorders>
              <w:top w:val="nil"/>
              <w:left w:val="nil"/>
              <w:bottom w:val="nil"/>
              <w:right w:val="nil"/>
            </w:tcBorders>
            <w:vAlign w:val="bottom"/>
          </w:tcPr>
          <w:p w:rsidR="0073298C" w:rsidRDefault="0073298C" w:rsidP="0073298C">
            <w:pPr>
              <w:spacing w:before="22" w:after="22"/>
              <w:ind w:left="22"/>
              <w:jc w:val="right"/>
              <w:rPr>
                <w:rFonts w:ascii="Arial" w:hAnsi="Arial" w:cs="Arial"/>
                <w:color w:val="000000"/>
                <w:sz w:val="16"/>
                <w:szCs w:val="16"/>
              </w:rPr>
            </w:pPr>
          </w:p>
          <w:p w:rsidR="0073298C" w:rsidRDefault="0073298C" w:rsidP="0073298C">
            <w:pPr>
              <w:rPr>
                <w:sz w:val="16"/>
                <w:szCs w:val="16"/>
              </w:rPr>
            </w:pPr>
            <w:r>
              <w:rPr>
                <w:sz w:val="16"/>
                <w:szCs w:val="16"/>
              </w:rPr>
              <w:t> </w:t>
            </w:r>
          </w:p>
        </w:tc>
        <w:tc>
          <w:tcPr>
            <w:tcW w:w="105" w:type="dxa"/>
            <w:gridSpan w:val="2"/>
            <w:tcBorders>
              <w:top w:val="nil"/>
              <w:left w:val="nil"/>
              <w:bottom w:val="nil"/>
              <w:right w:val="nil"/>
            </w:tcBorders>
            <w:vAlign w:val="bottom"/>
          </w:tcPr>
          <w:p w:rsidR="0073298C" w:rsidRDefault="0073298C" w:rsidP="0073298C">
            <w:pPr>
              <w:spacing w:before="22" w:after="22"/>
              <w:ind w:left="22" w:right="22"/>
              <w:rPr>
                <w:color w:val="000000"/>
              </w:rPr>
            </w:pPr>
            <w:r>
              <w:rPr>
                <w:color w:val="000000"/>
              </w:rPr>
              <w:t> </w:t>
            </w:r>
          </w:p>
        </w:tc>
        <w:tc>
          <w:tcPr>
            <w:tcW w:w="1066" w:type="dxa"/>
            <w:gridSpan w:val="4"/>
            <w:tcBorders>
              <w:top w:val="nil"/>
              <w:left w:val="nil"/>
              <w:bottom w:val="nil"/>
              <w:right w:val="nil"/>
            </w:tcBorders>
            <w:vAlign w:val="center"/>
          </w:tcPr>
          <w:p w:rsidR="0073298C" w:rsidRDefault="0073298C" w:rsidP="0073298C">
            <w:pPr>
              <w:spacing w:before="22" w:after="22"/>
              <w:ind w:left="22"/>
              <w:jc w:val="right"/>
              <w:rPr>
                <w:rFonts w:ascii="Arial" w:hAnsi="Arial" w:cs="Arial"/>
                <w:color w:val="000000"/>
                <w:sz w:val="16"/>
                <w:szCs w:val="16"/>
              </w:rPr>
            </w:pPr>
            <w:r>
              <w:rPr>
                <w:rFonts w:ascii="Arial" w:hAnsi="Arial" w:cs="Arial"/>
                <w:color w:val="000000"/>
                <w:sz w:val="16"/>
                <w:szCs w:val="16"/>
              </w:rPr>
              <w:t>939,610</w:t>
            </w:r>
          </w:p>
        </w:tc>
        <w:tc>
          <w:tcPr>
            <w:tcW w:w="162" w:type="dxa"/>
            <w:gridSpan w:val="2"/>
            <w:tcBorders>
              <w:top w:val="nil"/>
              <w:left w:val="nil"/>
              <w:bottom w:val="nil"/>
              <w:right w:val="nil"/>
            </w:tcBorders>
            <w:vAlign w:val="bottom"/>
          </w:tcPr>
          <w:p w:rsidR="0073298C" w:rsidRDefault="0073298C" w:rsidP="0073298C">
            <w:pPr>
              <w:spacing w:before="22" w:after="22"/>
              <w:ind w:left="22"/>
              <w:jc w:val="right"/>
              <w:rPr>
                <w:rFonts w:ascii="Arial" w:hAnsi="Arial" w:cs="Arial"/>
                <w:color w:val="000000"/>
                <w:sz w:val="16"/>
                <w:szCs w:val="16"/>
              </w:rPr>
            </w:pPr>
          </w:p>
          <w:p w:rsidR="0073298C" w:rsidRDefault="0073298C" w:rsidP="0073298C">
            <w:pPr>
              <w:rPr>
                <w:sz w:val="16"/>
                <w:szCs w:val="16"/>
              </w:rPr>
            </w:pPr>
            <w:r>
              <w:rPr>
                <w:sz w:val="16"/>
                <w:szCs w:val="16"/>
              </w:rPr>
              <w:t> </w:t>
            </w:r>
          </w:p>
        </w:tc>
        <w:tc>
          <w:tcPr>
            <w:tcW w:w="105" w:type="dxa"/>
            <w:gridSpan w:val="2"/>
            <w:tcBorders>
              <w:top w:val="nil"/>
              <w:left w:val="nil"/>
              <w:bottom w:val="nil"/>
              <w:right w:val="nil"/>
            </w:tcBorders>
            <w:vAlign w:val="bottom"/>
          </w:tcPr>
          <w:p w:rsidR="0073298C" w:rsidRDefault="0073298C" w:rsidP="0073298C">
            <w:pPr>
              <w:spacing w:before="22" w:after="22"/>
              <w:ind w:left="22" w:right="22"/>
              <w:rPr>
                <w:color w:val="000000"/>
              </w:rPr>
            </w:pPr>
            <w:r>
              <w:rPr>
                <w:color w:val="000000"/>
              </w:rPr>
              <w:t> </w:t>
            </w:r>
          </w:p>
        </w:tc>
        <w:tc>
          <w:tcPr>
            <w:tcW w:w="1057" w:type="dxa"/>
            <w:gridSpan w:val="4"/>
            <w:tcBorders>
              <w:top w:val="nil"/>
              <w:left w:val="nil"/>
              <w:bottom w:val="nil"/>
              <w:right w:val="nil"/>
            </w:tcBorders>
            <w:vAlign w:val="center"/>
          </w:tcPr>
          <w:p w:rsidR="0073298C" w:rsidRDefault="0073298C" w:rsidP="0073298C">
            <w:pPr>
              <w:spacing w:before="22" w:after="22"/>
              <w:ind w:left="22"/>
              <w:jc w:val="right"/>
              <w:rPr>
                <w:rFonts w:ascii="Arial" w:hAnsi="Arial" w:cs="Arial"/>
                <w:color w:val="000000"/>
                <w:sz w:val="16"/>
                <w:szCs w:val="16"/>
              </w:rPr>
            </w:pPr>
            <w:r>
              <w:rPr>
                <w:rFonts w:ascii="Arial" w:hAnsi="Arial" w:cs="Arial"/>
                <w:color w:val="000000"/>
                <w:sz w:val="16"/>
                <w:szCs w:val="16"/>
              </w:rPr>
              <w:t>855,328</w:t>
            </w:r>
          </w:p>
        </w:tc>
        <w:tc>
          <w:tcPr>
            <w:tcW w:w="168" w:type="dxa"/>
            <w:gridSpan w:val="3"/>
            <w:tcBorders>
              <w:top w:val="nil"/>
              <w:left w:val="nil"/>
              <w:bottom w:val="nil"/>
              <w:right w:val="single" w:sz="6" w:space="0" w:color="00467E"/>
            </w:tcBorders>
            <w:vAlign w:val="bottom"/>
          </w:tcPr>
          <w:p w:rsidR="0073298C" w:rsidRDefault="0073298C" w:rsidP="0073298C">
            <w:pPr>
              <w:spacing w:before="22" w:after="22"/>
              <w:ind w:left="22"/>
              <w:jc w:val="right"/>
              <w:rPr>
                <w:rFonts w:ascii="Arial" w:hAnsi="Arial" w:cs="Arial"/>
                <w:color w:val="000000"/>
                <w:sz w:val="16"/>
                <w:szCs w:val="16"/>
              </w:rPr>
            </w:pPr>
          </w:p>
          <w:p w:rsidR="0073298C" w:rsidRDefault="0073298C" w:rsidP="0073298C">
            <w:pPr>
              <w:rPr>
                <w:sz w:val="16"/>
                <w:szCs w:val="16"/>
              </w:rPr>
            </w:pPr>
            <w:r>
              <w:rPr>
                <w:sz w:val="16"/>
                <w:szCs w:val="16"/>
              </w:rPr>
              <w:t> </w:t>
            </w:r>
          </w:p>
        </w:tc>
      </w:tr>
      <w:tr w:rsidR="0073298C" w:rsidTr="0073298C">
        <w:tblPrEx>
          <w:tblCellMar>
            <w:top w:w="0" w:type="dxa"/>
            <w:left w:w="0" w:type="dxa"/>
            <w:bottom w:w="0" w:type="dxa"/>
            <w:right w:w="0" w:type="dxa"/>
          </w:tblCellMar>
        </w:tblPrEx>
        <w:trPr>
          <w:gridAfter w:val="2"/>
          <w:wAfter w:w="27" w:type="dxa"/>
          <w:trHeight w:val="281"/>
          <w:jc w:val="center"/>
        </w:trPr>
        <w:tc>
          <w:tcPr>
            <w:tcW w:w="4217" w:type="dxa"/>
            <w:tcBorders>
              <w:top w:val="nil"/>
              <w:left w:val="single" w:sz="6" w:space="0" w:color="00467E"/>
              <w:bottom w:val="nil"/>
              <w:right w:val="nil"/>
            </w:tcBorders>
            <w:shd w:val="clear" w:color="CFD4D8" w:fill="CFD4D8"/>
            <w:vAlign w:val="center"/>
          </w:tcPr>
          <w:p w:rsidR="0073298C" w:rsidRDefault="0073298C" w:rsidP="0073298C">
            <w:pPr>
              <w:spacing w:before="22" w:after="22"/>
              <w:ind w:left="22" w:right="22"/>
              <w:rPr>
                <w:rFonts w:ascii="Arial" w:hAnsi="Arial" w:cs="Arial"/>
                <w:color w:val="000000"/>
                <w:sz w:val="16"/>
                <w:szCs w:val="16"/>
              </w:rPr>
            </w:pPr>
            <w:r>
              <w:rPr>
                <w:rFonts w:ascii="Arial" w:hAnsi="Arial" w:cs="Arial"/>
                <w:color w:val="000000"/>
                <w:sz w:val="16"/>
                <w:szCs w:val="16"/>
              </w:rPr>
              <w:t>Operating income</w:t>
            </w:r>
          </w:p>
        </w:tc>
        <w:tc>
          <w:tcPr>
            <w:tcW w:w="1064" w:type="dxa"/>
            <w:gridSpan w:val="4"/>
            <w:tcBorders>
              <w:top w:val="nil"/>
              <w:left w:val="nil"/>
              <w:bottom w:val="nil"/>
              <w:right w:val="nil"/>
            </w:tcBorders>
            <w:shd w:val="clear" w:color="CFD4D8" w:fill="CFD4D8"/>
            <w:vAlign w:val="center"/>
          </w:tcPr>
          <w:p w:rsidR="0073298C" w:rsidRDefault="0073298C" w:rsidP="0073298C">
            <w:pPr>
              <w:spacing w:before="22" w:after="22"/>
              <w:ind w:left="22"/>
              <w:jc w:val="right"/>
              <w:rPr>
                <w:rFonts w:ascii="Arial" w:hAnsi="Arial" w:cs="Arial"/>
                <w:color w:val="000000"/>
                <w:sz w:val="16"/>
                <w:szCs w:val="16"/>
              </w:rPr>
            </w:pPr>
            <w:r>
              <w:rPr>
                <w:rFonts w:ascii="Arial" w:hAnsi="Arial" w:cs="Arial"/>
                <w:color w:val="000000"/>
                <w:sz w:val="16"/>
                <w:szCs w:val="16"/>
              </w:rPr>
              <w:t>200,630</w:t>
            </w:r>
          </w:p>
        </w:tc>
        <w:tc>
          <w:tcPr>
            <w:tcW w:w="162" w:type="dxa"/>
            <w:tcBorders>
              <w:top w:val="nil"/>
              <w:left w:val="nil"/>
              <w:bottom w:val="nil"/>
              <w:right w:val="nil"/>
            </w:tcBorders>
            <w:shd w:val="clear" w:color="CFD4D8" w:fill="CFD4D8"/>
            <w:vAlign w:val="bottom"/>
          </w:tcPr>
          <w:p w:rsidR="0073298C" w:rsidRDefault="0073298C" w:rsidP="0073298C">
            <w:pPr>
              <w:spacing w:before="22" w:after="22"/>
              <w:ind w:left="22"/>
              <w:jc w:val="right"/>
              <w:rPr>
                <w:rFonts w:ascii="Arial" w:hAnsi="Arial" w:cs="Arial"/>
                <w:color w:val="000000"/>
                <w:sz w:val="16"/>
                <w:szCs w:val="16"/>
              </w:rPr>
            </w:pPr>
          </w:p>
          <w:p w:rsidR="0073298C" w:rsidRDefault="0073298C" w:rsidP="0073298C">
            <w:pPr>
              <w:rPr>
                <w:sz w:val="16"/>
                <w:szCs w:val="16"/>
              </w:rPr>
            </w:pPr>
            <w:r>
              <w:rPr>
                <w:sz w:val="16"/>
                <w:szCs w:val="16"/>
              </w:rPr>
              <w:t> </w:t>
            </w:r>
          </w:p>
        </w:tc>
        <w:tc>
          <w:tcPr>
            <w:tcW w:w="105" w:type="dxa"/>
            <w:gridSpan w:val="2"/>
            <w:tcBorders>
              <w:top w:val="nil"/>
              <w:left w:val="nil"/>
              <w:bottom w:val="nil"/>
              <w:right w:val="nil"/>
            </w:tcBorders>
            <w:shd w:val="clear" w:color="CFD4D8" w:fill="CFD4D8"/>
            <w:vAlign w:val="bottom"/>
          </w:tcPr>
          <w:p w:rsidR="0073298C" w:rsidRDefault="0073298C" w:rsidP="0073298C">
            <w:pPr>
              <w:spacing w:before="22" w:after="22"/>
              <w:ind w:left="22" w:right="22"/>
              <w:rPr>
                <w:color w:val="000000"/>
              </w:rPr>
            </w:pPr>
            <w:r>
              <w:rPr>
                <w:color w:val="000000"/>
              </w:rPr>
              <w:t> </w:t>
            </w:r>
          </w:p>
        </w:tc>
        <w:tc>
          <w:tcPr>
            <w:tcW w:w="1066" w:type="dxa"/>
            <w:gridSpan w:val="5"/>
            <w:tcBorders>
              <w:top w:val="nil"/>
              <w:left w:val="nil"/>
              <w:bottom w:val="nil"/>
              <w:right w:val="nil"/>
            </w:tcBorders>
            <w:shd w:val="clear" w:color="CFD4D8" w:fill="CFD4D8"/>
            <w:vAlign w:val="center"/>
          </w:tcPr>
          <w:p w:rsidR="0073298C" w:rsidRDefault="0073298C" w:rsidP="0073298C">
            <w:pPr>
              <w:spacing w:before="22" w:after="22"/>
              <w:ind w:left="22"/>
              <w:jc w:val="right"/>
              <w:rPr>
                <w:rFonts w:ascii="Arial" w:hAnsi="Arial" w:cs="Arial"/>
                <w:color w:val="000000"/>
                <w:sz w:val="16"/>
                <w:szCs w:val="16"/>
              </w:rPr>
            </w:pPr>
            <w:r>
              <w:rPr>
                <w:rFonts w:ascii="Arial" w:hAnsi="Arial" w:cs="Arial"/>
                <w:color w:val="000000"/>
                <w:sz w:val="16"/>
                <w:szCs w:val="16"/>
              </w:rPr>
              <w:t>148,479</w:t>
            </w:r>
          </w:p>
        </w:tc>
        <w:tc>
          <w:tcPr>
            <w:tcW w:w="162" w:type="dxa"/>
            <w:tcBorders>
              <w:top w:val="nil"/>
              <w:left w:val="nil"/>
              <w:bottom w:val="nil"/>
              <w:right w:val="nil"/>
            </w:tcBorders>
            <w:shd w:val="clear" w:color="CFD4D8" w:fill="CFD4D8"/>
            <w:vAlign w:val="bottom"/>
          </w:tcPr>
          <w:p w:rsidR="0073298C" w:rsidRDefault="0073298C" w:rsidP="0073298C">
            <w:pPr>
              <w:spacing w:before="22" w:after="22"/>
              <w:ind w:left="22"/>
              <w:jc w:val="right"/>
              <w:rPr>
                <w:rFonts w:ascii="Arial" w:hAnsi="Arial" w:cs="Arial"/>
                <w:color w:val="000000"/>
                <w:sz w:val="16"/>
                <w:szCs w:val="16"/>
              </w:rPr>
            </w:pPr>
          </w:p>
          <w:p w:rsidR="0073298C" w:rsidRDefault="0073298C" w:rsidP="0073298C">
            <w:pPr>
              <w:rPr>
                <w:sz w:val="16"/>
                <w:szCs w:val="16"/>
              </w:rPr>
            </w:pPr>
            <w:r>
              <w:rPr>
                <w:sz w:val="16"/>
                <w:szCs w:val="16"/>
              </w:rPr>
              <w:t> </w:t>
            </w:r>
          </w:p>
        </w:tc>
        <w:tc>
          <w:tcPr>
            <w:tcW w:w="110" w:type="dxa"/>
            <w:tcBorders>
              <w:top w:val="nil"/>
              <w:left w:val="nil"/>
              <w:bottom w:val="nil"/>
              <w:right w:val="nil"/>
            </w:tcBorders>
            <w:shd w:val="clear" w:color="CFD4D8" w:fill="CFD4D8"/>
            <w:vAlign w:val="bottom"/>
          </w:tcPr>
          <w:p w:rsidR="0073298C" w:rsidRDefault="0073298C" w:rsidP="0073298C">
            <w:pPr>
              <w:spacing w:before="22" w:after="22"/>
              <w:ind w:left="22" w:right="22"/>
              <w:rPr>
                <w:color w:val="000000"/>
              </w:rPr>
            </w:pPr>
            <w:r>
              <w:rPr>
                <w:color w:val="000000"/>
              </w:rPr>
              <w:t> </w:t>
            </w:r>
          </w:p>
        </w:tc>
        <w:tc>
          <w:tcPr>
            <w:tcW w:w="1066" w:type="dxa"/>
            <w:gridSpan w:val="3"/>
            <w:tcBorders>
              <w:top w:val="nil"/>
              <w:left w:val="nil"/>
              <w:bottom w:val="nil"/>
              <w:right w:val="nil"/>
            </w:tcBorders>
            <w:shd w:val="clear" w:color="CFD4D8" w:fill="CFD4D8"/>
            <w:vAlign w:val="center"/>
          </w:tcPr>
          <w:p w:rsidR="0073298C" w:rsidRDefault="0073298C" w:rsidP="0073298C">
            <w:pPr>
              <w:spacing w:before="22" w:after="22"/>
              <w:ind w:left="22"/>
              <w:jc w:val="right"/>
              <w:rPr>
                <w:rFonts w:ascii="Arial" w:hAnsi="Arial" w:cs="Arial"/>
                <w:color w:val="000000"/>
                <w:sz w:val="16"/>
                <w:szCs w:val="16"/>
              </w:rPr>
            </w:pPr>
            <w:r>
              <w:rPr>
                <w:rFonts w:ascii="Arial" w:hAnsi="Arial" w:cs="Arial"/>
                <w:color w:val="000000"/>
                <w:sz w:val="16"/>
                <w:szCs w:val="16"/>
              </w:rPr>
              <w:t>178,000</w:t>
            </w:r>
          </w:p>
        </w:tc>
        <w:tc>
          <w:tcPr>
            <w:tcW w:w="162" w:type="dxa"/>
            <w:gridSpan w:val="2"/>
            <w:tcBorders>
              <w:top w:val="nil"/>
              <w:left w:val="nil"/>
              <w:bottom w:val="nil"/>
              <w:right w:val="nil"/>
            </w:tcBorders>
            <w:shd w:val="clear" w:color="CFD4D8" w:fill="CFD4D8"/>
            <w:vAlign w:val="bottom"/>
          </w:tcPr>
          <w:p w:rsidR="0073298C" w:rsidRDefault="0073298C" w:rsidP="0073298C">
            <w:pPr>
              <w:spacing w:before="22" w:after="22"/>
              <w:ind w:left="22"/>
              <w:jc w:val="right"/>
              <w:rPr>
                <w:rFonts w:ascii="Arial" w:hAnsi="Arial" w:cs="Arial"/>
                <w:color w:val="000000"/>
                <w:sz w:val="16"/>
                <w:szCs w:val="16"/>
              </w:rPr>
            </w:pPr>
          </w:p>
          <w:p w:rsidR="0073298C" w:rsidRDefault="0073298C" w:rsidP="0073298C">
            <w:pPr>
              <w:rPr>
                <w:sz w:val="16"/>
                <w:szCs w:val="16"/>
              </w:rPr>
            </w:pPr>
            <w:r>
              <w:rPr>
                <w:sz w:val="16"/>
                <w:szCs w:val="16"/>
              </w:rPr>
              <w:t> </w:t>
            </w:r>
          </w:p>
        </w:tc>
        <w:tc>
          <w:tcPr>
            <w:tcW w:w="105" w:type="dxa"/>
            <w:gridSpan w:val="2"/>
            <w:tcBorders>
              <w:top w:val="nil"/>
              <w:left w:val="nil"/>
              <w:bottom w:val="nil"/>
              <w:right w:val="nil"/>
            </w:tcBorders>
            <w:shd w:val="clear" w:color="CFD4D8" w:fill="CFD4D8"/>
            <w:vAlign w:val="bottom"/>
          </w:tcPr>
          <w:p w:rsidR="0073298C" w:rsidRDefault="0073298C" w:rsidP="0073298C">
            <w:pPr>
              <w:spacing w:before="22" w:after="22"/>
              <w:ind w:left="22" w:right="22"/>
              <w:rPr>
                <w:color w:val="000000"/>
              </w:rPr>
            </w:pPr>
            <w:r>
              <w:rPr>
                <w:color w:val="000000"/>
              </w:rPr>
              <w:t> </w:t>
            </w:r>
          </w:p>
        </w:tc>
        <w:tc>
          <w:tcPr>
            <w:tcW w:w="1066" w:type="dxa"/>
            <w:gridSpan w:val="4"/>
            <w:tcBorders>
              <w:top w:val="nil"/>
              <w:left w:val="nil"/>
              <w:bottom w:val="nil"/>
              <w:right w:val="nil"/>
            </w:tcBorders>
            <w:shd w:val="clear" w:color="CFD4D8" w:fill="CFD4D8"/>
            <w:vAlign w:val="center"/>
          </w:tcPr>
          <w:p w:rsidR="0073298C" w:rsidRDefault="0073298C" w:rsidP="0073298C">
            <w:pPr>
              <w:spacing w:before="22" w:after="22"/>
              <w:ind w:left="22"/>
              <w:jc w:val="right"/>
              <w:rPr>
                <w:rFonts w:ascii="Arial" w:hAnsi="Arial" w:cs="Arial"/>
                <w:color w:val="000000"/>
                <w:sz w:val="16"/>
                <w:szCs w:val="16"/>
              </w:rPr>
            </w:pPr>
            <w:r>
              <w:rPr>
                <w:rFonts w:ascii="Arial" w:hAnsi="Arial" w:cs="Arial"/>
                <w:color w:val="000000"/>
                <w:sz w:val="16"/>
                <w:szCs w:val="16"/>
              </w:rPr>
              <w:t>162,722</w:t>
            </w:r>
          </w:p>
        </w:tc>
        <w:tc>
          <w:tcPr>
            <w:tcW w:w="162" w:type="dxa"/>
            <w:gridSpan w:val="2"/>
            <w:tcBorders>
              <w:top w:val="nil"/>
              <w:left w:val="nil"/>
              <w:bottom w:val="nil"/>
              <w:right w:val="nil"/>
            </w:tcBorders>
            <w:shd w:val="clear" w:color="CFD4D8" w:fill="CFD4D8"/>
            <w:vAlign w:val="bottom"/>
          </w:tcPr>
          <w:p w:rsidR="0073298C" w:rsidRDefault="0073298C" w:rsidP="0073298C">
            <w:pPr>
              <w:spacing w:before="22" w:after="22"/>
              <w:ind w:left="22"/>
              <w:jc w:val="right"/>
              <w:rPr>
                <w:rFonts w:ascii="Arial" w:hAnsi="Arial" w:cs="Arial"/>
                <w:color w:val="000000"/>
                <w:sz w:val="16"/>
                <w:szCs w:val="16"/>
              </w:rPr>
            </w:pPr>
          </w:p>
          <w:p w:rsidR="0073298C" w:rsidRDefault="0073298C" w:rsidP="0073298C">
            <w:pPr>
              <w:rPr>
                <w:sz w:val="16"/>
                <w:szCs w:val="16"/>
              </w:rPr>
            </w:pPr>
            <w:r>
              <w:rPr>
                <w:sz w:val="16"/>
                <w:szCs w:val="16"/>
              </w:rPr>
              <w:t> </w:t>
            </w:r>
          </w:p>
        </w:tc>
        <w:tc>
          <w:tcPr>
            <w:tcW w:w="105" w:type="dxa"/>
            <w:gridSpan w:val="2"/>
            <w:tcBorders>
              <w:top w:val="nil"/>
              <w:left w:val="nil"/>
              <w:bottom w:val="nil"/>
              <w:right w:val="nil"/>
            </w:tcBorders>
            <w:shd w:val="clear" w:color="CFD4D8" w:fill="CFD4D8"/>
            <w:vAlign w:val="bottom"/>
          </w:tcPr>
          <w:p w:rsidR="0073298C" w:rsidRDefault="0073298C" w:rsidP="0073298C">
            <w:pPr>
              <w:spacing w:before="22" w:after="22"/>
              <w:ind w:left="22" w:right="22"/>
              <w:rPr>
                <w:color w:val="000000"/>
              </w:rPr>
            </w:pPr>
            <w:r>
              <w:rPr>
                <w:color w:val="000000"/>
              </w:rPr>
              <w:t> </w:t>
            </w:r>
          </w:p>
        </w:tc>
        <w:tc>
          <w:tcPr>
            <w:tcW w:w="1057" w:type="dxa"/>
            <w:gridSpan w:val="4"/>
            <w:tcBorders>
              <w:top w:val="nil"/>
              <w:left w:val="nil"/>
              <w:bottom w:val="nil"/>
              <w:right w:val="nil"/>
            </w:tcBorders>
            <w:shd w:val="clear" w:color="CFD4D8" w:fill="CFD4D8"/>
            <w:vAlign w:val="center"/>
          </w:tcPr>
          <w:p w:rsidR="0073298C" w:rsidRDefault="0073298C" w:rsidP="0073298C">
            <w:pPr>
              <w:spacing w:before="22" w:after="22"/>
              <w:ind w:left="22"/>
              <w:jc w:val="right"/>
              <w:rPr>
                <w:rFonts w:ascii="Arial" w:hAnsi="Arial" w:cs="Arial"/>
                <w:color w:val="000000"/>
                <w:sz w:val="16"/>
                <w:szCs w:val="16"/>
              </w:rPr>
            </w:pPr>
            <w:r>
              <w:rPr>
                <w:rFonts w:ascii="Arial" w:hAnsi="Arial" w:cs="Arial"/>
                <w:color w:val="000000"/>
                <w:sz w:val="16"/>
                <w:szCs w:val="16"/>
              </w:rPr>
              <w:t>113,909</w:t>
            </w:r>
          </w:p>
        </w:tc>
        <w:tc>
          <w:tcPr>
            <w:tcW w:w="168" w:type="dxa"/>
            <w:gridSpan w:val="3"/>
            <w:tcBorders>
              <w:top w:val="nil"/>
              <w:left w:val="nil"/>
              <w:bottom w:val="nil"/>
              <w:right w:val="single" w:sz="6" w:space="0" w:color="00467E"/>
            </w:tcBorders>
            <w:shd w:val="clear" w:color="CFD4D8" w:fill="CFD4D8"/>
            <w:vAlign w:val="bottom"/>
          </w:tcPr>
          <w:p w:rsidR="0073298C" w:rsidRDefault="0073298C" w:rsidP="0073298C">
            <w:pPr>
              <w:spacing w:before="22" w:after="22"/>
              <w:ind w:left="22"/>
              <w:jc w:val="right"/>
              <w:rPr>
                <w:rFonts w:ascii="Arial" w:hAnsi="Arial" w:cs="Arial"/>
                <w:color w:val="000000"/>
                <w:sz w:val="16"/>
                <w:szCs w:val="16"/>
              </w:rPr>
            </w:pPr>
          </w:p>
          <w:p w:rsidR="0073298C" w:rsidRDefault="0073298C" w:rsidP="0073298C">
            <w:pPr>
              <w:rPr>
                <w:sz w:val="16"/>
                <w:szCs w:val="16"/>
              </w:rPr>
            </w:pPr>
            <w:r>
              <w:rPr>
                <w:sz w:val="16"/>
                <w:szCs w:val="16"/>
              </w:rPr>
              <w:t> </w:t>
            </w:r>
          </w:p>
        </w:tc>
      </w:tr>
      <w:tr w:rsidR="0073298C" w:rsidTr="0073298C">
        <w:tblPrEx>
          <w:tblCellMar>
            <w:top w:w="0" w:type="dxa"/>
            <w:left w:w="0" w:type="dxa"/>
            <w:bottom w:w="0" w:type="dxa"/>
            <w:right w:w="0" w:type="dxa"/>
          </w:tblCellMar>
        </w:tblPrEx>
        <w:trPr>
          <w:gridAfter w:val="2"/>
          <w:wAfter w:w="27" w:type="dxa"/>
          <w:trHeight w:val="281"/>
          <w:jc w:val="center"/>
        </w:trPr>
        <w:tc>
          <w:tcPr>
            <w:tcW w:w="4217" w:type="dxa"/>
            <w:tcBorders>
              <w:top w:val="nil"/>
              <w:left w:val="single" w:sz="6" w:space="0" w:color="00467E"/>
              <w:bottom w:val="nil"/>
              <w:right w:val="nil"/>
            </w:tcBorders>
            <w:vAlign w:val="center"/>
          </w:tcPr>
          <w:p w:rsidR="0073298C" w:rsidRDefault="0073298C" w:rsidP="0073298C">
            <w:pPr>
              <w:spacing w:before="22" w:after="22"/>
              <w:ind w:left="22" w:right="22"/>
              <w:rPr>
                <w:rFonts w:ascii="Arial" w:hAnsi="Arial" w:cs="Arial"/>
                <w:color w:val="000000"/>
                <w:sz w:val="16"/>
                <w:szCs w:val="16"/>
              </w:rPr>
            </w:pPr>
            <w:r>
              <w:rPr>
                <w:rFonts w:ascii="Arial" w:hAnsi="Arial" w:cs="Arial"/>
                <w:color w:val="000000"/>
                <w:sz w:val="16"/>
                <w:szCs w:val="16"/>
              </w:rPr>
              <w:t>Interest income &amp; other income</w:t>
            </w:r>
          </w:p>
        </w:tc>
        <w:tc>
          <w:tcPr>
            <w:tcW w:w="1064" w:type="dxa"/>
            <w:gridSpan w:val="4"/>
            <w:tcBorders>
              <w:top w:val="nil"/>
              <w:left w:val="nil"/>
              <w:bottom w:val="nil"/>
              <w:right w:val="nil"/>
            </w:tcBorders>
            <w:vAlign w:val="center"/>
          </w:tcPr>
          <w:p w:rsidR="0073298C" w:rsidRDefault="0073298C" w:rsidP="0073298C">
            <w:pPr>
              <w:spacing w:before="22" w:after="22"/>
              <w:ind w:left="22"/>
              <w:jc w:val="right"/>
              <w:rPr>
                <w:rFonts w:ascii="Arial" w:hAnsi="Arial" w:cs="Arial"/>
                <w:color w:val="000000"/>
                <w:sz w:val="16"/>
                <w:szCs w:val="16"/>
              </w:rPr>
            </w:pPr>
            <w:r>
              <w:rPr>
                <w:rFonts w:ascii="Arial" w:hAnsi="Arial" w:cs="Arial"/>
                <w:color w:val="000000"/>
                <w:sz w:val="16"/>
                <w:szCs w:val="16"/>
              </w:rPr>
              <w:t>1,765</w:t>
            </w:r>
          </w:p>
        </w:tc>
        <w:tc>
          <w:tcPr>
            <w:tcW w:w="162" w:type="dxa"/>
            <w:tcBorders>
              <w:top w:val="nil"/>
              <w:left w:val="nil"/>
              <w:bottom w:val="nil"/>
              <w:right w:val="nil"/>
            </w:tcBorders>
            <w:vAlign w:val="bottom"/>
          </w:tcPr>
          <w:p w:rsidR="0073298C" w:rsidRDefault="0073298C" w:rsidP="0073298C">
            <w:pPr>
              <w:spacing w:before="22" w:after="22"/>
              <w:ind w:left="22"/>
              <w:jc w:val="right"/>
              <w:rPr>
                <w:rFonts w:ascii="Arial" w:hAnsi="Arial" w:cs="Arial"/>
                <w:color w:val="000000"/>
                <w:sz w:val="16"/>
                <w:szCs w:val="16"/>
              </w:rPr>
            </w:pPr>
          </w:p>
          <w:p w:rsidR="0073298C" w:rsidRDefault="0073298C" w:rsidP="0073298C">
            <w:pPr>
              <w:rPr>
                <w:sz w:val="16"/>
                <w:szCs w:val="16"/>
              </w:rPr>
            </w:pPr>
            <w:r>
              <w:rPr>
                <w:sz w:val="16"/>
                <w:szCs w:val="16"/>
              </w:rPr>
              <w:t> </w:t>
            </w:r>
          </w:p>
        </w:tc>
        <w:tc>
          <w:tcPr>
            <w:tcW w:w="105" w:type="dxa"/>
            <w:gridSpan w:val="2"/>
            <w:tcBorders>
              <w:top w:val="nil"/>
              <w:left w:val="nil"/>
              <w:bottom w:val="nil"/>
              <w:right w:val="nil"/>
            </w:tcBorders>
            <w:vAlign w:val="bottom"/>
          </w:tcPr>
          <w:p w:rsidR="0073298C" w:rsidRDefault="0073298C" w:rsidP="0073298C">
            <w:pPr>
              <w:spacing w:before="22" w:after="22"/>
              <w:ind w:left="22" w:right="22"/>
              <w:rPr>
                <w:color w:val="000000"/>
              </w:rPr>
            </w:pPr>
            <w:r>
              <w:rPr>
                <w:color w:val="000000"/>
              </w:rPr>
              <w:t> </w:t>
            </w:r>
          </w:p>
        </w:tc>
        <w:tc>
          <w:tcPr>
            <w:tcW w:w="1066" w:type="dxa"/>
            <w:gridSpan w:val="5"/>
            <w:tcBorders>
              <w:top w:val="nil"/>
              <w:left w:val="nil"/>
              <w:bottom w:val="nil"/>
              <w:right w:val="nil"/>
            </w:tcBorders>
            <w:vAlign w:val="center"/>
          </w:tcPr>
          <w:p w:rsidR="0073298C" w:rsidRDefault="0073298C" w:rsidP="0073298C">
            <w:pPr>
              <w:spacing w:before="22" w:after="22"/>
              <w:ind w:left="22"/>
              <w:jc w:val="right"/>
              <w:rPr>
                <w:rFonts w:ascii="Arial" w:hAnsi="Arial" w:cs="Arial"/>
                <w:color w:val="000000"/>
                <w:sz w:val="16"/>
                <w:szCs w:val="16"/>
              </w:rPr>
            </w:pPr>
            <w:r>
              <w:rPr>
                <w:rFonts w:ascii="Arial" w:hAnsi="Arial" w:cs="Arial"/>
                <w:color w:val="000000"/>
                <w:sz w:val="16"/>
                <w:szCs w:val="16"/>
              </w:rPr>
              <w:t>5,248</w:t>
            </w:r>
          </w:p>
        </w:tc>
        <w:tc>
          <w:tcPr>
            <w:tcW w:w="162" w:type="dxa"/>
            <w:tcBorders>
              <w:top w:val="nil"/>
              <w:left w:val="nil"/>
              <w:bottom w:val="nil"/>
              <w:right w:val="nil"/>
            </w:tcBorders>
            <w:vAlign w:val="bottom"/>
          </w:tcPr>
          <w:p w:rsidR="0073298C" w:rsidRDefault="0073298C" w:rsidP="0073298C">
            <w:pPr>
              <w:spacing w:before="22" w:after="22"/>
              <w:ind w:left="22"/>
              <w:jc w:val="right"/>
              <w:rPr>
                <w:rFonts w:ascii="Arial" w:hAnsi="Arial" w:cs="Arial"/>
                <w:color w:val="000000"/>
                <w:sz w:val="16"/>
                <w:szCs w:val="16"/>
              </w:rPr>
            </w:pPr>
          </w:p>
          <w:p w:rsidR="0073298C" w:rsidRDefault="0073298C" w:rsidP="0073298C">
            <w:pPr>
              <w:rPr>
                <w:sz w:val="16"/>
                <w:szCs w:val="16"/>
              </w:rPr>
            </w:pPr>
            <w:r>
              <w:rPr>
                <w:sz w:val="16"/>
                <w:szCs w:val="16"/>
              </w:rPr>
              <w:t> </w:t>
            </w:r>
          </w:p>
        </w:tc>
        <w:tc>
          <w:tcPr>
            <w:tcW w:w="110" w:type="dxa"/>
            <w:tcBorders>
              <w:top w:val="nil"/>
              <w:left w:val="nil"/>
              <w:bottom w:val="nil"/>
              <w:right w:val="nil"/>
            </w:tcBorders>
            <w:vAlign w:val="bottom"/>
          </w:tcPr>
          <w:p w:rsidR="0073298C" w:rsidRDefault="0073298C" w:rsidP="0073298C">
            <w:pPr>
              <w:spacing w:before="22" w:after="22"/>
              <w:ind w:left="22" w:right="22"/>
              <w:rPr>
                <w:color w:val="000000"/>
              </w:rPr>
            </w:pPr>
            <w:r>
              <w:rPr>
                <w:color w:val="000000"/>
              </w:rPr>
              <w:t> </w:t>
            </w:r>
          </w:p>
        </w:tc>
        <w:tc>
          <w:tcPr>
            <w:tcW w:w="1066" w:type="dxa"/>
            <w:gridSpan w:val="3"/>
            <w:tcBorders>
              <w:top w:val="nil"/>
              <w:left w:val="nil"/>
              <w:bottom w:val="nil"/>
              <w:right w:val="nil"/>
            </w:tcBorders>
            <w:vAlign w:val="center"/>
          </w:tcPr>
          <w:p w:rsidR="0073298C" w:rsidRDefault="0073298C" w:rsidP="0073298C">
            <w:pPr>
              <w:spacing w:before="22" w:after="22"/>
              <w:ind w:left="22"/>
              <w:jc w:val="right"/>
              <w:rPr>
                <w:rFonts w:ascii="Arial" w:hAnsi="Arial" w:cs="Arial"/>
                <w:color w:val="000000"/>
                <w:sz w:val="16"/>
                <w:szCs w:val="16"/>
              </w:rPr>
            </w:pPr>
            <w:r>
              <w:rPr>
                <w:rFonts w:ascii="Arial" w:hAnsi="Arial" w:cs="Arial"/>
                <w:color w:val="000000"/>
                <w:sz w:val="16"/>
                <w:szCs w:val="16"/>
              </w:rPr>
              <w:t>9,502</w:t>
            </w:r>
          </w:p>
        </w:tc>
        <w:tc>
          <w:tcPr>
            <w:tcW w:w="162" w:type="dxa"/>
            <w:gridSpan w:val="2"/>
            <w:tcBorders>
              <w:top w:val="nil"/>
              <w:left w:val="nil"/>
              <w:bottom w:val="nil"/>
              <w:right w:val="nil"/>
            </w:tcBorders>
            <w:vAlign w:val="bottom"/>
          </w:tcPr>
          <w:p w:rsidR="0073298C" w:rsidRDefault="0073298C" w:rsidP="0073298C">
            <w:pPr>
              <w:spacing w:before="22" w:after="22"/>
              <w:ind w:left="22"/>
              <w:jc w:val="right"/>
              <w:rPr>
                <w:rFonts w:ascii="Arial" w:hAnsi="Arial" w:cs="Arial"/>
                <w:color w:val="000000"/>
                <w:sz w:val="16"/>
                <w:szCs w:val="16"/>
              </w:rPr>
            </w:pPr>
          </w:p>
          <w:p w:rsidR="0073298C" w:rsidRDefault="0073298C" w:rsidP="0073298C">
            <w:pPr>
              <w:rPr>
                <w:sz w:val="16"/>
                <w:szCs w:val="16"/>
              </w:rPr>
            </w:pPr>
            <w:r>
              <w:rPr>
                <w:sz w:val="16"/>
                <w:szCs w:val="16"/>
              </w:rPr>
              <w:t> </w:t>
            </w:r>
          </w:p>
        </w:tc>
        <w:tc>
          <w:tcPr>
            <w:tcW w:w="105" w:type="dxa"/>
            <w:gridSpan w:val="2"/>
            <w:tcBorders>
              <w:top w:val="nil"/>
              <w:left w:val="nil"/>
              <w:bottom w:val="nil"/>
              <w:right w:val="nil"/>
            </w:tcBorders>
            <w:vAlign w:val="bottom"/>
          </w:tcPr>
          <w:p w:rsidR="0073298C" w:rsidRDefault="0073298C" w:rsidP="0073298C">
            <w:pPr>
              <w:spacing w:before="22" w:after="22"/>
              <w:ind w:left="22" w:right="22"/>
              <w:rPr>
                <w:color w:val="000000"/>
              </w:rPr>
            </w:pPr>
            <w:r>
              <w:rPr>
                <w:color w:val="000000"/>
              </w:rPr>
              <w:t> </w:t>
            </w:r>
          </w:p>
        </w:tc>
        <w:tc>
          <w:tcPr>
            <w:tcW w:w="1066" w:type="dxa"/>
            <w:gridSpan w:val="4"/>
            <w:tcBorders>
              <w:top w:val="nil"/>
              <w:left w:val="nil"/>
              <w:bottom w:val="nil"/>
              <w:right w:val="nil"/>
            </w:tcBorders>
            <w:vAlign w:val="center"/>
          </w:tcPr>
          <w:p w:rsidR="0073298C" w:rsidRDefault="0073298C" w:rsidP="0073298C">
            <w:pPr>
              <w:spacing w:before="22" w:after="22"/>
              <w:ind w:left="22"/>
              <w:jc w:val="right"/>
              <w:rPr>
                <w:rFonts w:ascii="Arial" w:hAnsi="Arial" w:cs="Arial"/>
                <w:color w:val="000000"/>
                <w:sz w:val="16"/>
                <w:szCs w:val="16"/>
              </w:rPr>
            </w:pPr>
            <w:r>
              <w:rPr>
                <w:rFonts w:ascii="Arial" w:hAnsi="Arial" w:cs="Arial"/>
                <w:color w:val="000000"/>
                <w:sz w:val="16"/>
                <w:szCs w:val="16"/>
              </w:rPr>
              <w:t>9,838</w:t>
            </w:r>
          </w:p>
        </w:tc>
        <w:tc>
          <w:tcPr>
            <w:tcW w:w="162" w:type="dxa"/>
            <w:gridSpan w:val="2"/>
            <w:tcBorders>
              <w:top w:val="nil"/>
              <w:left w:val="nil"/>
              <w:bottom w:val="nil"/>
              <w:right w:val="nil"/>
            </w:tcBorders>
            <w:vAlign w:val="bottom"/>
          </w:tcPr>
          <w:p w:rsidR="0073298C" w:rsidRDefault="0073298C" w:rsidP="0073298C">
            <w:pPr>
              <w:spacing w:before="22" w:after="22"/>
              <w:ind w:left="22"/>
              <w:jc w:val="right"/>
              <w:rPr>
                <w:rFonts w:ascii="Arial" w:hAnsi="Arial" w:cs="Arial"/>
                <w:color w:val="000000"/>
                <w:sz w:val="16"/>
                <w:szCs w:val="16"/>
              </w:rPr>
            </w:pPr>
          </w:p>
          <w:p w:rsidR="0073298C" w:rsidRDefault="0073298C" w:rsidP="0073298C">
            <w:pPr>
              <w:rPr>
                <w:sz w:val="16"/>
                <w:szCs w:val="16"/>
              </w:rPr>
            </w:pPr>
            <w:r>
              <w:rPr>
                <w:sz w:val="16"/>
                <w:szCs w:val="16"/>
              </w:rPr>
              <w:t> </w:t>
            </w:r>
          </w:p>
        </w:tc>
        <w:tc>
          <w:tcPr>
            <w:tcW w:w="105" w:type="dxa"/>
            <w:gridSpan w:val="2"/>
            <w:tcBorders>
              <w:top w:val="nil"/>
              <w:left w:val="nil"/>
              <w:bottom w:val="nil"/>
              <w:right w:val="nil"/>
            </w:tcBorders>
            <w:vAlign w:val="bottom"/>
          </w:tcPr>
          <w:p w:rsidR="0073298C" w:rsidRDefault="0073298C" w:rsidP="0073298C">
            <w:pPr>
              <w:spacing w:before="22" w:after="22"/>
              <w:ind w:left="22" w:right="22"/>
              <w:rPr>
                <w:color w:val="000000"/>
              </w:rPr>
            </w:pPr>
            <w:r>
              <w:rPr>
                <w:color w:val="000000"/>
              </w:rPr>
              <w:t> </w:t>
            </w:r>
          </w:p>
        </w:tc>
        <w:tc>
          <w:tcPr>
            <w:tcW w:w="1057" w:type="dxa"/>
            <w:gridSpan w:val="4"/>
            <w:tcBorders>
              <w:top w:val="nil"/>
              <w:left w:val="nil"/>
              <w:bottom w:val="nil"/>
              <w:right w:val="nil"/>
            </w:tcBorders>
            <w:vAlign w:val="center"/>
          </w:tcPr>
          <w:p w:rsidR="0073298C" w:rsidRDefault="0073298C" w:rsidP="0073298C">
            <w:pPr>
              <w:spacing w:before="22" w:after="22"/>
              <w:ind w:left="22"/>
              <w:jc w:val="right"/>
              <w:rPr>
                <w:rFonts w:ascii="Arial" w:hAnsi="Arial" w:cs="Arial"/>
                <w:color w:val="000000"/>
                <w:sz w:val="16"/>
                <w:szCs w:val="16"/>
              </w:rPr>
            </w:pPr>
            <w:r>
              <w:rPr>
                <w:rFonts w:ascii="Arial" w:hAnsi="Arial" w:cs="Arial"/>
                <w:color w:val="000000"/>
                <w:sz w:val="16"/>
                <w:szCs w:val="16"/>
              </w:rPr>
              <w:t>3,257</w:t>
            </w:r>
          </w:p>
        </w:tc>
        <w:tc>
          <w:tcPr>
            <w:tcW w:w="168" w:type="dxa"/>
            <w:gridSpan w:val="3"/>
            <w:tcBorders>
              <w:top w:val="nil"/>
              <w:left w:val="nil"/>
              <w:bottom w:val="nil"/>
              <w:right w:val="single" w:sz="6" w:space="0" w:color="00467E"/>
            </w:tcBorders>
            <w:vAlign w:val="bottom"/>
          </w:tcPr>
          <w:p w:rsidR="0073298C" w:rsidRDefault="0073298C" w:rsidP="0073298C">
            <w:pPr>
              <w:spacing w:before="22" w:after="22"/>
              <w:ind w:left="22"/>
              <w:jc w:val="right"/>
              <w:rPr>
                <w:rFonts w:ascii="Arial" w:hAnsi="Arial" w:cs="Arial"/>
                <w:color w:val="000000"/>
                <w:sz w:val="16"/>
                <w:szCs w:val="16"/>
              </w:rPr>
            </w:pPr>
          </w:p>
          <w:p w:rsidR="0073298C" w:rsidRDefault="0073298C" w:rsidP="0073298C">
            <w:pPr>
              <w:rPr>
                <w:sz w:val="16"/>
                <w:szCs w:val="16"/>
              </w:rPr>
            </w:pPr>
            <w:r>
              <w:rPr>
                <w:sz w:val="16"/>
                <w:szCs w:val="16"/>
              </w:rPr>
              <w:t> </w:t>
            </w:r>
          </w:p>
        </w:tc>
      </w:tr>
      <w:tr w:rsidR="0073298C" w:rsidTr="0073298C">
        <w:tblPrEx>
          <w:tblCellMar>
            <w:top w:w="0" w:type="dxa"/>
            <w:left w:w="0" w:type="dxa"/>
            <w:bottom w:w="0" w:type="dxa"/>
            <w:right w:w="0" w:type="dxa"/>
          </w:tblCellMar>
        </w:tblPrEx>
        <w:trPr>
          <w:gridAfter w:val="2"/>
          <w:wAfter w:w="27" w:type="dxa"/>
          <w:trHeight w:val="281"/>
          <w:jc w:val="center"/>
        </w:trPr>
        <w:tc>
          <w:tcPr>
            <w:tcW w:w="4217" w:type="dxa"/>
            <w:tcBorders>
              <w:top w:val="nil"/>
              <w:left w:val="single" w:sz="6" w:space="0" w:color="00467E"/>
              <w:bottom w:val="nil"/>
              <w:right w:val="nil"/>
            </w:tcBorders>
            <w:shd w:val="clear" w:color="CFD4D8" w:fill="CFD4D8"/>
            <w:vAlign w:val="center"/>
          </w:tcPr>
          <w:p w:rsidR="0073298C" w:rsidRDefault="0073298C" w:rsidP="0073298C">
            <w:pPr>
              <w:spacing w:before="22" w:after="22"/>
              <w:ind w:left="22" w:right="22"/>
              <w:rPr>
                <w:rFonts w:ascii="Arial" w:hAnsi="Arial" w:cs="Arial"/>
                <w:color w:val="000000"/>
                <w:sz w:val="16"/>
                <w:szCs w:val="16"/>
              </w:rPr>
            </w:pPr>
            <w:r>
              <w:rPr>
                <w:rFonts w:ascii="Arial" w:hAnsi="Arial" w:cs="Arial"/>
                <w:color w:val="000000"/>
                <w:sz w:val="16"/>
                <w:szCs w:val="16"/>
              </w:rPr>
              <w:lastRenderedPageBreak/>
              <w:t>Interest expense</w:t>
            </w:r>
          </w:p>
        </w:tc>
        <w:tc>
          <w:tcPr>
            <w:tcW w:w="1064" w:type="dxa"/>
            <w:gridSpan w:val="4"/>
            <w:tcBorders>
              <w:top w:val="nil"/>
              <w:left w:val="nil"/>
              <w:bottom w:val="nil"/>
              <w:right w:val="nil"/>
            </w:tcBorders>
            <w:shd w:val="clear" w:color="CFD4D8" w:fill="CFD4D8"/>
            <w:vAlign w:val="center"/>
          </w:tcPr>
          <w:p w:rsidR="0073298C" w:rsidRDefault="0073298C" w:rsidP="0073298C">
            <w:pPr>
              <w:spacing w:before="22" w:after="22"/>
              <w:ind w:left="22"/>
              <w:jc w:val="right"/>
              <w:rPr>
                <w:rFonts w:ascii="Arial" w:hAnsi="Arial" w:cs="Arial"/>
                <w:color w:val="000000"/>
                <w:sz w:val="16"/>
                <w:szCs w:val="16"/>
              </w:rPr>
            </w:pPr>
            <w:r>
              <w:rPr>
                <w:rFonts w:ascii="Arial" w:hAnsi="Arial" w:cs="Arial"/>
                <w:color w:val="000000"/>
                <w:sz w:val="16"/>
                <w:szCs w:val="16"/>
              </w:rPr>
              <w:t>(8,686</w:t>
            </w:r>
          </w:p>
        </w:tc>
        <w:tc>
          <w:tcPr>
            <w:tcW w:w="162" w:type="dxa"/>
            <w:tcBorders>
              <w:top w:val="nil"/>
              <w:left w:val="nil"/>
              <w:bottom w:val="nil"/>
              <w:right w:val="nil"/>
            </w:tcBorders>
            <w:shd w:val="clear" w:color="CFD4D8" w:fill="CFD4D8"/>
            <w:vAlign w:val="center"/>
          </w:tcPr>
          <w:p w:rsidR="0073298C" w:rsidRDefault="0073298C" w:rsidP="0073298C">
            <w:pPr>
              <w:spacing w:before="22" w:after="22"/>
              <w:ind w:right="22"/>
              <w:rPr>
                <w:rFonts w:ascii="Arial" w:hAnsi="Arial" w:cs="Arial"/>
                <w:color w:val="000000"/>
                <w:sz w:val="16"/>
                <w:szCs w:val="16"/>
              </w:rPr>
            </w:pPr>
            <w:r>
              <w:rPr>
                <w:rFonts w:ascii="Arial" w:hAnsi="Arial" w:cs="Arial"/>
                <w:color w:val="000000"/>
                <w:sz w:val="16"/>
                <w:szCs w:val="16"/>
              </w:rPr>
              <w:t>)</w:t>
            </w:r>
          </w:p>
        </w:tc>
        <w:tc>
          <w:tcPr>
            <w:tcW w:w="105" w:type="dxa"/>
            <w:gridSpan w:val="2"/>
            <w:tcBorders>
              <w:top w:val="nil"/>
              <w:left w:val="nil"/>
              <w:bottom w:val="nil"/>
              <w:right w:val="nil"/>
            </w:tcBorders>
            <w:shd w:val="clear" w:color="CFD4D8" w:fill="CFD4D8"/>
            <w:vAlign w:val="bottom"/>
          </w:tcPr>
          <w:p w:rsidR="0073298C" w:rsidRDefault="0073298C" w:rsidP="0073298C">
            <w:pPr>
              <w:spacing w:before="22" w:after="22"/>
              <w:ind w:left="22" w:right="22"/>
              <w:rPr>
                <w:color w:val="000000"/>
              </w:rPr>
            </w:pPr>
            <w:r>
              <w:rPr>
                <w:color w:val="000000"/>
              </w:rPr>
              <w:t> </w:t>
            </w:r>
          </w:p>
        </w:tc>
        <w:tc>
          <w:tcPr>
            <w:tcW w:w="1066" w:type="dxa"/>
            <w:gridSpan w:val="5"/>
            <w:tcBorders>
              <w:top w:val="nil"/>
              <w:left w:val="nil"/>
              <w:bottom w:val="nil"/>
              <w:right w:val="nil"/>
            </w:tcBorders>
            <w:shd w:val="clear" w:color="CFD4D8" w:fill="CFD4D8"/>
            <w:vAlign w:val="center"/>
          </w:tcPr>
          <w:p w:rsidR="0073298C" w:rsidRDefault="0073298C" w:rsidP="0073298C">
            <w:pPr>
              <w:spacing w:before="22" w:after="22"/>
              <w:ind w:left="22"/>
              <w:jc w:val="right"/>
              <w:rPr>
                <w:rFonts w:ascii="Arial" w:hAnsi="Arial" w:cs="Arial"/>
                <w:color w:val="000000"/>
                <w:sz w:val="16"/>
                <w:szCs w:val="16"/>
              </w:rPr>
            </w:pPr>
            <w:r>
              <w:rPr>
                <w:rFonts w:ascii="Arial" w:hAnsi="Arial" w:cs="Arial"/>
                <w:color w:val="000000"/>
                <w:sz w:val="16"/>
                <w:szCs w:val="16"/>
              </w:rPr>
              <w:t>(897</w:t>
            </w:r>
          </w:p>
        </w:tc>
        <w:tc>
          <w:tcPr>
            <w:tcW w:w="162" w:type="dxa"/>
            <w:tcBorders>
              <w:top w:val="nil"/>
              <w:left w:val="nil"/>
              <w:bottom w:val="nil"/>
              <w:right w:val="nil"/>
            </w:tcBorders>
            <w:shd w:val="clear" w:color="CFD4D8" w:fill="CFD4D8"/>
            <w:vAlign w:val="center"/>
          </w:tcPr>
          <w:p w:rsidR="0073298C" w:rsidRDefault="0073298C" w:rsidP="0073298C">
            <w:pPr>
              <w:spacing w:before="22" w:after="22"/>
              <w:ind w:right="22"/>
              <w:rPr>
                <w:rFonts w:ascii="Arial" w:hAnsi="Arial" w:cs="Arial"/>
                <w:color w:val="000000"/>
                <w:sz w:val="16"/>
                <w:szCs w:val="16"/>
              </w:rPr>
            </w:pPr>
            <w:r>
              <w:rPr>
                <w:rFonts w:ascii="Arial" w:hAnsi="Arial" w:cs="Arial"/>
                <w:color w:val="000000"/>
                <w:sz w:val="16"/>
                <w:szCs w:val="16"/>
              </w:rPr>
              <w:t>)</w:t>
            </w:r>
          </w:p>
        </w:tc>
        <w:tc>
          <w:tcPr>
            <w:tcW w:w="110" w:type="dxa"/>
            <w:tcBorders>
              <w:top w:val="nil"/>
              <w:left w:val="nil"/>
              <w:bottom w:val="nil"/>
              <w:right w:val="nil"/>
            </w:tcBorders>
            <w:shd w:val="clear" w:color="CFD4D8" w:fill="CFD4D8"/>
            <w:vAlign w:val="bottom"/>
          </w:tcPr>
          <w:p w:rsidR="0073298C" w:rsidRDefault="0073298C" w:rsidP="0073298C">
            <w:pPr>
              <w:spacing w:before="22" w:after="22"/>
              <w:ind w:left="22" w:right="22"/>
              <w:rPr>
                <w:color w:val="000000"/>
              </w:rPr>
            </w:pPr>
            <w:r>
              <w:rPr>
                <w:color w:val="000000"/>
              </w:rPr>
              <w:t> </w:t>
            </w:r>
          </w:p>
        </w:tc>
        <w:tc>
          <w:tcPr>
            <w:tcW w:w="1066" w:type="dxa"/>
            <w:gridSpan w:val="3"/>
            <w:tcBorders>
              <w:top w:val="nil"/>
              <w:left w:val="nil"/>
              <w:bottom w:val="nil"/>
              <w:right w:val="nil"/>
            </w:tcBorders>
            <w:shd w:val="clear" w:color="CFD4D8" w:fill="CFD4D8"/>
            <w:vAlign w:val="center"/>
          </w:tcPr>
          <w:p w:rsidR="0073298C" w:rsidRDefault="0073298C" w:rsidP="0073298C">
            <w:pPr>
              <w:spacing w:before="22" w:after="22"/>
              <w:ind w:left="22"/>
              <w:jc w:val="right"/>
              <w:rPr>
                <w:rFonts w:ascii="Arial" w:hAnsi="Arial" w:cs="Arial"/>
                <w:color w:val="000000"/>
                <w:sz w:val="16"/>
                <w:szCs w:val="16"/>
              </w:rPr>
            </w:pPr>
            <w:r>
              <w:rPr>
                <w:rFonts w:ascii="Arial" w:hAnsi="Arial" w:cs="Arial"/>
                <w:color w:val="000000"/>
                <w:sz w:val="16"/>
                <w:szCs w:val="16"/>
              </w:rPr>
              <w:t>(998</w:t>
            </w:r>
          </w:p>
        </w:tc>
        <w:tc>
          <w:tcPr>
            <w:tcW w:w="162" w:type="dxa"/>
            <w:gridSpan w:val="2"/>
            <w:tcBorders>
              <w:top w:val="nil"/>
              <w:left w:val="nil"/>
              <w:bottom w:val="nil"/>
              <w:right w:val="nil"/>
            </w:tcBorders>
            <w:shd w:val="clear" w:color="CFD4D8" w:fill="CFD4D8"/>
            <w:vAlign w:val="center"/>
          </w:tcPr>
          <w:p w:rsidR="0073298C" w:rsidRDefault="0073298C" w:rsidP="0073298C">
            <w:pPr>
              <w:spacing w:before="22" w:after="22"/>
              <w:ind w:right="22"/>
              <w:rPr>
                <w:rFonts w:ascii="Arial" w:hAnsi="Arial" w:cs="Arial"/>
                <w:color w:val="000000"/>
                <w:sz w:val="16"/>
                <w:szCs w:val="16"/>
              </w:rPr>
            </w:pPr>
            <w:r>
              <w:rPr>
                <w:rFonts w:ascii="Arial" w:hAnsi="Arial" w:cs="Arial"/>
                <w:color w:val="000000"/>
                <w:sz w:val="16"/>
                <w:szCs w:val="16"/>
              </w:rPr>
              <w:t>)</w:t>
            </w:r>
          </w:p>
        </w:tc>
        <w:tc>
          <w:tcPr>
            <w:tcW w:w="105" w:type="dxa"/>
            <w:gridSpan w:val="2"/>
            <w:tcBorders>
              <w:top w:val="nil"/>
              <w:left w:val="nil"/>
              <w:bottom w:val="nil"/>
              <w:right w:val="nil"/>
            </w:tcBorders>
            <w:shd w:val="clear" w:color="CFD4D8" w:fill="CFD4D8"/>
            <w:vAlign w:val="bottom"/>
          </w:tcPr>
          <w:p w:rsidR="0073298C" w:rsidRDefault="0073298C" w:rsidP="0073298C">
            <w:pPr>
              <w:spacing w:before="22" w:after="22"/>
              <w:ind w:left="22" w:right="22"/>
              <w:rPr>
                <w:color w:val="000000"/>
              </w:rPr>
            </w:pPr>
            <w:r>
              <w:rPr>
                <w:color w:val="000000"/>
              </w:rPr>
              <w:t> </w:t>
            </w:r>
          </w:p>
        </w:tc>
        <w:tc>
          <w:tcPr>
            <w:tcW w:w="1066" w:type="dxa"/>
            <w:gridSpan w:val="4"/>
            <w:tcBorders>
              <w:top w:val="nil"/>
              <w:left w:val="nil"/>
              <w:bottom w:val="nil"/>
              <w:right w:val="nil"/>
            </w:tcBorders>
            <w:shd w:val="clear" w:color="CFD4D8" w:fill="CFD4D8"/>
            <w:vAlign w:val="center"/>
          </w:tcPr>
          <w:p w:rsidR="0073298C" w:rsidRDefault="0073298C" w:rsidP="0073298C">
            <w:pPr>
              <w:spacing w:before="22" w:after="22"/>
              <w:ind w:left="22"/>
              <w:jc w:val="right"/>
              <w:rPr>
                <w:rFonts w:ascii="Arial" w:hAnsi="Arial" w:cs="Arial"/>
                <w:color w:val="000000"/>
                <w:sz w:val="16"/>
                <w:szCs w:val="16"/>
              </w:rPr>
            </w:pPr>
            <w:r>
              <w:rPr>
                <w:rFonts w:ascii="Arial" w:hAnsi="Arial" w:cs="Arial"/>
                <w:color w:val="000000"/>
                <w:sz w:val="16"/>
                <w:szCs w:val="16"/>
              </w:rPr>
              <w:t>(730</w:t>
            </w:r>
          </w:p>
        </w:tc>
        <w:tc>
          <w:tcPr>
            <w:tcW w:w="162" w:type="dxa"/>
            <w:gridSpan w:val="2"/>
            <w:tcBorders>
              <w:top w:val="nil"/>
              <w:left w:val="nil"/>
              <w:bottom w:val="nil"/>
              <w:right w:val="nil"/>
            </w:tcBorders>
            <w:shd w:val="clear" w:color="CFD4D8" w:fill="CFD4D8"/>
            <w:vAlign w:val="center"/>
          </w:tcPr>
          <w:p w:rsidR="0073298C" w:rsidRDefault="0073298C" w:rsidP="0073298C">
            <w:pPr>
              <w:spacing w:before="22" w:after="22"/>
              <w:ind w:right="22"/>
              <w:rPr>
                <w:rFonts w:ascii="Arial" w:hAnsi="Arial" w:cs="Arial"/>
                <w:color w:val="000000"/>
                <w:sz w:val="16"/>
                <w:szCs w:val="16"/>
              </w:rPr>
            </w:pPr>
            <w:r>
              <w:rPr>
                <w:rFonts w:ascii="Arial" w:hAnsi="Arial" w:cs="Arial"/>
                <w:color w:val="000000"/>
                <w:sz w:val="16"/>
                <w:szCs w:val="16"/>
              </w:rPr>
              <w:t>)</w:t>
            </w:r>
          </w:p>
        </w:tc>
        <w:tc>
          <w:tcPr>
            <w:tcW w:w="105" w:type="dxa"/>
            <w:gridSpan w:val="2"/>
            <w:tcBorders>
              <w:top w:val="nil"/>
              <w:left w:val="nil"/>
              <w:bottom w:val="nil"/>
              <w:right w:val="nil"/>
            </w:tcBorders>
            <w:shd w:val="clear" w:color="CFD4D8" w:fill="CFD4D8"/>
            <w:vAlign w:val="bottom"/>
          </w:tcPr>
          <w:p w:rsidR="0073298C" w:rsidRDefault="0073298C" w:rsidP="0073298C">
            <w:pPr>
              <w:spacing w:before="22" w:after="22"/>
              <w:ind w:left="22" w:right="22"/>
              <w:rPr>
                <w:color w:val="000000"/>
              </w:rPr>
            </w:pPr>
            <w:r>
              <w:rPr>
                <w:color w:val="000000"/>
              </w:rPr>
              <w:t> </w:t>
            </w:r>
          </w:p>
        </w:tc>
        <w:tc>
          <w:tcPr>
            <w:tcW w:w="1057" w:type="dxa"/>
            <w:gridSpan w:val="4"/>
            <w:tcBorders>
              <w:top w:val="nil"/>
              <w:left w:val="nil"/>
              <w:bottom w:val="nil"/>
              <w:right w:val="nil"/>
            </w:tcBorders>
            <w:shd w:val="clear" w:color="CFD4D8" w:fill="CFD4D8"/>
            <w:vAlign w:val="center"/>
          </w:tcPr>
          <w:p w:rsidR="0073298C" w:rsidRDefault="0073298C" w:rsidP="0073298C">
            <w:pPr>
              <w:spacing w:before="22" w:after="22"/>
              <w:ind w:left="22"/>
              <w:jc w:val="right"/>
              <w:rPr>
                <w:rFonts w:ascii="Arial" w:hAnsi="Arial" w:cs="Arial"/>
                <w:color w:val="000000"/>
                <w:sz w:val="16"/>
                <w:szCs w:val="16"/>
              </w:rPr>
            </w:pPr>
            <w:r>
              <w:rPr>
                <w:rFonts w:ascii="Arial" w:hAnsi="Arial" w:cs="Arial"/>
                <w:color w:val="000000"/>
                <w:sz w:val="16"/>
                <w:szCs w:val="16"/>
              </w:rPr>
              <w:t>(462</w:t>
            </w:r>
          </w:p>
        </w:tc>
        <w:tc>
          <w:tcPr>
            <w:tcW w:w="168" w:type="dxa"/>
            <w:gridSpan w:val="3"/>
            <w:tcBorders>
              <w:top w:val="nil"/>
              <w:left w:val="nil"/>
              <w:bottom w:val="nil"/>
              <w:right w:val="single" w:sz="6" w:space="0" w:color="00467E"/>
            </w:tcBorders>
            <w:shd w:val="clear" w:color="CFD4D8" w:fill="CFD4D8"/>
            <w:vAlign w:val="center"/>
          </w:tcPr>
          <w:p w:rsidR="0073298C" w:rsidRDefault="0073298C" w:rsidP="0073298C">
            <w:pPr>
              <w:spacing w:before="22" w:after="22"/>
              <w:ind w:right="22"/>
              <w:rPr>
                <w:rFonts w:ascii="Arial" w:hAnsi="Arial" w:cs="Arial"/>
                <w:color w:val="000000"/>
                <w:sz w:val="16"/>
                <w:szCs w:val="16"/>
              </w:rPr>
            </w:pPr>
            <w:r>
              <w:rPr>
                <w:rFonts w:ascii="Arial" w:hAnsi="Arial" w:cs="Arial"/>
                <w:color w:val="000000"/>
                <w:sz w:val="16"/>
                <w:szCs w:val="16"/>
              </w:rPr>
              <w:t>)</w:t>
            </w:r>
          </w:p>
        </w:tc>
      </w:tr>
      <w:tr w:rsidR="0073298C" w:rsidTr="0073298C">
        <w:tblPrEx>
          <w:tblCellMar>
            <w:top w:w="0" w:type="dxa"/>
            <w:left w:w="0" w:type="dxa"/>
            <w:bottom w:w="0" w:type="dxa"/>
            <w:right w:w="0" w:type="dxa"/>
          </w:tblCellMar>
        </w:tblPrEx>
        <w:trPr>
          <w:gridAfter w:val="2"/>
          <w:wAfter w:w="27" w:type="dxa"/>
          <w:trHeight w:val="281"/>
          <w:jc w:val="center"/>
        </w:trPr>
        <w:tc>
          <w:tcPr>
            <w:tcW w:w="4217" w:type="dxa"/>
            <w:tcBorders>
              <w:top w:val="nil"/>
              <w:left w:val="single" w:sz="6" w:space="0" w:color="00467E"/>
              <w:bottom w:val="nil"/>
              <w:right w:val="nil"/>
            </w:tcBorders>
            <w:vAlign w:val="center"/>
          </w:tcPr>
          <w:p w:rsidR="0073298C" w:rsidRDefault="0073298C" w:rsidP="0073298C">
            <w:pPr>
              <w:spacing w:before="22" w:after="22"/>
              <w:ind w:left="22" w:right="22"/>
              <w:rPr>
                <w:rFonts w:ascii="Arial" w:hAnsi="Arial" w:cs="Arial"/>
                <w:color w:val="000000"/>
                <w:sz w:val="16"/>
                <w:szCs w:val="16"/>
              </w:rPr>
            </w:pPr>
            <w:r>
              <w:rPr>
                <w:rFonts w:ascii="Arial" w:hAnsi="Arial" w:cs="Arial"/>
                <w:color w:val="000000"/>
                <w:sz w:val="16"/>
                <w:szCs w:val="16"/>
              </w:rPr>
              <w:t>Income before income taxes</w:t>
            </w:r>
          </w:p>
        </w:tc>
        <w:tc>
          <w:tcPr>
            <w:tcW w:w="1064" w:type="dxa"/>
            <w:gridSpan w:val="4"/>
            <w:tcBorders>
              <w:top w:val="nil"/>
              <w:left w:val="nil"/>
              <w:bottom w:val="nil"/>
              <w:right w:val="nil"/>
            </w:tcBorders>
            <w:vAlign w:val="center"/>
          </w:tcPr>
          <w:p w:rsidR="0073298C" w:rsidRDefault="0073298C" w:rsidP="0073298C">
            <w:pPr>
              <w:spacing w:before="22" w:after="22"/>
              <w:ind w:left="22"/>
              <w:jc w:val="right"/>
              <w:rPr>
                <w:rFonts w:ascii="Arial" w:hAnsi="Arial" w:cs="Arial"/>
                <w:color w:val="000000"/>
                <w:sz w:val="16"/>
                <w:szCs w:val="16"/>
              </w:rPr>
            </w:pPr>
            <w:r>
              <w:rPr>
                <w:rFonts w:ascii="Arial" w:hAnsi="Arial" w:cs="Arial"/>
                <w:color w:val="000000"/>
                <w:sz w:val="16"/>
                <w:szCs w:val="16"/>
              </w:rPr>
              <w:t>193,709</w:t>
            </w:r>
          </w:p>
        </w:tc>
        <w:tc>
          <w:tcPr>
            <w:tcW w:w="162" w:type="dxa"/>
            <w:tcBorders>
              <w:top w:val="nil"/>
              <w:left w:val="nil"/>
              <w:bottom w:val="nil"/>
              <w:right w:val="nil"/>
            </w:tcBorders>
            <w:vAlign w:val="bottom"/>
          </w:tcPr>
          <w:p w:rsidR="0073298C" w:rsidRDefault="0073298C" w:rsidP="0073298C">
            <w:pPr>
              <w:spacing w:before="22" w:after="22"/>
              <w:ind w:left="22"/>
              <w:jc w:val="right"/>
              <w:rPr>
                <w:rFonts w:ascii="Arial" w:hAnsi="Arial" w:cs="Arial"/>
                <w:color w:val="000000"/>
                <w:sz w:val="16"/>
                <w:szCs w:val="16"/>
              </w:rPr>
            </w:pPr>
          </w:p>
          <w:p w:rsidR="0073298C" w:rsidRDefault="0073298C" w:rsidP="0073298C">
            <w:pPr>
              <w:rPr>
                <w:sz w:val="16"/>
                <w:szCs w:val="16"/>
              </w:rPr>
            </w:pPr>
            <w:r>
              <w:rPr>
                <w:sz w:val="16"/>
                <w:szCs w:val="16"/>
              </w:rPr>
              <w:t> </w:t>
            </w:r>
          </w:p>
        </w:tc>
        <w:tc>
          <w:tcPr>
            <w:tcW w:w="105" w:type="dxa"/>
            <w:gridSpan w:val="2"/>
            <w:tcBorders>
              <w:top w:val="nil"/>
              <w:left w:val="nil"/>
              <w:bottom w:val="nil"/>
              <w:right w:val="nil"/>
            </w:tcBorders>
            <w:vAlign w:val="bottom"/>
          </w:tcPr>
          <w:p w:rsidR="0073298C" w:rsidRDefault="0073298C" w:rsidP="0073298C">
            <w:pPr>
              <w:spacing w:before="22" w:after="22"/>
              <w:ind w:left="22" w:right="22"/>
              <w:rPr>
                <w:color w:val="000000"/>
              </w:rPr>
            </w:pPr>
            <w:r>
              <w:rPr>
                <w:color w:val="000000"/>
              </w:rPr>
              <w:t> </w:t>
            </w:r>
          </w:p>
        </w:tc>
        <w:tc>
          <w:tcPr>
            <w:tcW w:w="1066" w:type="dxa"/>
            <w:gridSpan w:val="5"/>
            <w:tcBorders>
              <w:top w:val="nil"/>
              <w:left w:val="nil"/>
              <w:bottom w:val="nil"/>
              <w:right w:val="nil"/>
            </w:tcBorders>
            <w:vAlign w:val="center"/>
          </w:tcPr>
          <w:p w:rsidR="0073298C" w:rsidRDefault="0073298C" w:rsidP="0073298C">
            <w:pPr>
              <w:spacing w:before="22" w:after="22"/>
              <w:ind w:left="22"/>
              <w:jc w:val="right"/>
              <w:rPr>
                <w:rFonts w:ascii="Arial" w:hAnsi="Arial" w:cs="Arial"/>
                <w:color w:val="000000"/>
                <w:sz w:val="16"/>
                <w:szCs w:val="16"/>
              </w:rPr>
            </w:pPr>
            <w:r>
              <w:rPr>
                <w:rFonts w:ascii="Arial" w:hAnsi="Arial" w:cs="Arial"/>
                <w:color w:val="000000"/>
                <w:sz w:val="16"/>
                <w:szCs w:val="16"/>
              </w:rPr>
              <w:t>152,830</w:t>
            </w:r>
          </w:p>
        </w:tc>
        <w:tc>
          <w:tcPr>
            <w:tcW w:w="162" w:type="dxa"/>
            <w:tcBorders>
              <w:top w:val="nil"/>
              <w:left w:val="nil"/>
              <w:bottom w:val="nil"/>
              <w:right w:val="nil"/>
            </w:tcBorders>
            <w:vAlign w:val="bottom"/>
          </w:tcPr>
          <w:p w:rsidR="0073298C" w:rsidRDefault="0073298C" w:rsidP="0073298C">
            <w:pPr>
              <w:spacing w:before="22" w:after="22"/>
              <w:ind w:left="22"/>
              <w:jc w:val="right"/>
              <w:rPr>
                <w:rFonts w:ascii="Arial" w:hAnsi="Arial" w:cs="Arial"/>
                <w:color w:val="000000"/>
                <w:sz w:val="16"/>
                <w:szCs w:val="16"/>
              </w:rPr>
            </w:pPr>
          </w:p>
          <w:p w:rsidR="0073298C" w:rsidRDefault="0073298C" w:rsidP="0073298C">
            <w:pPr>
              <w:rPr>
                <w:sz w:val="16"/>
                <w:szCs w:val="16"/>
              </w:rPr>
            </w:pPr>
            <w:r>
              <w:rPr>
                <w:sz w:val="16"/>
                <w:szCs w:val="16"/>
              </w:rPr>
              <w:t> </w:t>
            </w:r>
          </w:p>
        </w:tc>
        <w:tc>
          <w:tcPr>
            <w:tcW w:w="110" w:type="dxa"/>
            <w:tcBorders>
              <w:top w:val="nil"/>
              <w:left w:val="nil"/>
              <w:bottom w:val="nil"/>
              <w:right w:val="nil"/>
            </w:tcBorders>
            <w:vAlign w:val="bottom"/>
          </w:tcPr>
          <w:p w:rsidR="0073298C" w:rsidRDefault="0073298C" w:rsidP="0073298C">
            <w:pPr>
              <w:spacing w:before="22" w:after="22"/>
              <w:ind w:left="22" w:right="22"/>
              <w:rPr>
                <w:color w:val="000000"/>
              </w:rPr>
            </w:pPr>
            <w:r>
              <w:rPr>
                <w:color w:val="000000"/>
              </w:rPr>
              <w:t> </w:t>
            </w:r>
          </w:p>
        </w:tc>
        <w:tc>
          <w:tcPr>
            <w:tcW w:w="1066" w:type="dxa"/>
            <w:gridSpan w:val="3"/>
            <w:tcBorders>
              <w:top w:val="nil"/>
              <w:left w:val="nil"/>
              <w:bottom w:val="nil"/>
              <w:right w:val="nil"/>
            </w:tcBorders>
            <w:vAlign w:val="center"/>
          </w:tcPr>
          <w:p w:rsidR="0073298C" w:rsidRDefault="0073298C" w:rsidP="0073298C">
            <w:pPr>
              <w:spacing w:before="22" w:after="22"/>
              <w:ind w:left="22"/>
              <w:jc w:val="right"/>
              <w:rPr>
                <w:rFonts w:ascii="Arial" w:hAnsi="Arial" w:cs="Arial"/>
                <w:color w:val="000000"/>
                <w:sz w:val="16"/>
                <w:szCs w:val="16"/>
              </w:rPr>
            </w:pPr>
            <w:r>
              <w:rPr>
                <w:rFonts w:ascii="Arial" w:hAnsi="Arial" w:cs="Arial"/>
                <w:color w:val="000000"/>
                <w:sz w:val="16"/>
                <w:szCs w:val="16"/>
              </w:rPr>
              <w:t>186,504</w:t>
            </w:r>
          </w:p>
        </w:tc>
        <w:tc>
          <w:tcPr>
            <w:tcW w:w="162" w:type="dxa"/>
            <w:gridSpan w:val="2"/>
            <w:tcBorders>
              <w:top w:val="nil"/>
              <w:left w:val="nil"/>
              <w:bottom w:val="nil"/>
              <w:right w:val="nil"/>
            </w:tcBorders>
            <w:vAlign w:val="bottom"/>
          </w:tcPr>
          <w:p w:rsidR="0073298C" w:rsidRDefault="0073298C" w:rsidP="0073298C">
            <w:pPr>
              <w:spacing w:before="22" w:after="22"/>
              <w:ind w:left="22"/>
              <w:jc w:val="right"/>
              <w:rPr>
                <w:rFonts w:ascii="Arial" w:hAnsi="Arial" w:cs="Arial"/>
                <w:color w:val="000000"/>
                <w:sz w:val="16"/>
                <w:szCs w:val="16"/>
              </w:rPr>
            </w:pPr>
          </w:p>
          <w:p w:rsidR="0073298C" w:rsidRDefault="0073298C" w:rsidP="0073298C">
            <w:pPr>
              <w:rPr>
                <w:sz w:val="16"/>
                <w:szCs w:val="16"/>
              </w:rPr>
            </w:pPr>
            <w:r>
              <w:rPr>
                <w:sz w:val="16"/>
                <w:szCs w:val="16"/>
              </w:rPr>
              <w:t> </w:t>
            </w:r>
          </w:p>
        </w:tc>
        <w:tc>
          <w:tcPr>
            <w:tcW w:w="105" w:type="dxa"/>
            <w:gridSpan w:val="2"/>
            <w:tcBorders>
              <w:top w:val="nil"/>
              <w:left w:val="nil"/>
              <w:bottom w:val="nil"/>
              <w:right w:val="nil"/>
            </w:tcBorders>
            <w:vAlign w:val="bottom"/>
          </w:tcPr>
          <w:p w:rsidR="0073298C" w:rsidRDefault="0073298C" w:rsidP="0073298C">
            <w:pPr>
              <w:spacing w:before="22" w:after="22"/>
              <w:ind w:left="22" w:right="22"/>
              <w:rPr>
                <w:color w:val="000000"/>
              </w:rPr>
            </w:pPr>
            <w:r>
              <w:rPr>
                <w:color w:val="000000"/>
              </w:rPr>
              <w:t> </w:t>
            </w:r>
          </w:p>
        </w:tc>
        <w:tc>
          <w:tcPr>
            <w:tcW w:w="1066" w:type="dxa"/>
            <w:gridSpan w:val="4"/>
            <w:tcBorders>
              <w:top w:val="nil"/>
              <w:left w:val="nil"/>
              <w:bottom w:val="nil"/>
              <w:right w:val="nil"/>
            </w:tcBorders>
            <w:vAlign w:val="center"/>
          </w:tcPr>
          <w:p w:rsidR="0073298C" w:rsidRDefault="0073298C" w:rsidP="0073298C">
            <w:pPr>
              <w:spacing w:before="22" w:after="22"/>
              <w:ind w:left="22"/>
              <w:jc w:val="right"/>
              <w:rPr>
                <w:rFonts w:ascii="Arial" w:hAnsi="Arial" w:cs="Arial"/>
                <w:color w:val="000000"/>
                <w:sz w:val="16"/>
                <w:szCs w:val="16"/>
              </w:rPr>
            </w:pPr>
            <w:r>
              <w:rPr>
                <w:rFonts w:ascii="Arial" w:hAnsi="Arial" w:cs="Arial"/>
                <w:color w:val="000000"/>
                <w:sz w:val="16"/>
                <w:szCs w:val="16"/>
              </w:rPr>
              <w:t>171,830</w:t>
            </w:r>
          </w:p>
        </w:tc>
        <w:tc>
          <w:tcPr>
            <w:tcW w:w="162" w:type="dxa"/>
            <w:gridSpan w:val="2"/>
            <w:tcBorders>
              <w:top w:val="nil"/>
              <w:left w:val="nil"/>
              <w:bottom w:val="nil"/>
              <w:right w:val="nil"/>
            </w:tcBorders>
            <w:vAlign w:val="bottom"/>
          </w:tcPr>
          <w:p w:rsidR="0073298C" w:rsidRDefault="0073298C" w:rsidP="0073298C">
            <w:pPr>
              <w:spacing w:before="22" w:after="22"/>
              <w:ind w:left="22"/>
              <w:jc w:val="right"/>
              <w:rPr>
                <w:rFonts w:ascii="Arial" w:hAnsi="Arial" w:cs="Arial"/>
                <w:color w:val="000000"/>
                <w:sz w:val="16"/>
                <w:szCs w:val="16"/>
              </w:rPr>
            </w:pPr>
          </w:p>
          <w:p w:rsidR="0073298C" w:rsidRDefault="0073298C" w:rsidP="0073298C">
            <w:pPr>
              <w:rPr>
                <w:sz w:val="16"/>
                <w:szCs w:val="16"/>
              </w:rPr>
            </w:pPr>
            <w:r>
              <w:rPr>
                <w:sz w:val="16"/>
                <w:szCs w:val="16"/>
              </w:rPr>
              <w:t> </w:t>
            </w:r>
          </w:p>
        </w:tc>
        <w:tc>
          <w:tcPr>
            <w:tcW w:w="105" w:type="dxa"/>
            <w:gridSpan w:val="2"/>
            <w:tcBorders>
              <w:top w:val="nil"/>
              <w:left w:val="nil"/>
              <w:bottom w:val="nil"/>
              <w:right w:val="nil"/>
            </w:tcBorders>
            <w:vAlign w:val="bottom"/>
          </w:tcPr>
          <w:p w:rsidR="0073298C" w:rsidRDefault="0073298C" w:rsidP="0073298C">
            <w:pPr>
              <w:spacing w:before="22" w:after="22"/>
              <w:ind w:left="22" w:right="22"/>
              <w:rPr>
                <w:color w:val="000000"/>
              </w:rPr>
            </w:pPr>
            <w:r>
              <w:rPr>
                <w:color w:val="000000"/>
              </w:rPr>
              <w:t> </w:t>
            </w:r>
          </w:p>
        </w:tc>
        <w:tc>
          <w:tcPr>
            <w:tcW w:w="1057" w:type="dxa"/>
            <w:gridSpan w:val="4"/>
            <w:tcBorders>
              <w:top w:val="nil"/>
              <w:left w:val="nil"/>
              <w:bottom w:val="nil"/>
              <w:right w:val="nil"/>
            </w:tcBorders>
            <w:vAlign w:val="center"/>
          </w:tcPr>
          <w:p w:rsidR="0073298C" w:rsidRDefault="0073298C" w:rsidP="0073298C">
            <w:pPr>
              <w:spacing w:before="22" w:after="22"/>
              <w:ind w:left="22"/>
              <w:jc w:val="right"/>
              <w:rPr>
                <w:rFonts w:ascii="Arial" w:hAnsi="Arial" w:cs="Arial"/>
                <w:color w:val="000000"/>
                <w:sz w:val="16"/>
                <w:szCs w:val="16"/>
              </w:rPr>
            </w:pPr>
            <w:r>
              <w:rPr>
                <w:rFonts w:ascii="Arial" w:hAnsi="Arial" w:cs="Arial"/>
                <w:color w:val="000000"/>
                <w:sz w:val="16"/>
                <w:szCs w:val="16"/>
              </w:rPr>
              <w:t>116,704</w:t>
            </w:r>
          </w:p>
        </w:tc>
        <w:tc>
          <w:tcPr>
            <w:tcW w:w="168" w:type="dxa"/>
            <w:gridSpan w:val="3"/>
            <w:tcBorders>
              <w:top w:val="nil"/>
              <w:left w:val="nil"/>
              <w:bottom w:val="nil"/>
              <w:right w:val="single" w:sz="6" w:space="0" w:color="00467E"/>
            </w:tcBorders>
            <w:vAlign w:val="bottom"/>
          </w:tcPr>
          <w:p w:rsidR="0073298C" w:rsidRDefault="0073298C" w:rsidP="0073298C">
            <w:pPr>
              <w:spacing w:before="22" w:after="22"/>
              <w:ind w:left="22"/>
              <w:jc w:val="right"/>
              <w:rPr>
                <w:rFonts w:ascii="Arial" w:hAnsi="Arial" w:cs="Arial"/>
                <w:color w:val="000000"/>
                <w:sz w:val="16"/>
                <w:szCs w:val="16"/>
              </w:rPr>
            </w:pPr>
          </w:p>
          <w:p w:rsidR="0073298C" w:rsidRDefault="0073298C" w:rsidP="0073298C">
            <w:pPr>
              <w:rPr>
                <w:sz w:val="16"/>
                <w:szCs w:val="16"/>
              </w:rPr>
            </w:pPr>
            <w:r>
              <w:rPr>
                <w:sz w:val="16"/>
                <w:szCs w:val="16"/>
              </w:rPr>
              <w:t> </w:t>
            </w:r>
          </w:p>
        </w:tc>
      </w:tr>
      <w:tr w:rsidR="0073298C" w:rsidTr="0073298C">
        <w:tblPrEx>
          <w:tblCellMar>
            <w:top w:w="0" w:type="dxa"/>
            <w:left w:w="0" w:type="dxa"/>
            <w:bottom w:w="0" w:type="dxa"/>
            <w:right w:w="0" w:type="dxa"/>
          </w:tblCellMar>
        </w:tblPrEx>
        <w:trPr>
          <w:gridAfter w:val="2"/>
          <w:wAfter w:w="27" w:type="dxa"/>
          <w:trHeight w:val="281"/>
          <w:jc w:val="center"/>
        </w:trPr>
        <w:tc>
          <w:tcPr>
            <w:tcW w:w="4217" w:type="dxa"/>
            <w:tcBorders>
              <w:top w:val="nil"/>
              <w:left w:val="single" w:sz="6" w:space="0" w:color="00467E"/>
              <w:bottom w:val="nil"/>
              <w:right w:val="nil"/>
            </w:tcBorders>
            <w:shd w:val="clear" w:color="CFD4D8" w:fill="CFD4D8"/>
            <w:vAlign w:val="center"/>
          </w:tcPr>
          <w:p w:rsidR="0073298C" w:rsidRDefault="0073298C" w:rsidP="0073298C">
            <w:pPr>
              <w:spacing w:before="22" w:after="22"/>
              <w:ind w:left="22" w:right="22"/>
              <w:rPr>
                <w:rFonts w:ascii="Arial" w:hAnsi="Arial" w:cs="Arial"/>
                <w:color w:val="000000"/>
                <w:sz w:val="16"/>
                <w:szCs w:val="16"/>
              </w:rPr>
            </w:pPr>
            <w:r>
              <w:rPr>
                <w:rFonts w:ascii="Arial" w:hAnsi="Arial" w:cs="Arial"/>
                <w:color w:val="000000"/>
                <w:sz w:val="16"/>
                <w:szCs w:val="16"/>
              </w:rPr>
              <w:t>Net income</w:t>
            </w:r>
          </w:p>
        </w:tc>
        <w:tc>
          <w:tcPr>
            <w:tcW w:w="1064" w:type="dxa"/>
            <w:gridSpan w:val="4"/>
            <w:tcBorders>
              <w:top w:val="nil"/>
              <w:left w:val="nil"/>
              <w:bottom w:val="nil"/>
              <w:right w:val="nil"/>
            </w:tcBorders>
            <w:shd w:val="clear" w:color="CFD4D8" w:fill="CFD4D8"/>
            <w:vAlign w:val="center"/>
          </w:tcPr>
          <w:p w:rsidR="0073298C" w:rsidRDefault="0073298C" w:rsidP="0073298C">
            <w:pPr>
              <w:spacing w:before="22" w:after="22"/>
              <w:ind w:left="22"/>
              <w:jc w:val="right"/>
              <w:rPr>
                <w:rFonts w:ascii="Arial" w:hAnsi="Arial" w:cs="Arial"/>
                <w:color w:val="000000"/>
                <w:sz w:val="16"/>
                <w:szCs w:val="16"/>
              </w:rPr>
            </w:pPr>
            <w:r>
              <w:rPr>
                <w:rFonts w:ascii="Arial" w:hAnsi="Arial" w:cs="Arial"/>
                <w:color w:val="000000"/>
                <w:sz w:val="16"/>
                <w:szCs w:val="16"/>
              </w:rPr>
              <w:t>485,425</w:t>
            </w:r>
          </w:p>
        </w:tc>
        <w:tc>
          <w:tcPr>
            <w:tcW w:w="162" w:type="dxa"/>
            <w:tcBorders>
              <w:top w:val="nil"/>
              <w:left w:val="nil"/>
              <w:bottom w:val="nil"/>
              <w:right w:val="nil"/>
            </w:tcBorders>
            <w:shd w:val="clear" w:color="CFD4D8" w:fill="CFD4D8"/>
            <w:vAlign w:val="bottom"/>
          </w:tcPr>
          <w:p w:rsidR="0073298C" w:rsidRDefault="0073298C" w:rsidP="0073298C">
            <w:pPr>
              <w:spacing w:before="22" w:after="22"/>
              <w:ind w:left="22"/>
              <w:jc w:val="right"/>
              <w:rPr>
                <w:rFonts w:ascii="Arial" w:hAnsi="Arial" w:cs="Arial"/>
                <w:color w:val="000000"/>
                <w:sz w:val="16"/>
                <w:szCs w:val="16"/>
              </w:rPr>
            </w:pPr>
          </w:p>
          <w:p w:rsidR="0073298C" w:rsidRDefault="0073298C" w:rsidP="0073298C">
            <w:pPr>
              <w:rPr>
                <w:sz w:val="16"/>
                <w:szCs w:val="16"/>
              </w:rPr>
            </w:pPr>
            <w:r>
              <w:rPr>
                <w:sz w:val="16"/>
                <w:szCs w:val="16"/>
              </w:rPr>
              <w:t> </w:t>
            </w:r>
          </w:p>
        </w:tc>
        <w:tc>
          <w:tcPr>
            <w:tcW w:w="105" w:type="dxa"/>
            <w:gridSpan w:val="2"/>
            <w:tcBorders>
              <w:top w:val="nil"/>
              <w:left w:val="nil"/>
              <w:bottom w:val="nil"/>
              <w:right w:val="nil"/>
            </w:tcBorders>
            <w:shd w:val="clear" w:color="CFD4D8" w:fill="CFD4D8"/>
            <w:vAlign w:val="bottom"/>
          </w:tcPr>
          <w:p w:rsidR="0073298C" w:rsidRDefault="0073298C" w:rsidP="0073298C">
            <w:pPr>
              <w:spacing w:before="22" w:after="22"/>
              <w:ind w:left="22" w:right="22"/>
              <w:rPr>
                <w:color w:val="000000"/>
              </w:rPr>
            </w:pPr>
            <w:r>
              <w:rPr>
                <w:color w:val="000000"/>
              </w:rPr>
              <w:t> </w:t>
            </w:r>
          </w:p>
        </w:tc>
        <w:tc>
          <w:tcPr>
            <w:tcW w:w="1066" w:type="dxa"/>
            <w:gridSpan w:val="5"/>
            <w:tcBorders>
              <w:top w:val="nil"/>
              <w:left w:val="nil"/>
              <w:bottom w:val="nil"/>
              <w:right w:val="nil"/>
            </w:tcBorders>
            <w:shd w:val="clear" w:color="CFD4D8" w:fill="CFD4D8"/>
            <w:vAlign w:val="center"/>
          </w:tcPr>
          <w:p w:rsidR="0073298C" w:rsidRDefault="0073298C" w:rsidP="0073298C">
            <w:pPr>
              <w:spacing w:before="22" w:after="22"/>
              <w:ind w:left="22"/>
              <w:jc w:val="right"/>
              <w:rPr>
                <w:rFonts w:ascii="Arial" w:hAnsi="Arial" w:cs="Arial"/>
                <w:color w:val="000000"/>
                <w:sz w:val="16"/>
                <w:szCs w:val="16"/>
              </w:rPr>
            </w:pPr>
            <w:r>
              <w:rPr>
                <w:rFonts w:ascii="Arial" w:hAnsi="Arial" w:cs="Arial"/>
                <w:color w:val="000000"/>
                <w:sz w:val="16"/>
                <w:szCs w:val="16"/>
              </w:rPr>
              <w:t>95,238</w:t>
            </w:r>
          </w:p>
        </w:tc>
        <w:tc>
          <w:tcPr>
            <w:tcW w:w="162" w:type="dxa"/>
            <w:tcBorders>
              <w:top w:val="nil"/>
              <w:left w:val="nil"/>
              <w:bottom w:val="nil"/>
              <w:right w:val="nil"/>
            </w:tcBorders>
            <w:shd w:val="clear" w:color="CFD4D8" w:fill="CFD4D8"/>
            <w:vAlign w:val="bottom"/>
          </w:tcPr>
          <w:p w:rsidR="0073298C" w:rsidRDefault="0073298C" w:rsidP="0073298C">
            <w:pPr>
              <w:spacing w:before="22" w:after="22"/>
              <w:ind w:left="22"/>
              <w:jc w:val="right"/>
              <w:rPr>
                <w:rFonts w:ascii="Arial" w:hAnsi="Arial" w:cs="Arial"/>
                <w:color w:val="000000"/>
                <w:sz w:val="16"/>
                <w:szCs w:val="16"/>
              </w:rPr>
            </w:pPr>
          </w:p>
          <w:p w:rsidR="0073298C" w:rsidRDefault="0073298C" w:rsidP="0073298C">
            <w:pPr>
              <w:rPr>
                <w:sz w:val="16"/>
                <w:szCs w:val="16"/>
              </w:rPr>
            </w:pPr>
            <w:r>
              <w:rPr>
                <w:sz w:val="16"/>
                <w:szCs w:val="16"/>
              </w:rPr>
              <w:t> </w:t>
            </w:r>
          </w:p>
        </w:tc>
        <w:tc>
          <w:tcPr>
            <w:tcW w:w="110" w:type="dxa"/>
            <w:tcBorders>
              <w:top w:val="nil"/>
              <w:left w:val="nil"/>
              <w:bottom w:val="nil"/>
              <w:right w:val="nil"/>
            </w:tcBorders>
            <w:shd w:val="clear" w:color="CFD4D8" w:fill="CFD4D8"/>
            <w:vAlign w:val="bottom"/>
          </w:tcPr>
          <w:p w:rsidR="0073298C" w:rsidRDefault="0073298C" w:rsidP="0073298C">
            <w:pPr>
              <w:spacing w:before="22" w:after="22"/>
              <w:ind w:left="22" w:right="22"/>
              <w:rPr>
                <w:color w:val="000000"/>
              </w:rPr>
            </w:pPr>
            <w:r>
              <w:rPr>
                <w:color w:val="000000"/>
              </w:rPr>
              <w:t> </w:t>
            </w:r>
          </w:p>
        </w:tc>
        <w:tc>
          <w:tcPr>
            <w:tcW w:w="1066" w:type="dxa"/>
            <w:gridSpan w:val="3"/>
            <w:tcBorders>
              <w:top w:val="nil"/>
              <w:left w:val="nil"/>
              <w:bottom w:val="nil"/>
              <w:right w:val="nil"/>
            </w:tcBorders>
            <w:shd w:val="clear" w:color="CFD4D8" w:fill="CFD4D8"/>
            <w:vAlign w:val="center"/>
          </w:tcPr>
          <w:p w:rsidR="0073298C" w:rsidRDefault="0073298C" w:rsidP="0073298C">
            <w:pPr>
              <w:spacing w:before="22" w:after="22"/>
              <w:ind w:left="22"/>
              <w:jc w:val="right"/>
              <w:rPr>
                <w:rFonts w:ascii="Arial" w:hAnsi="Arial" w:cs="Arial"/>
                <w:color w:val="000000"/>
                <w:sz w:val="16"/>
                <w:szCs w:val="16"/>
              </w:rPr>
            </w:pPr>
            <w:r>
              <w:rPr>
                <w:rFonts w:ascii="Arial" w:hAnsi="Arial" w:cs="Arial"/>
                <w:color w:val="000000"/>
                <w:sz w:val="16"/>
                <w:szCs w:val="16"/>
              </w:rPr>
              <w:t>118,457</w:t>
            </w:r>
          </w:p>
        </w:tc>
        <w:tc>
          <w:tcPr>
            <w:tcW w:w="162" w:type="dxa"/>
            <w:gridSpan w:val="2"/>
            <w:tcBorders>
              <w:top w:val="nil"/>
              <w:left w:val="nil"/>
              <w:bottom w:val="nil"/>
              <w:right w:val="nil"/>
            </w:tcBorders>
            <w:shd w:val="clear" w:color="CFD4D8" w:fill="CFD4D8"/>
            <w:vAlign w:val="bottom"/>
          </w:tcPr>
          <w:p w:rsidR="0073298C" w:rsidRDefault="0073298C" w:rsidP="0073298C">
            <w:pPr>
              <w:spacing w:before="22" w:after="22"/>
              <w:ind w:left="22"/>
              <w:jc w:val="right"/>
              <w:rPr>
                <w:rFonts w:ascii="Arial" w:hAnsi="Arial" w:cs="Arial"/>
                <w:color w:val="000000"/>
                <w:sz w:val="16"/>
                <w:szCs w:val="16"/>
              </w:rPr>
            </w:pPr>
          </w:p>
          <w:p w:rsidR="0073298C" w:rsidRDefault="0073298C" w:rsidP="0073298C">
            <w:pPr>
              <w:rPr>
                <w:sz w:val="16"/>
                <w:szCs w:val="16"/>
              </w:rPr>
            </w:pPr>
            <w:r>
              <w:rPr>
                <w:sz w:val="16"/>
                <w:szCs w:val="16"/>
              </w:rPr>
              <w:t> </w:t>
            </w:r>
          </w:p>
        </w:tc>
        <w:tc>
          <w:tcPr>
            <w:tcW w:w="105" w:type="dxa"/>
            <w:gridSpan w:val="2"/>
            <w:tcBorders>
              <w:top w:val="nil"/>
              <w:left w:val="nil"/>
              <w:bottom w:val="nil"/>
              <w:right w:val="nil"/>
            </w:tcBorders>
            <w:shd w:val="clear" w:color="CFD4D8" w:fill="CFD4D8"/>
            <w:vAlign w:val="bottom"/>
          </w:tcPr>
          <w:p w:rsidR="0073298C" w:rsidRDefault="0073298C" w:rsidP="0073298C">
            <w:pPr>
              <w:spacing w:before="22" w:after="22"/>
              <w:ind w:left="22" w:right="22"/>
              <w:rPr>
                <w:color w:val="000000"/>
              </w:rPr>
            </w:pPr>
            <w:r>
              <w:rPr>
                <w:color w:val="000000"/>
              </w:rPr>
              <w:t> </w:t>
            </w:r>
          </w:p>
        </w:tc>
        <w:tc>
          <w:tcPr>
            <w:tcW w:w="1066" w:type="dxa"/>
            <w:gridSpan w:val="4"/>
            <w:tcBorders>
              <w:top w:val="nil"/>
              <w:left w:val="nil"/>
              <w:bottom w:val="nil"/>
              <w:right w:val="nil"/>
            </w:tcBorders>
            <w:shd w:val="clear" w:color="CFD4D8" w:fill="CFD4D8"/>
            <w:vAlign w:val="center"/>
          </w:tcPr>
          <w:p w:rsidR="0073298C" w:rsidRDefault="0073298C" w:rsidP="0073298C">
            <w:pPr>
              <w:spacing w:before="22" w:after="22"/>
              <w:ind w:left="22"/>
              <w:jc w:val="right"/>
              <w:rPr>
                <w:rFonts w:ascii="Arial" w:hAnsi="Arial" w:cs="Arial"/>
                <w:color w:val="000000"/>
                <w:sz w:val="16"/>
                <w:szCs w:val="16"/>
              </w:rPr>
            </w:pPr>
            <w:r>
              <w:rPr>
                <w:rFonts w:ascii="Arial" w:hAnsi="Arial" w:cs="Arial"/>
                <w:color w:val="000000"/>
                <w:sz w:val="16"/>
                <w:szCs w:val="16"/>
              </w:rPr>
              <w:t>104,021</w:t>
            </w:r>
          </w:p>
        </w:tc>
        <w:tc>
          <w:tcPr>
            <w:tcW w:w="162" w:type="dxa"/>
            <w:gridSpan w:val="2"/>
            <w:tcBorders>
              <w:top w:val="nil"/>
              <w:left w:val="nil"/>
              <w:bottom w:val="nil"/>
              <w:right w:val="nil"/>
            </w:tcBorders>
            <w:shd w:val="clear" w:color="CFD4D8" w:fill="CFD4D8"/>
            <w:vAlign w:val="bottom"/>
          </w:tcPr>
          <w:p w:rsidR="0073298C" w:rsidRDefault="0073298C" w:rsidP="0073298C">
            <w:pPr>
              <w:spacing w:before="22" w:after="22"/>
              <w:ind w:left="22"/>
              <w:jc w:val="right"/>
              <w:rPr>
                <w:rFonts w:ascii="Arial" w:hAnsi="Arial" w:cs="Arial"/>
                <w:color w:val="000000"/>
                <w:sz w:val="16"/>
                <w:szCs w:val="16"/>
              </w:rPr>
            </w:pPr>
          </w:p>
          <w:p w:rsidR="0073298C" w:rsidRDefault="0073298C" w:rsidP="0073298C">
            <w:pPr>
              <w:rPr>
                <w:sz w:val="16"/>
                <w:szCs w:val="16"/>
              </w:rPr>
            </w:pPr>
            <w:r>
              <w:rPr>
                <w:sz w:val="16"/>
                <w:szCs w:val="16"/>
              </w:rPr>
              <w:t> </w:t>
            </w:r>
          </w:p>
        </w:tc>
        <w:tc>
          <w:tcPr>
            <w:tcW w:w="105" w:type="dxa"/>
            <w:gridSpan w:val="2"/>
            <w:tcBorders>
              <w:top w:val="nil"/>
              <w:left w:val="nil"/>
              <w:bottom w:val="nil"/>
              <w:right w:val="nil"/>
            </w:tcBorders>
            <w:shd w:val="clear" w:color="CFD4D8" w:fill="CFD4D8"/>
            <w:vAlign w:val="bottom"/>
          </w:tcPr>
          <w:p w:rsidR="0073298C" w:rsidRDefault="0073298C" w:rsidP="0073298C">
            <w:pPr>
              <w:spacing w:before="22" w:after="22"/>
              <w:ind w:left="22" w:right="22"/>
              <w:rPr>
                <w:color w:val="000000"/>
              </w:rPr>
            </w:pPr>
            <w:r>
              <w:rPr>
                <w:color w:val="000000"/>
              </w:rPr>
              <w:t> </w:t>
            </w:r>
          </w:p>
        </w:tc>
        <w:tc>
          <w:tcPr>
            <w:tcW w:w="1057" w:type="dxa"/>
            <w:gridSpan w:val="4"/>
            <w:tcBorders>
              <w:top w:val="nil"/>
              <w:left w:val="nil"/>
              <w:bottom w:val="nil"/>
              <w:right w:val="nil"/>
            </w:tcBorders>
            <w:shd w:val="clear" w:color="CFD4D8" w:fill="CFD4D8"/>
            <w:vAlign w:val="center"/>
          </w:tcPr>
          <w:p w:rsidR="0073298C" w:rsidRDefault="0073298C" w:rsidP="0073298C">
            <w:pPr>
              <w:spacing w:before="22" w:after="22"/>
              <w:ind w:left="22"/>
              <w:jc w:val="right"/>
              <w:rPr>
                <w:rFonts w:ascii="Arial" w:hAnsi="Arial" w:cs="Arial"/>
                <w:color w:val="000000"/>
                <w:sz w:val="16"/>
                <w:szCs w:val="16"/>
              </w:rPr>
            </w:pPr>
            <w:r>
              <w:rPr>
                <w:rFonts w:ascii="Arial" w:hAnsi="Arial" w:cs="Arial"/>
                <w:color w:val="000000"/>
                <w:sz w:val="16"/>
                <w:szCs w:val="16"/>
              </w:rPr>
              <w:t>70,024</w:t>
            </w:r>
          </w:p>
        </w:tc>
        <w:tc>
          <w:tcPr>
            <w:tcW w:w="168" w:type="dxa"/>
            <w:gridSpan w:val="3"/>
            <w:tcBorders>
              <w:top w:val="nil"/>
              <w:left w:val="nil"/>
              <w:bottom w:val="nil"/>
              <w:right w:val="single" w:sz="6" w:space="0" w:color="00467E"/>
            </w:tcBorders>
            <w:shd w:val="clear" w:color="CFD4D8" w:fill="CFD4D8"/>
            <w:vAlign w:val="bottom"/>
          </w:tcPr>
          <w:p w:rsidR="0073298C" w:rsidRDefault="0073298C" w:rsidP="0073298C">
            <w:pPr>
              <w:spacing w:before="22" w:after="22"/>
              <w:ind w:left="22"/>
              <w:jc w:val="right"/>
              <w:rPr>
                <w:rFonts w:ascii="Arial" w:hAnsi="Arial" w:cs="Arial"/>
                <w:color w:val="000000"/>
                <w:sz w:val="16"/>
                <w:szCs w:val="16"/>
              </w:rPr>
            </w:pPr>
          </w:p>
          <w:p w:rsidR="0073298C" w:rsidRDefault="0073298C" w:rsidP="0073298C">
            <w:pPr>
              <w:rPr>
                <w:sz w:val="16"/>
                <w:szCs w:val="16"/>
              </w:rPr>
            </w:pPr>
            <w:r>
              <w:rPr>
                <w:sz w:val="16"/>
                <w:szCs w:val="16"/>
              </w:rPr>
              <w:t> </w:t>
            </w:r>
          </w:p>
        </w:tc>
      </w:tr>
      <w:tr w:rsidR="0073298C" w:rsidTr="0073298C">
        <w:tblPrEx>
          <w:tblCellMar>
            <w:top w:w="0" w:type="dxa"/>
            <w:left w:w="0" w:type="dxa"/>
            <w:bottom w:w="0" w:type="dxa"/>
            <w:right w:w="0" w:type="dxa"/>
          </w:tblCellMar>
        </w:tblPrEx>
        <w:trPr>
          <w:gridAfter w:val="2"/>
          <w:wAfter w:w="27" w:type="dxa"/>
          <w:trHeight w:val="281"/>
          <w:jc w:val="center"/>
        </w:trPr>
        <w:tc>
          <w:tcPr>
            <w:tcW w:w="4217" w:type="dxa"/>
            <w:tcBorders>
              <w:top w:val="nil"/>
              <w:left w:val="single" w:sz="6" w:space="0" w:color="00467E"/>
              <w:bottom w:val="nil"/>
              <w:right w:val="nil"/>
            </w:tcBorders>
            <w:vAlign w:val="center"/>
          </w:tcPr>
          <w:p w:rsidR="0073298C" w:rsidRDefault="0073298C" w:rsidP="0073298C">
            <w:pPr>
              <w:spacing w:before="22" w:after="22"/>
              <w:ind w:left="22" w:right="22"/>
              <w:rPr>
                <w:rFonts w:ascii="Arial" w:hAnsi="Arial" w:cs="Arial"/>
                <w:color w:val="000000"/>
                <w:sz w:val="16"/>
                <w:szCs w:val="16"/>
              </w:rPr>
            </w:pPr>
            <w:r>
              <w:rPr>
                <w:rFonts w:ascii="Arial" w:hAnsi="Arial" w:cs="Arial"/>
                <w:color w:val="000000"/>
                <w:sz w:val="16"/>
                <w:szCs w:val="16"/>
              </w:rPr>
              <w:t>Net income attributable to Knight-Swift</w:t>
            </w:r>
          </w:p>
        </w:tc>
        <w:tc>
          <w:tcPr>
            <w:tcW w:w="1064" w:type="dxa"/>
            <w:gridSpan w:val="4"/>
            <w:tcBorders>
              <w:top w:val="nil"/>
              <w:left w:val="nil"/>
              <w:bottom w:val="nil"/>
              <w:right w:val="nil"/>
            </w:tcBorders>
            <w:vAlign w:val="center"/>
          </w:tcPr>
          <w:p w:rsidR="0073298C" w:rsidRDefault="0073298C" w:rsidP="0073298C">
            <w:pPr>
              <w:spacing w:before="22" w:after="22"/>
              <w:ind w:left="22"/>
              <w:jc w:val="right"/>
              <w:rPr>
                <w:rFonts w:ascii="Arial" w:hAnsi="Arial" w:cs="Arial"/>
                <w:color w:val="000000"/>
                <w:sz w:val="16"/>
                <w:szCs w:val="16"/>
              </w:rPr>
            </w:pPr>
            <w:r>
              <w:rPr>
                <w:rFonts w:ascii="Arial" w:hAnsi="Arial" w:cs="Arial"/>
                <w:color w:val="000000"/>
                <w:sz w:val="16"/>
                <w:szCs w:val="16"/>
              </w:rPr>
              <w:t>484,292</w:t>
            </w:r>
          </w:p>
        </w:tc>
        <w:tc>
          <w:tcPr>
            <w:tcW w:w="162" w:type="dxa"/>
            <w:tcBorders>
              <w:top w:val="nil"/>
              <w:left w:val="nil"/>
              <w:bottom w:val="nil"/>
              <w:right w:val="nil"/>
            </w:tcBorders>
            <w:vAlign w:val="bottom"/>
          </w:tcPr>
          <w:p w:rsidR="0073298C" w:rsidRDefault="0073298C" w:rsidP="0073298C">
            <w:pPr>
              <w:spacing w:before="22" w:after="22"/>
              <w:ind w:left="22"/>
              <w:jc w:val="right"/>
              <w:rPr>
                <w:rFonts w:ascii="Arial" w:hAnsi="Arial" w:cs="Arial"/>
                <w:color w:val="000000"/>
                <w:sz w:val="16"/>
                <w:szCs w:val="16"/>
              </w:rPr>
            </w:pPr>
          </w:p>
          <w:p w:rsidR="0073298C" w:rsidRDefault="0073298C" w:rsidP="0073298C">
            <w:pPr>
              <w:rPr>
                <w:sz w:val="16"/>
                <w:szCs w:val="16"/>
              </w:rPr>
            </w:pPr>
            <w:r>
              <w:rPr>
                <w:sz w:val="16"/>
                <w:szCs w:val="16"/>
              </w:rPr>
              <w:t> </w:t>
            </w:r>
          </w:p>
        </w:tc>
        <w:tc>
          <w:tcPr>
            <w:tcW w:w="105" w:type="dxa"/>
            <w:gridSpan w:val="2"/>
            <w:tcBorders>
              <w:top w:val="nil"/>
              <w:left w:val="nil"/>
              <w:bottom w:val="nil"/>
              <w:right w:val="nil"/>
            </w:tcBorders>
            <w:vAlign w:val="bottom"/>
          </w:tcPr>
          <w:p w:rsidR="0073298C" w:rsidRDefault="0073298C" w:rsidP="0073298C">
            <w:pPr>
              <w:spacing w:before="22" w:after="22"/>
              <w:ind w:left="22" w:right="22"/>
              <w:rPr>
                <w:color w:val="000000"/>
              </w:rPr>
            </w:pPr>
            <w:r>
              <w:rPr>
                <w:color w:val="000000"/>
              </w:rPr>
              <w:t> </w:t>
            </w:r>
          </w:p>
        </w:tc>
        <w:tc>
          <w:tcPr>
            <w:tcW w:w="1066" w:type="dxa"/>
            <w:gridSpan w:val="5"/>
            <w:tcBorders>
              <w:top w:val="nil"/>
              <w:left w:val="nil"/>
              <w:bottom w:val="nil"/>
              <w:right w:val="nil"/>
            </w:tcBorders>
            <w:vAlign w:val="center"/>
          </w:tcPr>
          <w:p w:rsidR="0073298C" w:rsidRDefault="0073298C" w:rsidP="0073298C">
            <w:pPr>
              <w:spacing w:before="22" w:after="22"/>
              <w:ind w:left="22"/>
              <w:jc w:val="right"/>
              <w:rPr>
                <w:rFonts w:ascii="Arial" w:hAnsi="Arial" w:cs="Arial"/>
                <w:color w:val="000000"/>
                <w:sz w:val="16"/>
                <w:szCs w:val="16"/>
              </w:rPr>
            </w:pPr>
            <w:r>
              <w:rPr>
                <w:rFonts w:ascii="Arial" w:hAnsi="Arial" w:cs="Arial"/>
                <w:color w:val="000000"/>
                <w:sz w:val="16"/>
                <w:szCs w:val="16"/>
              </w:rPr>
              <w:t>93,863</w:t>
            </w:r>
          </w:p>
        </w:tc>
        <w:tc>
          <w:tcPr>
            <w:tcW w:w="162" w:type="dxa"/>
            <w:tcBorders>
              <w:top w:val="nil"/>
              <w:left w:val="nil"/>
              <w:bottom w:val="nil"/>
              <w:right w:val="nil"/>
            </w:tcBorders>
            <w:vAlign w:val="bottom"/>
          </w:tcPr>
          <w:p w:rsidR="0073298C" w:rsidRDefault="0073298C" w:rsidP="0073298C">
            <w:pPr>
              <w:spacing w:before="22" w:after="22"/>
              <w:ind w:left="22"/>
              <w:jc w:val="right"/>
              <w:rPr>
                <w:rFonts w:ascii="Arial" w:hAnsi="Arial" w:cs="Arial"/>
                <w:color w:val="000000"/>
                <w:sz w:val="16"/>
                <w:szCs w:val="16"/>
              </w:rPr>
            </w:pPr>
          </w:p>
          <w:p w:rsidR="0073298C" w:rsidRDefault="0073298C" w:rsidP="0073298C">
            <w:pPr>
              <w:rPr>
                <w:sz w:val="16"/>
                <w:szCs w:val="16"/>
              </w:rPr>
            </w:pPr>
            <w:r>
              <w:rPr>
                <w:sz w:val="16"/>
                <w:szCs w:val="16"/>
              </w:rPr>
              <w:t> </w:t>
            </w:r>
          </w:p>
        </w:tc>
        <w:tc>
          <w:tcPr>
            <w:tcW w:w="110" w:type="dxa"/>
            <w:tcBorders>
              <w:top w:val="nil"/>
              <w:left w:val="nil"/>
              <w:bottom w:val="nil"/>
              <w:right w:val="nil"/>
            </w:tcBorders>
            <w:vAlign w:val="bottom"/>
          </w:tcPr>
          <w:p w:rsidR="0073298C" w:rsidRDefault="0073298C" w:rsidP="0073298C">
            <w:pPr>
              <w:spacing w:before="22" w:after="22"/>
              <w:ind w:left="22" w:right="22"/>
              <w:rPr>
                <w:color w:val="000000"/>
              </w:rPr>
            </w:pPr>
            <w:r>
              <w:rPr>
                <w:color w:val="000000"/>
              </w:rPr>
              <w:t> </w:t>
            </w:r>
          </w:p>
        </w:tc>
        <w:tc>
          <w:tcPr>
            <w:tcW w:w="1066" w:type="dxa"/>
            <w:gridSpan w:val="3"/>
            <w:tcBorders>
              <w:top w:val="nil"/>
              <w:left w:val="nil"/>
              <w:bottom w:val="nil"/>
              <w:right w:val="nil"/>
            </w:tcBorders>
            <w:vAlign w:val="center"/>
          </w:tcPr>
          <w:p w:rsidR="0073298C" w:rsidRDefault="0073298C" w:rsidP="0073298C">
            <w:pPr>
              <w:spacing w:before="22" w:after="22"/>
              <w:ind w:left="22"/>
              <w:jc w:val="right"/>
              <w:rPr>
                <w:rFonts w:ascii="Arial" w:hAnsi="Arial" w:cs="Arial"/>
                <w:color w:val="000000"/>
                <w:sz w:val="16"/>
                <w:szCs w:val="16"/>
              </w:rPr>
            </w:pPr>
            <w:r>
              <w:rPr>
                <w:rFonts w:ascii="Arial" w:hAnsi="Arial" w:cs="Arial"/>
                <w:color w:val="000000"/>
                <w:sz w:val="16"/>
                <w:szCs w:val="16"/>
              </w:rPr>
              <w:t>116,718</w:t>
            </w:r>
          </w:p>
        </w:tc>
        <w:tc>
          <w:tcPr>
            <w:tcW w:w="162" w:type="dxa"/>
            <w:gridSpan w:val="2"/>
            <w:tcBorders>
              <w:top w:val="nil"/>
              <w:left w:val="nil"/>
              <w:bottom w:val="nil"/>
              <w:right w:val="nil"/>
            </w:tcBorders>
            <w:vAlign w:val="bottom"/>
          </w:tcPr>
          <w:p w:rsidR="0073298C" w:rsidRDefault="0073298C" w:rsidP="0073298C">
            <w:pPr>
              <w:spacing w:before="22" w:after="22"/>
              <w:ind w:left="22"/>
              <w:jc w:val="right"/>
              <w:rPr>
                <w:rFonts w:ascii="Arial" w:hAnsi="Arial" w:cs="Arial"/>
                <w:color w:val="000000"/>
                <w:sz w:val="16"/>
                <w:szCs w:val="16"/>
              </w:rPr>
            </w:pPr>
          </w:p>
          <w:p w:rsidR="0073298C" w:rsidRDefault="0073298C" w:rsidP="0073298C">
            <w:pPr>
              <w:rPr>
                <w:sz w:val="16"/>
                <w:szCs w:val="16"/>
              </w:rPr>
            </w:pPr>
            <w:r>
              <w:rPr>
                <w:sz w:val="16"/>
                <w:szCs w:val="16"/>
              </w:rPr>
              <w:t> </w:t>
            </w:r>
          </w:p>
        </w:tc>
        <w:tc>
          <w:tcPr>
            <w:tcW w:w="105" w:type="dxa"/>
            <w:gridSpan w:val="2"/>
            <w:tcBorders>
              <w:top w:val="nil"/>
              <w:left w:val="nil"/>
              <w:bottom w:val="nil"/>
              <w:right w:val="nil"/>
            </w:tcBorders>
            <w:vAlign w:val="bottom"/>
          </w:tcPr>
          <w:p w:rsidR="0073298C" w:rsidRDefault="0073298C" w:rsidP="0073298C">
            <w:pPr>
              <w:spacing w:before="22" w:after="22"/>
              <w:ind w:left="22" w:right="22"/>
              <w:rPr>
                <w:color w:val="000000"/>
              </w:rPr>
            </w:pPr>
            <w:r>
              <w:rPr>
                <w:color w:val="000000"/>
              </w:rPr>
              <w:t> </w:t>
            </w:r>
          </w:p>
        </w:tc>
        <w:tc>
          <w:tcPr>
            <w:tcW w:w="1066" w:type="dxa"/>
            <w:gridSpan w:val="4"/>
            <w:tcBorders>
              <w:top w:val="nil"/>
              <w:left w:val="nil"/>
              <w:bottom w:val="nil"/>
              <w:right w:val="nil"/>
            </w:tcBorders>
            <w:vAlign w:val="center"/>
          </w:tcPr>
          <w:p w:rsidR="0073298C" w:rsidRDefault="0073298C" w:rsidP="0073298C">
            <w:pPr>
              <w:spacing w:before="22" w:after="22"/>
              <w:ind w:left="22"/>
              <w:jc w:val="right"/>
              <w:rPr>
                <w:rFonts w:ascii="Arial" w:hAnsi="Arial" w:cs="Arial"/>
                <w:color w:val="000000"/>
                <w:sz w:val="16"/>
                <w:szCs w:val="16"/>
              </w:rPr>
            </w:pPr>
            <w:r>
              <w:rPr>
                <w:rFonts w:ascii="Arial" w:hAnsi="Arial" w:cs="Arial"/>
                <w:color w:val="000000"/>
                <w:sz w:val="16"/>
                <w:szCs w:val="16"/>
              </w:rPr>
              <w:t>102,862</w:t>
            </w:r>
          </w:p>
        </w:tc>
        <w:tc>
          <w:tcPr>
            <w:tcW w:w="162" w:type="dxa"/>
            <w:gridSpan w:val="2"/>
            <w:tcBorders>
              <w:top w:val="nil"/>
              <w:left w:val="nil"/>
              <w:bottom w:val="nil"/>
              <w:right w:val="nil"/>
            </w:tcBorders>
            <w:vAlign w:val="bottom"/>
          </w:tcPr>
          <w:p w:rsidR="0073298C" w:rsidRDefault="0073298C" w:rsidP="0073298C">
            <w:pPr>
              <w:spacing w:before="22" w:after="22"/>
              <w:ind w:left="22"/>
              <w:jc w:val="right"/>
              <w:rPr>
                <w:rFonts w:ascii="Arial" w:hAnsi="Arial" w:cs="Arial"/>
                <w:color w:val="000000"/>
                <w:sz w:val="16"/>
                <w:szCs w:val="16"/>
              </w:rPr>
            </w:pPr>
          </w:p>
          <w:p w:rsidR="0073298C" w:rsidRDefault="0073298C" w:rsidP="0073298C">
            <w:pPr>
              <w:rPr>
                <w:sz w:val="16"/>
                <w:szCs w:val="16"/>
              </w:rPr>
            </w:pPr>
            <w:r>
              <w:rPr>
                <w:sz w:val="16"/>
                <w:szCs w:val="16"/>
              </w:rPr>
              <w:t> </w:t>
            </w:r>
          </w:p>
        </w:tc>
        <w:tc>
          <w:tcPr>
            <w:tcW w:w="105" w:type="dxa"/>
            <w:gridSpan w:val="2"/>
            <w:tcBorders>
              <w:top w:val="nil"/>
              <w:left w:val="nil"/>
              <w:bottom w:val="nil"/>
              <w:right w:val="nil"/>
            </w:tcBorders>
            <w:vAlign w:val="bottom"/>
          </w:tcPr>
          <w:p w:rsidR="0073298C" w:rsidRDefault="0073298C" w:rsidP="0073298C">
            <w:pPr>
              <w:spacing w:before="22" w:after="22"/>
              <w:ind w:left="22" w:right="22"/>
              <w:rPr>
                <w:color w:val="000000"/>
              </w:rPr>
            </w:pPr>
            <w:r>
              <w:rPr>
                <w:color w:val="000000"/>
              </w:rPr>
              <w:t> </w:t>
            </w:r>
          </w:p>
        </w:tc>
        <w:tc>
          <w:tcPr>
            <w:tcW w:w="1057" w:type="dxa"/>
            <w:gridSpan w:val="4"/>
            <w:tcBorders>
              <w:top w:val="nil"/>
              <w:left w:val="nil"/>
              <w:bottom w:val="nil"/>
              <w:right w:val="nil"/>
            </w:tcBorders>
            <w:vAlign w:val="center"/>
          </w:tcPr>
          <w:p w:rsidR="0073298C" w:rsidRDefault="0073298C" w:rsidP="0073298C">
            <w:pPr>
              <w:spacing w:before="22" w:after="22"/>
              <w:ind w:left="22"/>
              <w:jc w:val="right"/>
              <w:rPr>
                <w:rFonts w:ascii="Arial" w:hAnsi="Arial" w:cs="Arial"/>
                <w:color w:val="000000"/>
                <w:sz w:val="16"/>
                <w:szCs w:val="16"/>
              </w:rPr>
            </w:pPr>
            <w:r>
              <w:rPr>
                <w:rFonts w:ascii="Arial" w:hAnsi="Arial" w:cs="Arial"/>
                <w:color w:val="000000"/>
                <w:sz w:val="16"/>
                <w:szCs w:val="16"/>
              </w:rPr>
              <w:t>69,282</w:t>
            </w:r>
          </w:p>
        </w:tc>
        <w:tc>
          <w:tcPr>
            <w:tcW w:w="168" w:type="dxa"/>
            <w:gridSpan w:val="3"/>
            <w:tcBorders>
              <w:top w:val="nil"/>
              <w:left w:val="nil"/>
              <w:bottom w:val="nil"/>
              <w:right w:val="single" w:sz="6" w:space="0" w:color="00467E"/>
            </w:tcBorders>
            <w:vAlign w:val="bottom"/>
          </w:tcPr>
          <w:p w:rsidR="0073298C" w:rsidRDefault="0073298C" w:rsidP="0073298C">
            <w:pPr>
              <w:spacing w:before="22" w:after="22"/>
              <w:ind w:left="22"/>
              <w:jc w:val="right"/>
              <w:rPr>
                <w:rFonts w:ascii="Arial" w:hAnsi="Arial" w:cs="Arial"/>
                <w:color w:val="000000"/>
                <w:sz w:val="16"/>
                <w:szCs w:val="16"/>
              </w:rPr>
            </w:pPr>
          </w:p>
          <w:p w:rsidR="0073298C" w:rsidRDefault="0073298C" w:rsidP="0073298C">
            <w:pPr>
              <w:rPr>
                <w:sz w:val="16"/>
                <w:szCs w:val="16"/>
              </w:rPr>
            </w:pPr>
            <w:r>
              <w:rPr>
                <w:sz w:val="16"/>
                <w:szCs w:val="16"/>
              </w:rPr>
              <w:t> </w:t>
            </w:r>
          </w:p>
        </w:tc>
      </w:tr>
      <w:tr w:rsidR="0073298C" w:rsidTr="0073298C">
        <w:tblPrEx>
          <w:tblCellMar>
            <w:top w:w="0" w:type="dxa"/>
            <w:left w:w="0" w:type="dxa"/>
            <w:bottom w:w="0" w:type="dxa"/>
            <w:right w:w="0" w:type="dxa"/>
          </w:tblCellMar>
        </w:tblPrEx>
        <w:trPr>
          <w:gridAfter w:val="2"/>
          <w:wAfter w:w="27" w:type="dxa"/>
          <w:trHeight w:val="281"/>
          <w:jc w:val="center"/>
        </w:trPr>
        <w:tc>
          <w:tcPr>
            <w:tcW w:w="4217" w:type="dxa"/>
            <w:tcBorders>
              <w:top w:val="nil"/>
              <w:left w:val="single" w:sz="6" w:space="0" w:color="00467E"/>
              <w:bottom w:val="nil"/>
              <w:right w:val="nil"/>
            </w:tcBorders>
            <w:shd w:val="clear" w:color="CFD4D8" w:fill="CFD4D8"/>
            <w:vAlign w:val="center"/>
          </w:tcPr>
          <w:p w:rsidR="0073298C" w:rsidRDefault="0073298C" w:rsidP="0073298C">
            <w:pPr>
              <w:spacing w:before="22" w:after="22"/>
              <w:ind w:left="22" w:right="22"/>
              <w:rPr>
                <w:rFonts w:ascii="Arial" w:hAnsi="Arial" w:cs="Arial"/>
                <w:color w:val="000000"/>
                <w:sz w:val="16"/>
                <w:szCs w:val="16"/>
              </w:rPr>
            </w:pPr>
            <w:r>
              <w:rPr>
                <w:rFonts w:ascii="Arial" w:hAnsi="Arial" w:cs="Arial"/>
                <w:color w:val="000000"/>
                <w:sz w:val="16"/>
                <w:szCs w:val="16"/>
              </w:rPr>
              <w:t>Basic earnings per share</w:t>
            </w:r>
          </w:p>
        </w:tc>
        <w:tc>
          <w:tcPr>
            <w:tcW w:w="1064" w:type="dxa"/>
            <w:gridSpan w:val="4"/>
            <w:tcBorders>
              <w:top w:val="nil"/>
              <w:left w:val="nil"/>
              <w:bottom w:val="nil"/>
              <w:right w:val="nil"/>
            </w:tcBorders>
            <w:shd w:val="clear" w:color="CFD4D8" w:fill="CFD4D8"/>
            <w:vAlign w:val="center"/>
          </w:tcPr>
          <w:p w:rsidR="0073298C" w:rsidRDefault="0073298C" w:rsidP="0073298C">
            <w:pPr>
              <w:spacing w:before="22" w:after="22"/>
              <w:ind w:left="22"/>
              <w:jc w:val="right"/>
              <w:rPr>
                <w:rFonts w:ascii="Arial" w:hAnsi="Arial" w:cs="Arial"/>
                <w:color w:val="000000"/>
                <w:sz w:val="16"/>
                <w:szCs w:val="16"/>
              </w:rPr>
            </w:pPr>
            <w:r>
              <w:rPr>
                <w:rFonts w:ascii="Arial" w:hAnsi="Arial" w:cs="Arial"/>
                <w:color w:val="000000"/>
                <w:sz w:val="16"/>
                <w:szCs w:val="16"/>
              </w:rPr>
              <w:t>4.38</w:t>
            </w:r>
          </w:p>
        </w:tc>
        <w:tc>
          <w:tcPr>
            <w:tcW w:w="162" w:type="dxa"/>
            <w:tcBorders>
              <w:top w:val="nil"/>
              <w:left w:val="nil"/>
              <w:bottom w:val="nil"/>
              <w:right w:val="nil"/>
            </w:tcBorders>
            <w:shd w:val="clear" w:color="CFD4D8" w:fill="CFD4D8"/>
            <w:vAlign w:val="bottom"/>
          </w:tcPr>
          <w:p w:rsidR="0073298C" w:rsidRDefault="0073298C" w:rsidP="0073298C">
            <w:pPr>
              <w:spacing w:before="22" w:after="22"/>
              <w:ind w:left="22"/>
              <w:jc w:val="right"/>
              <w:rPr>
                <w:rFonts w:ascii="Arial" w:hAnsi="Arial" w:cs="Arial"/>
                <w:color w:val="000000"/>
                <w:sz w:val="16"/>
                <w:szCs w:val="16"/>
              </w:rPr>
            </w:pPr>
          </w:p>
          <w:p w:rsidR="0073298C" w:rsidRDefault="0073298C" w:rsidP="0073298C">
            <w:pPr>
              <w:rPr>
                <w:sz w:val="16"/>
                <w:szCs w:val="16"/>
              </w:rPr>
            </w:pPr>
            <w:r>
              <w:rPr>
                <w:sz w:val="16"/>
                <w:szCs w:val="16"/>
              </w:rPr>
              <w:t> </w:t>
            </w:r>
          </w:p>
        </w:tc>
        <w:tc>
          <w:tcPr>
            <w:tcW w:w="105" w:type="dxa"/>
            <w:gridSpan w:val="2"/>
            <w:tcBorders>
              <w:top w:val="nil"/>
              <w:left w:val="nil"/>
              <w:bottom w:val="nil"/>
              <w:right w:val="nil"/>
            </w:tcBorders>
            <w:shd w:val="clear" w:color="CFD4D8" w:fill="CFD4D8"/>
            <w:vAlign w:val="bottom"/>
          </w:tcPr>
          <w:p w:rsidR="0073298C" w:rsidRDefault="0073298C" w:rsidP="0073298C">
            <w:pPr>
              <w:spacing w:before="22" w:after="22"/>
              <w:ind w:left="22" w:right="22"/>
              <w:rPr>
                <w:color w:val="000000"/>
              </w:rPr>
            </w:pPr>
            <w:r>
              <w:rPr>
                <w:color w:val="000000"/>
              </w:rPr>
              <w:t> </w:t>
            </w:r>
          </w:p>
        </w:tc>
        <w:tc>
          <w:tcPr>
            <w:tcW w:w="1066" w:type="dxa"/>
            <w:gridSpan w:val="5"/>
            <w:tcBorders>
              <w:top w:val="nil"/>
              <w:left w:val="nil"/>
              <w:bottom w:val="nil"/>
              <w:right w:val="nil"/>
            </w:tcBorders>
            <w:shd w:val="clear" w:color="CFD4D8" w:fill="CFD4D8"/>
            <w:vAlign w:val="center"/>
          </w:tcPr>
          <w:p w:rsidR="0073298C" w:rsidRDefault="0073298C" w:rsidP="0073298C">
            <w:pPr>
              <w:spacing w:before="22" w:after="22"/>
              <w:ind w:left="22"/>
              <w:jc w:val="right"/>
              <w:rPr>
                <w:rFonts w:ascii="Arial" w:hAnsi="Arial" w:cs="Arial"/>
                <w:color w:val="000000"/>
                <w:sz w:val="16"/>
                <w:szCs w:val="16"/>
              </w:rPr>
            </w:pPr>
            <w:r>
              <w:rPr>
                <w:rFonts w:ascii="Arial" w:hAnsi="Arial" w:cs="Arial"/>
                <w:color w:val="000000"/>
                <w:sz w:val="16"/>
                <w:szCs w:val="16"/>
              </w:rPr>
              <w:t>1.17</w:t>
            </w:r>
          </w:p>
        </w:tc>
        <w:tc>
          <w:tcPr>
            <w:tcW w:w="162" w:type="dxa"/>
            <w:tcBorders>
              <w:top w:val="nil"/>
              <w:left w:val="nil"/>
              <w:bottom w:val="nil"/>
              <w:right w:val="nil"/>
            </w:tcBorders>
            <w:shd w:val="clear" w:color="CFD4D8" w:fill="CFD4D8"/>
            <w:vAlign w:val="bottom"/>
          </w:tcPr>
          <w:p w:rsidR="0073298C" w:rsidRDefault="0073298C" w:rsidP="0073298C">
            <w:pPr>
              <w:spacing w:before="22" w:after="22"/>
              <w:ind w:left="22"/>
              <w:jc w:val="right"/>
              <w:rPr>
                <w:rFonts w:ascii="Arial" w:hAnsi="Arial" w:cs="Arial"/>
                <w:color w:val="000000"/>
                <w:sz w:val="16"/>
                <w:szCs w:val="16"/>
              </w:rPr>
            </w:pPr>
          </w:p>
          <w:p w:rsidR="0073298C" w:rsidRDefault="0073298C" w:rsidP="0073298C">
            <w:pPr>
              <w:rPr>
                <w:sz w:val="16"/>
                <w:szCs w:val="16"/>
              </w:rPr>
            </w:pPr>
            <w:r>
              <w:rPr>
                <w:sz w:val="16"/>
                <w:szCs w:val="16"/>
              </w:rPr>
              <w:t> </w:t>
            </w:r>
          </w:p>
        </w:tc>
        <w:tc>
          <w:tcPr>
            <w:tcW w:w="110" w:type="dxa"/>
            <w:tcBorders>
              <w:top w:val="nil"/>
              <w:left w:val="nil"/>
              <w:bottom w:val="nil"/>
              <w:right w:val="nil"/>
            </w:tcBorders>
            <w:shd w:val="clear" w:color="CFD4D8" w:fill="CFD4D8"/>
            <w:vAlign w:val="bottom"/>
          </w:tcPr>
          <w:p w:rsidR="0073298C" w:rsidRDefault="0073298C" w:rsidP="0073298C">
            <w:pPr>
              <w:spacing w:before="22" w:after="22"/>
              <w:ind w:left="22" w:right="22"/>
              <w:rPr>
                <w:color w:val="000000"/>
              </w:rPr>
            </w:pPr>
            <w:r>
              <w:rPr>
                <w:color w:val="000000"/>
              </w:rPr>
              <w:t> </w:t>
            </w:r>
          </w:p>
        </w:tc>
        <w:tc>
          <w:tcPr>
            <w:tcW w:w="1066" w:type="dxa"/>
            <w:gridSpan w:val="3"/>
            <w:tcBorders>
              <w:top w:val="nil"/>
              <w:left w:val="nil"/>
              <w:bottom w:val="nil"/>
              <w:right w:val="nil"/>
            </w:tcBorders>
            <w:shd w:val="clear" w:color="CFD4D8" w:fill="CFD4D8"/>
            <w:vAlign w:val="center"/>
          </w:tcPr>
          <w:p w:rsidR="0073298C" w:rsidRDefault="0073298C" w:rsidP="0073298C">
            <w:pPr>
              <w:spacing w:before="22" w:after="22"/>
              <w:ind w:left="22"/>
              <w:jc w:val="right"/>
              <w:rPr>
                <w:rFonts w:ascii="Arial" w:hAnsi="Arial" w:cs="Arial"/>
                <w:color w:val="000000"/>
                <w:sz w:val="16"/>
                <w:szCs w:val="16"/>
              </w:rPr>
            </w:pPr>
            <w:r>
              <w:rPr>
                <w:rFonts w:ascii="Arial" w:hAnsi="Arial" w:cs="Arial"/>
                <w:color w:val="000000"/>
                <w:sz w:val="16"/>
                <w:szCs w:val="16"/>
              </w:rPr>
              <w:t>1.43</w:t>
            </w:r>
          </w:p>
        </w:tc>
        <w:tc>
          <w:tcPr>
            <w:tcW w:w="162" w:type="dxa"/>
            <w:gridSpan w:val="2"/>
            <w:tcBorders>
              <w:top w:val="nil"/>
              <w:left w:val="nil"/>
              <w:bottom w:val="nil"/>
              <w:right w:val="nil"/>
            </w:tcBorders>
            <w:shd w:val="clear" w:color="CFD4D8" w:fill="CFD4D8"/>
            <w:vAlign w:val="bottom"/>
          </w:tcPr>
          <w:p w:rsidR="0073298C" w:rsidRDefault="0073298C" w:rsidP="0073298C">
            <w:pPr>
              <w:spacing w:before="22" w:after="22"/>
              <w:ind w:left="22"/>
              <w:jc w:val="right"/>
              <w:rPr>
                <w:rFonts w:ascii="Arial" w:hAnsi="Arial" w:cs="Arial"/>
                <w:color w:val="000000"/>
                <w:sz w:val="16"/>
                <w:szCs w:val="16"/>
              </w:rPr>
            </w:pPr>
          </w:p>
          <w:p w:rsidR="0073298C" w:rsidRDefault="0073298C" w:rsidP="0073298C">
            <w:pPr>
              <w:rPr>
                <w:sz w:val="16"/>
                <w:szCs w:val="16"/>
              </w:rPr>
            </w:pPr>
            <w:r>
              <w:rPr>
                <w:sz w:val="16"/>
                <w:szCs w:val="16"/>
              </w:rPr>
              <w:t> </w:t>
            </w:r>
          </w:p>
        </w:tc>
        <w:tc>
          <w:tcPr>
            <w:tcW w:w="105" w:type="dxa"/>
            <w:gridSpan w:val="2"/>
            <w:tcBorders>
              <w:top w:val="nil"/>
              <w:left w:val="nil"/>
              <w:bottom w:val="nil"/>
              <w:right w:val="nil"/>
            </w:tcBorders>
            <w:shd w:val="clear" w:color="CFD4D8" w:fill="CFD4D8"/>
            <w:vAlign w:val="bottom"/>
          </w:tcPr>
          <w:p w:rsidR="0073298C" w:rsidRDefault="0073298C" w:rsidP="0073298C">
            <w:pPr>
              <w:spacing w:before="22" w:after="22"/>
              <w:ind w:left="22" w:right="22"/>
              <w:rPr>
                <w:color w:val="000000"/>
              </w:rPr>
            </w:pPr>
            <w:r>
              <w:rPr>
                <w:color w:val="000000"/>
              </w:rPr>
              <w:t> </w:t>
            </w:r>
          </w:p>
        </w:tc>
        <w:tc>
          <w:tcPr>
            <w:tcW w:w="1066" w:type="dxa"/>
            <w:gridSpan w:val="4"/>
            <w:tcBorders>
              <w:top w:val="nil"/>
              <w:left w:val="nil"/>
              <w:bottom w:val="nil"/>
              <w:right w:val="nil"/>
            </w:tcBorders>
            <w:shd w:val="clear" w:color="CFD4D8" w:fill="CFD4D8"/>
            <w:vAlign w:val="center"/>
          </w:tcPr>
          <w:p w:rsidR="0073298C" w:rsidRDefault="0073298C" w:rsidP="0073298C">
            <w:pPr>
              <w:spacing w:before="22" w:after="22"/>
              <w:ind w:left="22"/>
              <w:jc w:val="right"/>
              <w:rPr>
                <w:rFonts w:ascii="Arial" w:hAnsi="Arial" w:cs="Arial"/>
                <w:color w:val="000000"/>
                <w:sz w:val="16"/>
                <w:szCs w:val="16"/>
              </w:rPr>
            </w:pPr>
            <w:r>
              <w:rPr>
                <w:rFonts w:ascii="Arial" w:hAnsi="Arial" w:cs="Arial"/>
                <w:color w:val="000000"/>
                <w:sz w:val="16"/>
                <w:szCs w:val="16"/>
              </w:rPr>
              <w:t>1.27</w:t>
            </w:r>
          </w:p>
        </w:tc>
        <w:tc>
          <w:tcPr>
            <w:tcW w:w="162" w:type="dxa"/>
            <w:gridSpan w:val="2"/>
            <w:tcBorders>
              <w:top w:val="nil"/>
              <w:left w:val="nil"/>
              <w:bottom w:val="nil"/>
              <w:right w:val="nil"/>
            </w:tcBorders>
            <w:shd w:val="clear" w:color="CFD4D8" w:fill="CFD4D8"/>
            <w:vAlign w:val="bottom"/>
          </w:tcPr>
          <w:p w:rsidR="0073298C" w:rsidRDefault="0073298C" w:rsidP="0073298C">
            <w:pPr>
              <w:spacing w:before="22" w:after="22"/>
              <w:ind w:left="22"/>
              <w:jc w:val="right"/>
              <w:rPr>
                <w:rFonts w:ascii="Arial" w:hAnsi="Arial" w:cs="Arial"/>
                <w:color w:val="000000"/>
                <w:sz w:val="16"/>
                <w:szCs w:val="16"/>
              </w:rPr>
            </w:pPr>
          </w:p>
          <w:p w:rsidR="0073298C" w:rsidRDefault="0073298C" w:rsidP="0073298C">
            <w:pPr>
              <w:rPr>
                <w:sz w:val="16"/>
                <w:szCs w:val="16"/>
              </w:rPr>
            </w:pPr>
            <w:r>
              <w:rPr>
                <w:sz w:val="16"/>
                <w:szCs w:val="16"/>
              </w:rPr>
              <w:t> </w:t>
            </w:r>
          </w:p>
        </w:tc>
        <w:tc>
          <w:tcPr>
            <w:tcW w:w="105" w:type="dxa"/>
            <w:gridSpan w:val="2"/>
            <w:tcBorders>
              <w:top w:val="nil"/>
              <w:left w:val="nil"/>
              <w:bottom w:val="nil"/>
              <w:right w:val="nil"/>
            </w:tcBorders>
            <w:shd w:val="clear" w:color="CFD4D8" w:fill="CFD4D8"/>
            <w:vAlign w:val="bottom"/>
          </w:tcPr>
          <w:p w:rsidR="0073298C" w:rsidRDefault="0073298C" w:rsidP="0073298C">
            <w:pPr>
              <w:spacing w:before="22" w:after="22"/>
              <w:ind w:left="22" w:right="22"/>
              <w:rPr>
                <w:color w:val="000000"/>
              </w:rPr>
            </w:pPr>
            <w:r>
              <w:rPr>
                <w:color w:val="000000"/>
              </w:rPr>
              <w:t> </w:t>
            </w:r>
          </w:p>
        </w:tc>
        <w:tc>
          <w:tcPr>
            <w:tcW w:w="1057" w:type="dxa"/>
            <w:gridSpan w:val="4"/>
            <w:tcBorders>
              <w:top w:val="nil"/>
              <w:left w:val="nil"/>
              <w:bottom w:val="nil"/>
              <w:right w:val="nil"/>
            </w:tcBorders>
            <w:shd w:val="clear" w:color="CFD4D8" w:fill="CFD4D8"/>
            <w:vAlign w:val="center"/>
          </w:tcPr>
          <w:p w:rsidR="0073298C" w:rsidRDefault="0073298C" w:rsidP="0073298C">
            <w:pPr>
              <w:spacing w:before="22" w:after="22"/>
              <w:ind w:left="22"/>
              <w:jc w:val="right"/>
              <w:rPr>
                <w:rFonts w:ascii="Arial" w:hAnsi="Arial" w:cs="Arial"/>
                <w:color w:val="000000"/>
                <w:sz w:val="16"/>
                <w:szCs w:val="16"/>
              </w:rPr>
            </w:pPr>
            <w:r>
              <w:rPr>
                <w:rFonts w:ascii="Arial" w:hAnsi="Arial" w:cs="Arial"/>
                <w:color w:val="000000"/>
                <w:sz w:val="16"/>
                <w:szCs w:val="16"/>
              </w:rPr>
              <w:t>0.87</w:t>
            </w:r>
          </w:p>
        </w:tc>
        <w:tc>
          <w:tcPr>
            <w:tcW w:w="168" w:type="dxa"/>
            <w:gridSpan w:val="3"/>
            <w:tcBorders>
              <w:top w:val="nil"/>
              <w:left w:val="nil"/>
              <w:bottom w:val="nil"/>
              <w:right w:val="single" w:sz="6" w:space="0" w:color="00467E"/>
            </w:tcBorders>
            <w:shd w:val="clear" w:color="CFD4D8" w:fill="CFD4D8"/>
            <w:vAlign w:val="bottom"/>
          </w:tcPr>
          <w:p w:rsidR="0073298C" w:rsidRDefault="0073298C" w:rsidP="0073298C">
            <w:pPr>
              <w:spacing w:before="22" w:after="22"/>
              <w:ind w:left="22"/>
              <w:jc w:val="right"/>
              <w:rPr>
                <w:rFonts w:ascii="Arial" w:hAnsi="Arial" w:cs="Arial"/>
                <w:color w:val="000000"/>
                <w:sz w:val="16"/>
                <w:szCs w:val="16"/>
              </w:rPr>
            </w:pPr>
          </w:p>
          <w:p w:rsidR="0073298C" w:rsidRDefault="0073298C" w:rsidP="0073298C">
            <w:pPr>
              <w:rPr>
                <w:sz w:val="16"/>
                <w:szCs w:val="16"/>
              </w:rPr>
            </w:pPr>
            <w:r>
              <w:rPr>
                <w:sz w:val="16"/>
                <w:szCs w:val="16"/>
              </w:rPr>
              <w:t> </w:t>
            </w:r>
          </w:p>
        </w:tc>
      </w:tr>
      <w:tr w:rsidR="0073298C" w:rsidTr="0073298C">
        <w:tblPrEx>
          <w:tblCellMar>
            <w:top w:w="0" w:type="dxa"/>
            <w:left w:w="0" w:type="dxa"/>
            <w:bottom w:w="0" w:type="dxa"/>
            <w:right w:w="0" w:type="dxa"/>
          </w:tblCellMar>
        </w:tblPrEx>
        <w:trPr>
          <w:gridAfter w:val="2"/>
          <w:wAfter w:w="27" w:type="dxa"/>
          <w:trHeight w:val="281"/>
          <w:jc w:val="center"/>
        </w:trPr>
        <w:tc>
          <w:tcPr>
            <w:tcW w:w="4217" w:type="dxa"/>
            <w:tcBorders>
              <w:top w:val="nil"/>
              <w:left w:val="single" w:sz="6" w:space="0" w:color="00467E"/>
              <w:bottom w:val="nil"/>
              <w:right w:val="nil"/>
            </w:tcBorders>
            <w:vAlign w:val="center"/>
          </w:tcPr>
          <w:p w:rsidR="0073298C" w:rsidRDefault="0073298C" w:rsidP="0073298C">
            <w:pPr>
              <w:spacing w:before="22" w:after="22"/>
              <w:ind w:left="22" w:right="22"/>
              <w:rPr>
                <w:rFonts w:ascii="Arial" w:hAnsi="Arial" w:cs="Arial"/>
                <w:color w:val="000000"/>
                <w:sz w:val="16"/>
                <w:szCs w:val="16"/>
              </w:rPr>
            </w:pPr>
            <w:r>
              <w:rPr>
                <w:rFonts w:ascii="Arial" w:hAnsi="Arial" w:cs="Arial"/>
                <w:color w:val="000000"/>
                <w:sz w:val="16"/>
                <w:szCs w:val="16"/>
              </w:rPr>
              <w:t>Diluted earnings per share</w:t>
            </w:r>
          </w:p>
        </w:tc>
        <w:tc>
          <w:tcPr>
            <w:tcW w:w="1064" w:type="dxa"/>
            <w:gridSpan w:val="4"/>
            <w:tcBorders>
              <w:top w:val="nil"/>
              <w:left w:val="nil"/>
              <w:bottom w:val="nil"/>
              <w:right w:val="nil"/>
            </w:tcBorders>
            <w:vAlign w:val="center"/>
          </w:tcPr>
          <w:p w:rsidR="0073298C" w:rsidRDefault="0073298C" w:rsidP="0073298C">
            <w:pPr>
              <w:spacing w:before="22" w:after="22"/>
              <w:ind w:left="22"/>
              <w:jc w:val="right"/>
              <w:rPr>
                <w:rFonts w:ascii="Arial" w:hAnsi="Arial" w:cs="Arial"/>
                <w:color w:val="000000"/>
                <w:sz w:val="16"/>
                <w:szCs w:val="16"/>
              </w:rPr>
            </w:pPr>
            <w:r>
              <w:rPr>
                <w:rFonts w:ascii="Arial" w:hAnsi="Arial" w:cs="Arial"/>
                <w:color w:val="000000"/>
                <w:sz w:val="16"/>
                <w:szCs w:val="16"/>
              </w:rPr>
              <w:t>4.34</w:t>
            </w:r>
          </w:p>
        </w:tc>
        <w:tc>
          <w:tcPr>
            <w:tcW w:w="162" w:type="dxa"/>
            <w:tcBorders>
              <w:top w:val="nil"/>
              <w:left w:val="nil"/>
              <w:bottom w:val="nil"/>
              <w:right w:val="nil"/>
            </w:tcBorders>
            <w:vAlign w:val="bottom"/>
          </w:tcPr>
          <w:p w:rsidR="0073298C" w:rsidRDefault="0073298C" w:rsidP="0073298C">
            <w:pPr>
              <w:spacing w:before="22" w:after="22"/>
              <w:ind w:left="22"/>
              <w:jc w:val="right"/>
              <w:rPr>
                <w:rFonts w:ascii="Arial" w:hAnsi="Arial" w:cs="Arial"/>
                <w:color w:val="000000"/>
                <w:sz w:val="16"/>
                <w:szCs w:val="16"/>
              </w:rPr>
            </w:pPr>
          </w:p>
          <w:p w:rsidR="0073298C" w:rsidRDefault="0073298C" w:rsidP="0073298C">
            <w:pPr>
              <w:rPr>
                <w:sz w:val="16"/>
                <w:szCs w:val="16"/>
              </w:rPr>
            </w:pPr>
            <w:r>
              <w:rPr>
                <w:sz w:val="16"/>
                <w:szCs w:val="16"/>
              </w:rPr>
              <w:t> </w:t>
            </w:r>
          </w:p>
        </w:tc>
        <w:tc>
          <w:tcPr>
            <w:tcW w:w="105" w:type="dxa"/>
            <w:gridSpan w:val="2"/>
            <w:tcBorders>
              <w:top w:val="nil"/>
              <w:left w:val="nil"/>
              <w:bottom w:val="nil"/>
              <w:right w:val="nil"/>
            </w:tcBorders>
            <w:vAlign w:val="bottom"/>
          </w:tcPr>
          <w:p w:rsidR="0073298C" w:rsidRDefault="0073298C" w:rsidP="0073298C">
            <w:pPr>
              <w:spacing w:before="22" w:after="22"/>
              <w:ind w:left="22" w:right="22"/>
              <w:rPr>
                <w:color w:val="000000"/>
              </w:rPr>
            </w:pPr>
            <w:r>
              <w:rPr>
                <w:color w:val="000000"/>
              </w:rPr>
              <w:t> </w:t>
            </w:r>
          </w:p>
        </w:tc>
        <w:tc>
          <w:tcPr>
            <w:tcW w:w="1066" w:type="dxa"/>
            <w:gridSpan w:val="5"/>
            <w:tcBorders>
              <w:top w:val="nil"/>
              <w:left w:val="nil"/>
              <w:bottom w:val="nil"/>
              <w:right w:val="nil"/>
            </w:tcBorders>
            <w:vAlign w:val="center"/>
          </w:tcPr>
          <w:p w:rsidR="0073298C" w:rsidRDefault="0073298C" w:rsidP="0073298C">
            <w:pPr>
              <w:spacing w:before="22" w:after="22"/>
              <w:ind w:left="22"/>
              <w:jc w:val="right"/>
              <w:rPr>
                <w:rFonts w:ascii="Arial" w:hAnsi="Arial" w:cs="Arial"/>
                <w:color w:val="000000"/>
                <w:sz w:val="16"/>
                <w:szCs w:val="16"/>
              </w:rPr>
            </w:pPr>
            <w:r>
              <w:rPr>
                <w:rFonts w:ascii="Arial" w:hAnsi="Arial" w:cs="Arial"/>
                <w:color w:val="000000"/>
                <w:sz w:val="16"/>
                <w:szCs w:val="16"/>
              </w:rPr>
              <w:t>1.16</w:t>
            </w:r>
          </w:p>
        </w:tc>
        <w:tc>
          <w:tcPr>
            <w:tcW w:w="162" w:type="dxa"/>
            <w:tcBorders>
              <w:top w:val="nil"/>
              <w:left w:val="nil"/>
              <w:bottom w:val="nil"/>
              <w:right w:val="nil"/>
            </w:tcBorders>
            <w:vAlign w:val="bottom"/>
          </w:tcPr>
          <w:p w:rsidR="0073298C" w:rsidRDefault="0073298C" w:rsidP="0073298C">
            <w:pPr>
              <w:spacing w:before="22" w:after="22"/>
              <w:ind w:left="22"/>
              <w:jc w:val="right"/>
              <w:rPr>
                <w:rFonts w:ascii="Arial" w:hAnsi="Arial" w:cs="Arial"/>
                <w:color w:val="000000"/>
                <w:sz w:val="16"/>
                <w:szCs w:val="16"/>
              </w:rPr>
            </w:pPr>
          </w:p>
          <w:p w:rsidR="0073298C" w:rsidRDefault="0073298C" w:rsidP="0073298C">
            <w:pPr>
              <w:rPr>
                <w:sz w:val="16"/>
                <w:szCs w:val="16"/>
              </w:rPr>
            </w:pPr>
            <w:r>
              <w:rPr>
                <w:sz w:val="16"/>
                <w:szCs w:val="16"/>
              </w:rPr>
              <w:t> </w:t>
            </w:r>
          </w:p>
        </w:tc>
        <w:tc>
          <w:tcPr>
            <w:tcW w:w="110" w:type="dxa"/>
            <w:tcBorders>
              <w:top w:val="nil"/>
              <w:left w:val="nil"/>
              <w:bottom w:val="nil"/>
              <w:right w:val="nil"/>
            </w:tcBorders>
            <w:vAlign w:val="bottom"/>
          </w:tcPr>
          <w:p w:rsidR="0073298C" w:rsidRDefault="0073298C" w:rsidP="0073298C">
            <w:pPr>
              <w:spacing w:before="22" w:after="22"/>
              <w:ind w:left="22" w:right="22"/>
              <w:rPr>
                <w:color w:val="000000"/>
              </w:rPr>
            </w:pPr>
            <w:r>
              <w:rPr>
                <w:color w:val="000000"/>
              </w:rPr>
              <w:t> </w:t>
            </w:r>
          </w:p>
        </w:tc>
        <w:tc>
          <w:tcPr>
            <w:tcW w:w="1066" w:type="dxa"/>
            <w:gridSpan w:val="3"/>
            <w:tcBorders>
              <w:top w:val="nil"/>
              <w:left w:val="nil"/>
              <w:bottom w:val="nil"/>
              <w:right w:val="nil"/>
            </w:tcBorders>
            <w:vAlign w:val="center"/>
          </w:tcPr>
          <w:p w:rsidR="0073298C" w:rsidRDefault="0073298C" w:rsidP="0073298C">
            <w:pPr>
              <w:spacing w:before="22" w:after="22"/>
              <w:ind w:left="22"/>
              <w:jc w:val="right"/>
              <w:rPr>
                <w:rFonts w:ascii="Arial" w:hAnsi="Arial" w:cs="Arial"/>
                <w:color w:val="000000"/>
                <w:sz w:val="16"/>
                <w:szCs w:val="16"/>
              </w:rPr>
            </w:pPr>
            <w:r>
              <w:rPr>
                <w:rFonts w:ascii="Arial" w:hAnsi="Arial" w:cs="Arial"/>
                <w:color w:val="000000"/>
                <w:sz w:val="16"/>
                <w:szCs w:val="16"/>
              </w:rPr>
              <w:t>1.42</w:t>
            </w:r>
          </w:p>
        </w:tc>
        <w:tc>
          <w:tcPr>
            <w:tcW w:w="162" w:type="dxa"/>
            <w:gridSpan w:val="2"/>
            <w:tcBorders>
              <w:top w:val="nil"/>
              <w:left w:val="nil"/>
              <w:bottom w:val="nil"/>
              <w:right w:val="nil"/>
            </w:tcBorders>
            <w:vAlign w:val="bottom"/>
          </w:tcPr>
          <w:p w:rsidR="0073298C" w:rsidRDefault="0073298C" w:rsidP="0073298C">
            <w:pPr>
              <w:spacing w:before="22" w:after="22"/>
              <w:ind w:left="22"/>
              <w:jc w:val="right"/>
              <w:rPr>
                <w:rFonts w:ascii="Arial" w:hAnsi="Arial" w:cs="Arial"/>
                <w:color w:val="000000"/>
                <w:sz w:val="16"/>
                <w:szCs w:val="16"/>
              </w:rPr>
            </w:pPr>
          </w:p>
          <w:p w:rsidR="0073298C" w:rsidRDefault="0073298C" w:rsidP="0073298C">
            <w:pPr>
              <w:rPr>
                <w:sz w:val="16"/>
                <w:szCs w:val="16"/>
              </w:rPr>
            </w:pPr>
            <w:r>
              <w:rPr>
                <w:sz w:val="16"/>
                <w:szCs w:val="16"/>
              </w:rPr>
              <w:t> </w:t>
            </w:r>
          </w:p>
        </w:tc>
        <w:tc>
          <w:tcPr>
            <w:tcW w:w="105" w:type="dxa"/>
            <w:gridSpan w:val="2"/>
            <w:tcBorders>
              <w:top w:val="nil"/>
              <w:left w:val="nil"/>
              <w:bottom w:val="nil"/>
              <w:right w:val="nil"/>
            </w:tcBorders>
            <w:vAlign w:val="bottom"/>
          </w:tcPr>
          <w:p w:rsidR="0073298C" w:rsidRDefault="0073298C" w:rsidP="0073298C">
            <w:pPr>
              <w:spacing w:before="22" w:after="22"/>
              <w:ind w:left="22" w:right="22"/>
              <w:rPr>
                <w:color w:val="000000"/>
              </w:rPr>
            </w:pPr>
            <w:r>
              <w:rPr>
                <w:color w:val="000000"/>
              </w:rPr>
              <w:t> </w:t>
            </w:r>
          </w:p>
        </w:tc>
        <w:tc>
          <w:tcPr>
            <w:tcW w:w="1066" w:type="dxa"/>
            <w:gridSpan w:val="4"/>
            <w:tcBorders>
              <w:top w:val="nil"/>
              <w:left w:val="nil"/>
              <w:bottom w:val="nil"/>
              <w:right w:val="nil"/>
            </w:tcBorders>
            <w:vAlign w:val="center"/>
          </w:tcPr>
          <w:p w:rsidR="0073298C" w:rsidRDefault="0073298C" w:rsidP="0073298C">
            <w:pPr>
              <w:spacing w:before="22" w:after="22"/>
              <w:ind w:left="22"/>
              <w:jc w:val="right"/>
              <w:rPr>
                <w:rFonts w:ascii="Arial" w:hAnsi="Arial" w:cs="Arial"/>
                <w:color w:val="000000"/>
                <w:sz w:val="16"/>
                <w:szCs w:val="16"/>
              </w:rPr>
            </w:pPr>
            <w:r>
              <w:rPr>
                <w:rFonts w:ascii="Arial" w:hAnsi="Arial" w:cs="Arial"/>
                <w:color w:val="000000"/>
                <w:sz w:val="16"/>
                <w:szCs w:val="16"/>
              </w:rPr>
              <w:t>1.25</w:t>
            </w:r>
          </w:p>
        </w:tc>
        <w:tc>
          <w:tcPr>
            <w:tcW w:w="162" w:type="dxa"/>
            <w:gridSpan w:val="2"/>
            <w:tcBorders>
              <w:top w:val="nil"/>
              <w:left w:val="nil"/>
              <w:bottom w:val="nil"/>
              <w:right w:val="nil"/>
            </w:tcBorders>
            <w:vAlign w:val="bottom"/>
          </w:tcPr>
          <w:p w:rsidR="0073298C" w:rsidRDefault="0073298C" w:rsidP="0073298C">
            <w:pPr>
              <w:spacing w:before="22" w:after="22"/>
              <w:ind w:left="22"/>
              <w:jc w:val="right"/>
              <w:rPr>
                <w:rFonts w:ascii="Arial" w:hAnsi="Arial" w:cs="Arial"/>
                <w:color w:val="000000"/>
                <w:sz w:val="16"/>
                <w:szCs w:val="16"/>
              </w:rPr>
            </w:pPr>
          </w:p>
          <w:p w:rsidR="0073298C" w:rsidRDefault="0073298C" w:rsidP="0073298C">
            <w:pPr>
              <w:rPr>
                <w:sz w:val="16"/>
                <w:szCs w:val="16"/>
              </w:rPr>
            </w:pPr>
            <w:r>
              <w:rPr>
                <w:sz w:val="16"/>
                <w:szCs w:val="16"/>
              </w:rPr>
              <w:t> </w:t>
            </w:r>
          </w:p>
        </w:tc>
        <w:tc>
          <w:tcPr>
            <w:tcW w:w="105" w:type="dxa"/>
            <w:gridSpan w:val="2"/>
            <w:tcBorders>
              <w:top w:val="nil"/>
              <w:left w:val="nil"/>
              <w:bottom w:val="nil"/>
              <w:right w:val="nil"/>
            </w:tcBorders>
            <w:vAlign w:val="bottom"/>
          </w:tcPr>
          <w:p w:rsidR="0073298C" w:rsidRDefault="0073298C" w:rsidP="0073298C">
            <w:pPr>
              <w:spacing w:before="22" w:after="22"/>
              <w:ind w:left="22" w:right="22"/>
              <w:rPr>
                <w:color w:val="000000"/>
              </w:rPr>
            </w:pPr>
            <w:r>
              <w:rPr>
                <w:color w:val="000000"/>
              </w:rPr>
              <w:t> </w:t>
            </w:r>
          </w:p>
        </w:tc>
        <w:tc>
          <w:tcPr>
            <w:tcW w:w="1057" w:type="dxa"/>
            <w:gridSpan w:val="4"/>
            <w:tcBorders>
              <w:top w:val="nil"/>
              <w:left w:val="nil"/>
              <w:bottom w:val="nil"/>
              <w:right w:val="nil"/>
            </w:tcBorders>
            <w:vAlign w:val="center"/>
          </w:tcPr>
          <w:p w:rsidR="0073298C" w:rsidRDefault="0073298C" w:rsidP="0073298C">
            <w:pPr>
              <w:spacing w:before="22" w:after="22"/>
              <w:ind w:left="22"/>
              <w:jc w:val="right"/>
              <w:rPr>
                <w:rFonts w:ascii="Arial" w:hAnsi="Arial" w:cs="Arial"/>
                <w:color w:val="000000"/>
                <w:sz w:val="16"/>
                <w:szCs w:val="16"/>
              </w:rPr>
            </w:pPr>
            <w:r>
              <w:rPr>
                <w:rFonts w:ascii="Arial" w:hAnsi="Arial" w:cs="Arial"/>
                <w:color w:val="000000"/>
                <w:sz w:val="16"/>
                <w:szCs w:val="16"/>
              </w:rPr>
              <w:t>0.86</w:t>
            </w:r>
          </w:p>
        </w:tc>
        <w:tc>
          <w:tcPr>
            <w:tcW w:w="168" w:type="dxa"/>
            <w:gridSpan w:val="3"/>
            <w:tcBorders>
              <w:top w:val="nil"/>
              <w:left w:val="nil"/>
              <w:bottom w:val="nil"/>
              <w:right w:val="single" w:sz="6" w:space="0" w:color="00467E"/>
            </w:tcBorders>
            <w:vAlign w:val="bottom"/>
          </w:tcPr>
          <w:p w:rsidR="0073298C" w:rsidRDefault="0073298C" w:rsidP="0073298C">
            <w:pPr>
              <w:spacing w:before="22" w:after="22"/>
              <w:ind w:left="22"/>
              <w:jc w:val="right"/>
              <w:rPr>
                <w:rFonts w:ascii="Arial" w:hAnsi="Arial" w:cs="Arial"/>
                <w:color w:val="000000"/>
                <w:sz w:val="16"/>
                <w:szCs w:val="16"/>
              </w:rPr>
            </w:pPr>
          </w:p>
          <w:p w:rsidR="0073298C" w:rsidRDefault="0073298C" w:rsidP="0073298C">
            <w:pPr>
              <w:rPr>
                <w:sz w:val="16"/>
                <w:szCs w:val="16"/>
              </w:rPr>
            </w:pPr>
            <w:r>
              <w:rPr>
                <w:sz w:val="16"/>
                <w:szCs w:val="16"/>
              </w:rPr>
              <w:t> </w:t>
            </w:r>
          </w:p>
        </w:tc>
      </w:tr>
      <w:tr w:rsidR="0073298C" w:rsidTr="0073298C">
        <w:tblPrEx>
          <w:tblCellMar>
            <w:top w:w="0" w:type="dxa"/>
            <w:left w:w="0" w:type="dxa"/>
            <w:bottom w:w="0" w:type="dxa"/>
            <w:right w:w="0" w:type="dxa"/>
          </w:tblCellMar>
        </w:tblPrEx>
        <w:trPr>
          <w:gridAfter w:val="2"/>
          <w:wAfter w:w="27" w:type="dxa"/>
          <w:trHeight w:val="281"/>
          <w:jc w:val="center"/>
        </w:trPr>
        <w:tc>
          <w:tcPr>
            <w:tcW w:w="4217" w:type="dxa"/>
            <w:tcBorders>
              <w:top w:val="nil"/>
              <w:left w:val="single" w:sz="6" w:space="0" w:color="00467E"/>
              <w:bottom w:val="nil"/>
              <w:right w:val="nil"/>
            </w:tcBorders>
            <w:shd w:val="clear" w:color="CFD4D8" w:fill="CFD4D8"/>
            <w:vAlign w:val="center"/>
          </w:tcPr>
          <w:p w:rsidR="0073298C" w:rsidRDefault="0073298C" w:rsidP="0073298C">
            <w:pPr>
              <w:spacing w:before="22" w:after="22"/>
              <w:ind w:left="22" w:right="22"/>
              <w:rPr>
                <w:rFonts w:ascii="Arial" w:hAnsi="Arial" w:cs="Arial"/>
                <w:color w:val="000000"/>
                <w:sz w:val="16"/>
                <w:szCs w:val="16"/>
              </w:rPr>
            </w:pPr>
            <w:r>
              <w:rPr>
                <w:rFonts w:ascii="Arial" w:hAnsi="Arial" w:cs="Arial"/>
                <w:color w:val="000000"/>
                <w:sz w:val="16"/>
                <w:szCs w:val="16"/>
              </w:rPr>
              <w:t>Cash dividend per share on Class A common stock</w:t>
            </w:r>
          </w:p>
        </w:tc>
        <w:tc>
          <w:tcPr>
            <w:tcW w:w="1064" w:type="dxa"/>
            <w:gridSpan w:val="4"/>
            <w:tcBorders>
              <w:top w:val="nil"/>
              <w:left w:val="nil"/>
              <w:bottom w:val="nil"/>
              <w:right w:val="nil"/>
            </w:tcBorders>
            <w:shd w:val="clear" w:color="CFD4D8" w:fill="CFD4D8"/>
            <w:vAlign w:val="center"/>
          </w:tcPr>
          <w:p w:rsidR="0073298C" w:rsidRDefault="0073298C" w:rsidP="0073298C">
            <w:pPr>
              <w:spacing w:before="22" w:after="22"/>
              <w:ind w:left="22"/>
              <w:jc w:val="right"/>
              <w:rPr>
                <w:rFonts w:ascii="Arial" w:hAnsi="Arial" w:cs="Arial"/>
                <w:color w:val="000000"/>
                <w:sz w:val="16"/>
                <w:szCs w:val="16"/>
              </w:rPr>
            </w:pPr>
            <w:r>
              <w:rPr>
                <w:rFonts w:ascii="Arial" w:hAnsi="Arial" w:cs="Arial"/>
                <w:color w:val="000000"/>
                <w:sz w:val="16"/>
                <w:szCs w:val="16"/>
              </w:rPr>
              <w:t>0.24</w:t>
            </w:r>
          </w:p>
        </w:tc>
        <w:tc>
          <w:tcPr>
            <w:tcW w:w="162" w:type="dxa"/>
            <w:tcBorders>
              <w:top w:val="nil"/>
              <w:left w:val="nil"/>
              <w:bottom w:val="nil"/>
              <w:right w:val="nil"/>
            </w:tcBorders>
            <w:shd w:val="clear" w:color="CFD4D8" w:fill="CFD4D8"/>
            <w:vAlign w:val="bottom"/>
          </w:tcPr>
          <w:p w:rsidR="0073298C" w:rsidRDefault="0073298C" w:rsidP="0073298C">
            <w:pPr>
              <w:spacing w:before="22" w:after="22"/>
              <w:ind w:left="22"/>
              <w:jc w:val="right"/>
              <w:rPr>
                <w:rFonts w:ascii="Arial" w:hAnsi="Arial" w:cs="Arial"/>
                <w:color w:val="000000"/>
                <w:sz w:val="16"/>
                <w:szCs w:val="16"/>
              </w:rPr>
            </w:pPr>
          </w:p>
          <w:p w:rsidR="0073298C" w:rsidRDefault="0073298C" w:rsidP="0073298C">
            <w:pPr>
              <w:rPr>
                <w:sz w:val="16"/>
                <w:szCs w:val="16"/>
              </w:rPr>
            </w:pPr>
            <w:r>
              <w:rPr>
                <w:sz w:val="16"/>
                <w:szCs w:val="16"/>
              </w:rPr>
              <w:t> </w:t>
            </w:r>
          </w:p>
        </w:tc>
        <w:tc>
          <w:tcPr>
            <w:tcW w:w="105" w:type="dxa"/>
            <w:gridSpan w:val="2"/>
            <w:tcBorders>
              <w:top w:val="nil"/>
              <w:left w:val="nil"/>
              <w:bottom w:val="nil"/>
              <w:right w:val="nil"/>
            </w:tcBorders>
            <w:shd w:val="clear" w:color="CFD4D8" w:fill="CFD4D8"/>
            <w:vAlign w:val="bottom"/>
          </w:tcPr>
          <w:p w:rsidR="0073298C" w:rsidRDefault="0073298C" w:rsidP="0073298C">
            <w:pPr>
              <w:spacing w:before="22" w:after="22"/>
              <w:ind w:left="22" w:right="22"/>
              <w:rPr>
                <w:color w:val="000000"/>
              </w:rPr>
            </w:pPr>
            <w:r>
              <w:rPr>
                <w:color w:val="000000"/>
              </w:rPr>
              <w:t> </w:t>
            </w:r>
          </w:p>
        </w:tc>
        <w:tc>
          <w:tcPr>
            <w:tcW w:w="1066" w:type="dxa"/>
            <w:gridSpan w:val="5"/>
            <w:tcBorders>
              <w:top w:val="nil"/>
              <w:left w:val="nil"/>
              <w:bottom w:val="nil"/>
              <w:right w:val="nil"/>
            </w:tcBorders>
            <w:shd w:val="clear" w:color="CFD4D8" w:fill="CFD4D8"/>
            <w:vAlign w:val="center"/>
          </w:tcPr>
          <w:p w:rsidR="0073298C" w:rsidRDefault="0073298C" w:rsidP="0073298C">
            <w:pPr>
              <w:spacing w:before="22" w:after="22"/>
              <w:ind w:left="22"/>
              <w:jc w:val="right"/>
              <w:rPr>
                <w:rFonts w:ascii="Arial" w:hAnsi="Arial" w:cs="Arial"/>
                <w:color w:val="000000"/>
                <w:sz w:val="16"/>
                <w:szCs w:val="16"/>
              </w:rPr>
            </w:pPr>
            <w:r>
              <w:rPr>
                <w:rFonts w:ascii="Arial" w:hAnsi="Arial" w:cs="Arial"/>
                <w:color w:val="000000"/>
                <w:sz w:val="16"/>
                <w:szCs w:val="16"/>
              </w:rPr>
              <w:t>0.24</w:t>
            </w:r>
          </w:p>
        </w:tc>
        <w:tc>
          <w:tcPr>
            <w:tcW w:w="162" w:type="dxa"/>
            <w:tcBorders>
              <w:top w:val="nil"/>
              <w:left w:val="nil"/>
              <w:bottom w:val="nil"/>
              <w:right w:val="nil"/>
            </w:tcBorders>
            <w:shd w:val="clear" w:color="CFD4D8" w:fill="CFD4D8"/>
            <w:vAlign w:val="bottom"/>
          </w:tcPr>
          <w:p w:rsidR="0073298C" w:rsidRDefault="0073298C" w:rsidP="0073298C">
            <w:pPr>
              <w:spacing w:before="22" w:after="22"/>
              <w:ind w:left="22"/>
              <w:jc w:val="right"/>
              <w:rPr>
                <w:rFonts w:ascii="Arial" w:hAnsi="Arial" w:cs="Arial"/>
                <w:color w:val="000000"/>
                <w:sz w:val="16"/>
                <w:szCs w:val="16"/>
              </w:rPr>
            </w:pPr>
          </w:p>
          <w:p w:rsidR="0073298C" w:rsidRDefault="0073298C" w:rsidP="0073298C">
            <w:pPr>
              <w:rPr>
                <w:sz w:val="16"/>
                <w:szCs w:val="16"/>
              </w:rPr>
            </w:pPr>
            <w:r>
              <w:rPr>
                <w:sz w:val="16"/>
                <w:szCs w:val="16"/>
              </w:rPr>
              <w:t> </w:t>
            </w:r>
          </w:p>
        </w:tc>
        <w:tc>
          <w:tcPr>
            <w:tcW w:w="110" w:type="dxa"/>
            <w:tcBorders>
              <w:top w:val="nil"/>
              <w:left w:val="nil"/>
              <w:bottom w:val="nil"/>
              <w:right w:val="nil"/>
            </w:tcBorders>
            <w:shd w:val="clear" w:color="CFD4D8" w:fill="CFD4D8"/>
            <w:vAlign w:val="bottom"/>
          </w:tcPr>
          <w:p w:rsidR="0073298C" w:rsidRDefault="0073298C" w:rsidP="0073298C">
            <w:pPr>
              <w:spacing w:before="22" w:after="22"/>
              <w:ind w:left="22" w:right="22"/>
              <w:rPr>
                <w:color w:val="000000"/>
              </w:rPr>
            </w:pPr>
            <w:r>
              <w:rPr>
                <w:color w:val="000000"/>
              </w:rPr>
              <w:t> </w:t>
            </w:r>
          </w:p>
        </w:tc>
        <w:tc>
          <w:tcPr>
            <w:tcW w:w="1066" w:type="dxa"/>
            <w:gridSpan w:val="3"/>
            <w:tcBorders>
              <w:top w:val="nil"/>
              <w:left w:val="nil"/>
              <w:bottom w:val="nil"/>
              <w:right w:val="nil"/>
            </w:tcBorders>
            <w:shd w:val="clear" w:color="CFD4D8" w:fill="CFD4D8"/>
            <w:vAlign w:val="center"/>
          </w:tcPr>
          <w:p w:rsidR="0073298C" w:rsidRDefault="0073298C" w:rsidP="0073298C">
            <w:pPr>
              <w:spacing w:before="22" w:after="22"/>
              <w:ind w:left="22"/>
              <w:jc w:val="right"/>
              <w:rPr>
                <w:rFonts w:ascii="Arial" w:hAnsi="Arial" w:cs="Arial"/>
                <w:color w:val="000000"/>
                <w:sz w:val="16"/>
                <w:szCs w:val="16"/>
              </w:rPr>
            </w:pPr>
            <w:r>
              <w:rPr>
                <w:rFonts w:ascii="Arial" w:hAnsi="Arial" w:cs="Arial"/>
                <w:color w:val="000000"/>
                <w:sz w:val="16"/>
                <w:szCs w:val="16"/>
              </w:rPr>
              <w:t>0.24</w:t>
            </w:r>
          </w:p>
        </w:tc>
        <w:tc>
          <w:tcPr>
            <w:tcW w:w="162" w:type="dxa"/>
            <w:gridSpan w:val="2"/>
            <w:tcBorders>
              <w:top w:val="nil"/>
              <w:left w:val="nil"/>
              <w:bottom w:val="nil"/>
              <w:right w:val="nil"/>
            </w:tcBorders>
            <w:shd w:val="clear" w:color="CFD4D8" w:fill="CFD4D8"/>
            <w:vAlign w:val="bottom"/>
          </w:tcPr>
          <w:p w:rsidR="0073298C" w:rsidRDefault="0073298C" w:rsidP="0073298C">
            <w:pPr>
              <w:spacing w:before="22" w:after="22"/>
              <w:ind w:left="22"/>
              <w:jc w:val="right"/>
              <w:rPr>
                <w:rFonts w:ascii="Arial" w:hAnsi="Arial" w:cs="Arial"/>
                <w:color w:val="000000"/>
                <w:sz w:val="16"/>
                <w:szCs w:val="16"/>
              </w:rPr>
            </w:pPr>
          </w:p>
          <w:p w:rsidR="0073298C" w:rsidRDefault="0073298C" w:rsidP="0073298C">
            <w:pPr>
              <w:rPr>
                <w:sz w:val="16"/>
                <w:szCs w:val="16"/>
              </w:rPr>
            </w:pPr>
            <w:r>
              <w:rPr>
                <w:sz w:val="16"/>
                <w:szCs w:val="16"/>
              </w:rPr>
              <w:t> </w:t>
            </w:r>
          </w:p>
        </w:tc>
        <w:tc>
          <w:tcPr>
            <w:tcW w:w="105" w:type="dxa"/>
            <w:gridSpan w:val="2"/>
            <w:tcBorders>
              <w:top w:val="nil"/>
              <w:left w:val="nil"/>
              <w:bottom w:val="nil"/>
              <w:right w:val="nil"/>
            </w:tcBorders>
            <w:shd w:val="clear" w:color="CFD4D8" w:fill="CFD4D8"/>
            <w:vAlign w:val="bottom"/>
          </w:tcPr>
          <w:p w:rsidR="0073298C" w:rsidRDefault="0073298C" w:rsidP="0073298C">
            <w:pPr>
              <w:spacing w:before="22" w:after="22"/>
              <w:ind w:left="22" w:right="22"/>
              <w:rPr>
                <w:color w:val="000000"/>
              </w:rPr>
            </w:pPr>
            <w:r>
              <w:rPr>
                <w:color w:val="000000"/>
              </w:rPr>
              <w:t> </w:t>
            </w:r>
          </w:p>
        </w:tc>
        <w:tc>
          <w:tcPr>
            <w:tcW w:w="1066" w:type="dxa"/>
            <w:gridSpan w:val="4"/>
            <w:tcBorders>
              <w:top w:val="nil"/>
              <w:left w:val="nil"/>
              <w:bottom w:val="nil"/>
              <w:right w:val="nil"/>
            </w:tcBorders>
            <w:shd w:val="clear" w:color="CFD4D8" w:fill="CFD4D8"/>
            <w:vAlign w:val="center"/>
          </w:tcPr>
          <w:p w:rsidR="0073298C" w:rsidRDefault="0073298C" w:rsidP="0073298C">
            <w:pPr>
              <w:spacing w:before="22" w:after="22"/>
              <w:ind w:left="22"/>
              <w:jc w:val="right"/>
              <w:rPr>
                <w:rFonts w:ascii="Arial" w:hAnsi="Arial" w:cs="Arial"/>
                <w:color w:val="000000"/>
                <w:sz w:val="16"/>
                <w:szCs w:val="16"/>
              </w:rPr>
            </w:pPr>
            <w:r>
              <w:rPr>
                <w:rFonts w:ascii="Arial" w:hAnsi="Arial" w:cs="Arial"/>
                <w:color w:val="000000"/>
                <w:sz w:val="16"/>
                <w:szCs w:val="16"/>
              </w:rPr>
              <w:t>0.24</w:t>
            </w:r>
          </w:p>
        </w:tc>
        <w:tc>
          <w:tcPr>
            <w:tcW w:w="162" w:type="dxa"/>
            <w:gridSpan w:val="2"/>
            <w:tcBorders>
              <w:top w:val="nil"/>
              <w:left w:val="nil"/>
              <w:bottom w:val="nil"/>
              <w:right w:val="nil"/>
            </w:tcBorders>
            <w:shd w:val="clear" w:color="CFD4D8" w:fill="CFD4D8"/>
            <w:vAlign w:val="bottom"/>
          </w:tcPr>
          <w:p w:rsidR="0073298C" w:rsidRDefault="0073298C" w:rsidP="0073298C">
            <w:pPr>
              <w:spacing w:before="22" w:after="22"/>
              <w:ind w:left="22"/>
              <w:jc w:val="right"/>
              <w:rPr>
                <w:rFonts w:ascii="Arial" w:hAnsi="Arial" w:cs="Arial"/>
                <w:color w:val="000000"/>
                <w:sz w:val="16"/>
                <w:szCs w:val="16"/>
              </w:rPr>
            </w:pPr>
          </w:p>
          <w:p w:rsidR="0073298C" w:rsidRDefault="0073298C" w:rsidP="0073298C">
            <w:pPr>
              <w:rPr>
                <w:sz w:val="16"/>
                <w:szCs w:val="16"/>
              </w:rPr>
            </w:pPr>
            <w:r>
              <w:rPr>
                <w:sz w:val="16"/>
                <w:szCs w:val="16"/>
              </w:rPr>
              <w:t> </w:t>
            </w:r>
          </w:p>
        </w:tc>
        <w:tc>
          <w:tcPr>
            <w:tcW w:w="105" w:type="dxa"/>
            <w:gridSpan w:val="2"/>
            <w:tcBorders>
              <w:top w:val="nil"/>
              <w:left w:val="nil"/>
              <w:bottom w:val="nil"/>
              <w:right w:val="nil"/>
            </w:tcBorders>
            <w:shd w:val="clear" w:color="CFD4D8" w:fill="CFD4D8"/>
            <w:vAlign w:val="bottom"/>
          </w:tcPr>
          <w:p w:rsidR="0073298C" w:rsidRDefault="0073298C" w:rsidP="0073298C">
            <w:pPr>
              <w:spacing w:before="22" w:after="22"/>
              <w:ind w:left="22" w:right="22"/>
              <w:rPr>
                <w:color w:val="000000"/>
              </w:rPr>
            </w:pPr>
            <w:r>
              <w:rPr>
                <w:color w:val="000000"/>
              </w:rPr>
              <w:t> </w:t>
            </w:r>
          </w:p>
        </w:tc>
        <w:tc>
          <w:tcPr>
            <w:tcW w:w="1057" w:type="dxa"/>
            <w:gridSpan w:val="4"/>
            <w:tcBorders>
              <w:top w:val="nil"/>
              <w:left w:val="nil"/>
              <w:bottom w:val="nil"/>
              <w:right w:val="nil"/>
            </w:tcBorders>
            <w:shd w:val="clear" w:color="CFD4D8" w:fill="CFD4D8"/>
            <w:vAlign w:val="center"/>
          </w:tcPr>
          <w:p w:rsidR="0073298C" w:rsidRDefault="0073298C" w:rsidP="0073298C">
            <w:pPr>
              <w:spacing w:before="22" w:after="22"/>
              <w:ind w:left="22"/>
              <w:jc w:val="right"/>
              <w:rPr>
                <w:rFonts w:ascii="Arial" w:hAnsi="Arial" w:cs="Arial"/>
                <w:color w:val="000000"/>
                <w:sz w:val="16"/>
                <w:szCs w:val="16"/>
              </w:rPr>
            </w:pPr>
            <w:r>
              <w:rPr>
                <w:rFonts w:ascii="Arial" w:hAnsi="Arial" w:cs="Arial"/>
                <w:color w:val="000000"/>
                <w:sz w:val="16"/>
                <w:szCs w:val="16"/>
              </w:rPr>
              <w:t>0.24</w:t>
            </w:r>
          </w:p>
        </w:tc>
        <w:tc>
          <w:tcPr>
            <w:tcW w:w="168" w:type="dxa"/>
            <w:gridSpan w:val="3"/>
            <w:tcBorders>
              <w:top w:val="nil"/>
              <w:left w:val="nil"/>
              <w:bottom w:val="nil"/>
              <w:right w:val="single" w:sz="6" w:space="0" w:color="00467E"/>
            </w:tcBorders>
            <w:shd w:val="clear" w:color="CFD4D8" w:fill="CFD4D8"/>
            <w:vAlign w:val="bottom"/>
          </w:tcPr>
          <w:p w:rsidR="0073298C" w:rsidRDefault="0073298C" w:rsidP="0073298C">
            <w:pPr>
              <w:spacing w:before="22" w:after="22"/>
              <w:ind w:left="22"/>
              <w:jc w:val="right"/>
              <w:rPr>
                <w:rFonts w:ascii="Arial" w:hAnsi="Arial" w:cs="Arial"/>
                <w:color w:val="000000"/>
                <w:sz w:val="16"/>
                <w:szCs w:val="16"/>
              </w:rPr>
            </w:pPr>
          </w:p>
          <w:p w:rsidR="0073298C" w:rsidRDefault="0073298C" w:rsidP="0073298C">
            <w:pPr>
              <w:rPr>
                <w:sz w:val="16"/>
                <w:szCs w:val="16"/>
              </w:rPr>
            </w:pPr>
            <w:r>
              <w:rPr>
                <w:sz w:val="16"/>
                <w:szCs w:val="16"/>
              </w:rPr>
              <w:t> </w:t>
            </w:r>
          </w:p>
        </w:tc>
      </w:tr>
      <w:tr w:rsidR="0073298C" w:rsidTr="0073298C">
        <w:tblPrEx>
          <w:tblCellMar>
            <w:top w:w="0" w:type="dxa"/>
            <w:left w:w="0" w:type="dxa"/>
            <w:bottom w:w="0" w:type="dxa"/>
            <w:right w:w="0" w:type="dxa"/>
          </w:tblCellMar>
        </w:tblPrEx>
        <w:trPr>
          <w:gridAfter w:val="2"/>
          <w:wAfter w:w="27" w:type="dxa"/>
          <w:trHeight w:val="281"/>
          <w:jc w:val="center"/>
        </w:trPr>
        <w:tc>
          <w:tcPr>
            <w:tcW w:w="4217" w:type="dxa"/>
            <w:tcBorders>
              <w:top w:val="nil"/>
              <w:left w:val="single" w:sz="6" w:space="0" w:color="00467E"/>
              <w:bottom w:val="single" w:sz="6" w:space="0" w:color="00467E"/>
              <w:right w:val="nil"/>
            </w:tcBorders>
            <w:vAlign w:val="center"/>
          </w:tcPr>
          <w:p w:rsidR="0073298C" w:rsidRDefault="0073298C" w:rsidP="0073298C">
            <w:pPr>
              <w:spacing w:before="22" w:after="22"/>
              <w:ind w:left="22" w:right="22"/>
              <w:rPr>
                <w:rFonts w:ascii="Arial" w:hAnsi="Arial" w:cs="Arial"/>
                <w:color w:val="000000"/>
                <w:sz w:val="14"/>
                <w:szCs w:val="14"/>
                <w:vertAlign w:val="superscript"/>
              </w:rPr>
            </w:pPr>
            <w:r>
              <w:rPr>
                <w:rFonts w:ascii="Arial" w:hAnsi="Arial" w:cs="Arial"/>
                <w:color w:val="000000"/>
                <w:sz w:val="16"/>
                <w:szCs w:val="16"/>
              </w:rPr>
              <w:t xml:space="preserve">Operating ratio </w:t>
            </w:r>
            <w:r>
              <w:rPr>
                <w:rFonts w:ascii="Arial" w:hAnsi="Arial" w:cs="Arial"/>
                <w:color w:val="000000"/>
                <w:sz w:val="14"/>
                <w:szCs w:val="14"/>
                <w:vertAlign w:val="superscript"/>
              </w:rPr>
              <w:t>(2)</w:t>
            </w:r>
          </w:p>
        </w:tc>
        <w:tc>
          <w:tcPr>
            <w:tcW w:w="1064" w:type="dxa"/>
            <w:gridSpan w:val="4"/>
            <w:tcBorders>
              <w:top w:val="nil"/>
              <w:left w:val="nil"/>
              <w:bottom w:val="single" w:sz="6" w:space="0" w:color="00467E"/>
              <w:right w:val="nil"/>
            </w:tcBorders>
            <w:vAlign w:val="center"/>
          </w:tcPr>
          <w:p w:rsidR="0073298C" w:rsidRDefault="0073298C" w:rsidP="0073298C">
            <w:pPr>
              <w:spacing w:before="22" w:after="22"/>
              <w:ind w:left="22"/>
              <w:jc w:val="right"/>
              <w:rPr>
                <w:rFonts w:ascii="Arial" w:hAnsi="Arial" w:cs="Arial"/>
                <w:color w:val="000000"/>
                <w:sz w:val="16"/>
                <w:szCs w:val="16"/>
              </w:rPr>
            </w:pPr>
            <w:r>
              <w:rPr>
                <w:rFonts w:ascii="Arial" w:hAnsi="Arial" w:cs="Arial"/>
                <w:color w:val="000000"/>
                <w:sz w:val="16"/>
                <w:szCs w:val="16"/>
              </w:rPr>
              <w:t>91.7</w:t>
            </w:r>
          </w:p>
        </w:tc>
        <w:tc>
          <w:tcPr>
            <w:tcW w:w="162" w:type="dxa"/>
            <w:tcBorders>
              <w:top w:val="nil"/>
              <w:left w:val="nil"/>
              <w:bottom w:val="single" w:sz="6" w:space="0" w:color="00467E"/>
              <w:right w:val="nil"/>
            </w:tcBorders>
            <w:vAlign w:val="center"/>
          </w:tcPr>
          <w:p w:rsidR="0073298C" w:rsidRDefault="0073298C" w:rsidP="0073298C">
            <w:pPr>
              <w:spacing w:before="22" w:after="22"/>
              <w:ind w:right="22"/>
              <w:rPr>
                <w:rFonts w:ascii="Arial" w:hAnsi="Arial" w:cs="Arial"/>
                <w:color w:val="000000"/>
                <w:sz w:val="16"/>
                <w:szCs w:val="16"/>
              </w:rPr>
            </w:pPr>
            <w:r>
              <w:rPr>
                <w:rFonts w:ascii="Arial" w:hAnsi="Arial" w:cs="Arial"/>
                <w:color w:val="000000"/>
                <w:sz w:val="16"/>
                <w:szCs w:val="16"/>
              </w:rPr>
              <w:t>%</w:t>
            </w:r>
          </w:p>
        </w:tc>
        <w:tc>
          <w:tcPr>
            <w:tcW w:w="105" w:type="dxa"/>
            <w:gridSpan w:val="2"/>
            <w:tcBorders>
              <w:top w:val="nil"/>
              <w:left w:val="nil"/>
              <w:bottom w:val="single" w:sz="6" w:space="0" w:color="00467E"/>
              <w:right w:val="nil"/>
            </w:tcBorders>
            <w:vAlign w:val="bottom"/>
          </w:tcPr>
          <w:p w:rsidR="0073298C" w:rsidRDefault="0073298C" w:rsidP="0073298C">
            <w:pPr>
              <w:spacing w:before="22" w:after="22"/>
              <w:ind w:left="22" w:right="22"/>
              <w:rPr>
                <w:color w:val="000000"/>
              </w:rPr>
            </w:pPr>
            <w:r>
              <w:rPr>
                <w:color w:val="000000"/>
              </w:rPr>
              <w:t> </w:t>
            </w:r>
          </w:p>
        </w:tc>
        <w:tc>
          <w:tcPr>
            <w:tcW w:w="1066" w:type="dxa"/>
            <w:gridSpan w:val="5"/>
            <w:tcBorders>
              <w:top w:val="nil"/>
              <w:left w:val="nil"/>
              <w:bottom w:val="single" w:sz="6" w:space="0" w:color="00467E"/>
              <w:right w:val="nil"/>
            </w:tcBorders>
            <w:vAlign w:val="center"/>
          </w:tcPr>
          <w:p w:rsidR="0073298C" w:rsidRDefault="0073298C" w:rsidP="0073298C">
            <w:pPr>
              <w:spacing w:before="22" w:after="22"/>
              <w:ind w:left="22"/>
              <w:jc w:val="right"/>
              <w:rPr>
                <w:rFonts w:ascii="Arial" w:hAnsi="Arial" w:cs="Arial"/>
                <w:color w:val="000000"/>
                <w:sz w:val="16"/>
                <w:szCs w:val="16"/>
              </w:rPr>
            </w:pPr>
            <w:r>
              <w:rPr>
                <w:rFonts w:ascii="Arial" w:hAnsi="Arial" w:cs="Arial"/>
                <w:color w:val="000000"/>
                <w:sz w:val="16"/>
                <w:szCs w:val="16"/>
              </w:rPr>
              <w:t>86.7</w:t>
            </w:r>
          </w:p>
        </w:tc>
        <w:tc>
          <w:tcPr>
            <w:tcW w:w="162" w:type="dxa"/>
            <w:tcBorders>
              <w:top w:val="nil"/>
              <w:left w:val="nil"/>
              <w:bottom w:val="single" w:sz="6" w:space="0" w:color="00467E"/>
              <w:right w:val="nil"/>
            </w:tcBorders>
            <w:vAlign w:val="center"/>
          </w:tcPr>
          <w:p w:rsidR="0073298C" w:rsidRDefault="0073298C" w:rsidP="0073298C">
            <w:pPr>
              <w:spacing w:before="22" w:after="22"/>
              <w:ind w:right="22"/>
              <w:rPr>
                <w:rFonts w:ascii="Arial" w:hAnsi="Arial" w:cs="Arial"/>
                <w:color w:val="000000"/>
                <w:sz w:val="16"/>
                <w:szCs w:val="16"/>
              </w:rPr>
            </w:pPr>
            <w:r>
              <w:rPr>
                <w:rFonts w:ascii="Arial" w:hAnsi="Arial" w:cs="Arial"/>
                <w:color w:val="000000"/>
                <w:sz w:val="16"/>
                <w:szCs w:val="16"/>
              </w:rPr>
              <w:t>%</w:t>
            </w:r>
          </w:p>
        </w:tc>
        <w:tc>
          <w:tcPr>
            <w:tcW w:w="110" w:type="dxa"/>
            <w:tcBorders>
              <w:top w:val="nil"/>
              <w:left w:val="nil"/>
              <w:bottom w:val="single" w:sz="6" w:space="0" w:color="00467E"/>
              <w:right w:val="nil"/>
            </w:tcBorders>
            <w:vAlign w:val="bottom"/>
          </w:tcPr>
          <w:p w:rsidR="0073298C" w:rsidRDefault="0073298C" w:rsidP="0073298C">
            <w:pPr>
              <w:spacing w:before="22" w:after="22"/>
              <w:ind w:left="22" w:right="22"/>
              <w:rPr>
                <w:color w:val="000000"/>
              </w:rPr>
            </w:pPr>
            <w:r>
              <w:rPr>
                <w:color w:val="000000"/>
              </w:rPr>
              <w:t> </w:t>
            </w:r>
          </w:p>
        </w:tc>
        <w:tc>
          <w:tcPr>
            <w:tcW w:w="1066" w:type="dxa"/>
            <w:gridSpan w:val="3"/>
            <w:tcBorders>
              <w:top w:val="nil"/>
              <w:left w:val="nil"/>
              <w:bottom w:val="single" w:sz="6" w:space="0" w:color="00467E"/>
              <w:right w:val="nil"/>
            </w:tcBorders>
            <w:vAlign w:val="center"/>
          </w:tcPr>
          <w:p w:rsidR="0073298C" w:rsidRDefault="0073298C" w:rsidP="0073298C">
            <w:pPr>
              <w:spacing w:before="22" w:after="22"/>
              <w:ind w:left="22"/>
              <w:jc w:val="right"/>
              <w:rPr>
                <w:rFonts w:ascii="Arial" w:hAnsi="Arial" w:cs="Arial"/>
                <w:color w:val="000000"/>
                <w:sz w:val="16"/>
                <w:szCs w:val="16"/>
              </w:rPr>
            </w:pPr>
            <w:r>
              <w:rPr>
                <w:rFonts w:ascii="Arial" w:hAnsi="Arial" w:cs="Arial"/>
                <w:color w:val="000000"/>
                <w:sz w:val="16"/>
                <w:szCs w:val="16"/>
              </w:rPr>
              <w:t>85.0</w:t>
            </w:r>
          </w:p>
        </w:tc>
        <w:tc>
          <w:tcPr>
            <w:tcW w:w="162" w:type="dxa"/>
            <w:gridSpan w:val="2"/>
            <w:tcBorders>
              <w:top w:val="nil"/>
              <w:left w:val="nil"/>
              <w:bottom w:val="single" w:sz="6" w:space="0" w:color="00467E"/>
              <w:right w:val="nil"/>
            </w:tcBorders>
            <w:vAlign w:val="center"/>
          </w:tcPr>
          <w:p w:rsidR="0073298C" w:rsidRDefault="0073298C" w:rsidP="0073298C">
            <w:pPr>
              <w:spacing w:before="22" w:after="22"/>
              <w:ind w:right="22"/>
              <w:rPr>
                <w:rFonts w:ascii="Arial" w:hAnsi="Arial" w:cs="Arial"/>
                <w:color w:val="000000"/>
                <w:sz w:val="16"/>
                <w:szCs w:val="16"/>
              </w:rPr>
            </w:pPr>
            <w:r>
              <w:rPr>
                <w:rFonts w:ascii="Arial" w:hAnsi="Arial" w:cs="Arial"/>
                <w:color w:val="000000"/>
                <w:sz w:val="16"/>
                <w:szCs w:val="16"/>
              </w:rPr>
              <w:t>%</w:t>
            </w:r>
          </w:p>
        </w:tc>
        <w:tc>
          <w:tcPr>
            <w:tcW w:w="105" w:type="dxa"/>
            <w:gridSpan w:val="2"/>
            <w:tcBorders>
              <w:top w:val="nil"/>
              <w:left w:val="nil"/>
              <w:bottom w:val="single" w:sz="6" w:space="0" w:color="00467E"/>
              <w:right w:val="nil"/>
            </w:tcBorders>
            <w:vAlign w:val="bottom"/>
          </w:tcPr>
          <w:p w:rsidR="0073298C" w:rsidRDefault="0073298C" w:rsidP="0073298C">
            <w:pPr>
              <w:spacing w:before="22" w:after="22"/>
              <w:ind w:left="22" w:right="22"/>
              <w:rPr>
                <w:color w:val="000000"/>
              </w:rPr>
            </w:pPr>
            <w:r>
              <w:rPr>
                <w:color w:val="000000"/>
              </w:rPr>
              <w:t> </w:t>
            </w:r>
          </w:p>
        </w:tc>
        <w:tc>
          <w:tcPr>
            <w:tcW w:w="1066" w:type="dxa"/>
            <w:gridSpan w:val="4"/>
            <w:tcBorders>
              <w:top w:val="nil"/>
              <w:left w:val="nil"/>
              <w:bottom w:val="single" w:sz="6" w:space="0" w:color="00467E"/>
              <w:right w:val="nil"/>
            </w:tcBorders>
            <w:vAlign w:val="center"/>
          </w:tcPr>
          <w:p w:rsidR="0073298C" w:rsidRDefault="0073298C" w:rsidP="0073298C">
            <w:pPr>
              <w:spacing w:before="22" w:after="22"/>
              <w:ind w:left="22"/>
              <w:jc w:val="right"/>
              <w:rPr>
                <w:rFonts w:ascii="Arial" w:hAnsi="Arial" w:cs="Arial"/>
                <w:color w:val="000000"/>
                <w:sz w:val="16"/>
                <w:szCs w:val="16"/>
              </w:rPr>
            </w:pPr>
            <w:r>
              <w:rPr>
                <w:rFonts w:ascii="Arial" w:hAnsi="Arial" w:cs="Arial"/>
                <w:color w:val="000000"/>
                <w:sz w:val="16"/>
                <w:szCs w:val="16"/>
              </w:rPr>
              <w:t>85.2</w:t>
            </w:r>
          </w:p>
        </w:tc>
        <w:tc>
          <w:tcPr>
            <w:tcW w:w="162" w:type="dxa"/>
            <w:gridSpan w:val="2"/>
            <w:tcBorders>
              <w:top w:val="nil"/>
              <w:left w:val="nil"/>
              <w:bottom w:val="single" w:sz="6" w:space="0" w:color="00467E"/>
              <w:right w:val="nil"/>
            </w:tcBorders>
            <w:vAlign w:val="center"/>
          </w:tcPr>
          <w:p w:rsidR="0073298C" w:rsidRDefault="0073298C" w:rsidP="0073298C">
            <w:pPr>
              <w:spacing w:before="22" w:after="22"/>
              <w:ind w:right="22"/>
              <w:rPr>
                <w:rFonts w:ascii="Arial" w:hAnsi="Arial" w:cs="Arial"/>
                <w:color w:val="000000"/>
                <w:sz w:val="16"/>
                <w:szCs w:val="16"/>
              </w:rPr>
            </w:pPr>
            <w:r>
              <w:rPr>
                <w:rFonts w:ascii="Arial" w:hAnsi="Arial" w:cs="Arial"/>
                <w:color w:val="000000"/>
                <w:sz w:val="16"/>
                <w:szCs w:val="16"/>
              </w:rPr>
              <w:t>%</w:t>
            </w:r>
          </w:p>
        </w:tc>
        <w:tc>
          <w:tcPr>
            <w:tcW w:w="105" w:type="dxa"/>
            <w:gridSpan w:val="2"/>
            <w:tcBorders>
              <w:top w:val="nil"/>
              <w:left w:val="nil"/>
              <w:bottom w:val="single" w:sz="6" w:space="0" w:color="00467E"/>
              <w:right w:val="nil"/>
            </w:tcBorders>
            <w:vAlign w:val="bottom"/>
          </w:tcPr>
          <w:p w:rsidR="0073298C" w:rsidRDefault="0073298C" w:rsidP="0073298C">
            <w:pPr>
              <w:spacing w:before="22" w:after="22"/>
              <w:ind w:left="22" w:right="22"/>
              <w:rPr>
                <w:color w:val="000000"/>
              </w:rPr>
            </w:pPr>
            <w:r>
              <w:rPr>
                <w:color w:val="000000"/>
              </w:rPr>
              <w:t> </w:t>
            </w:r>
          </w:p>
        </w:tc>
        <w:tc>
          <w:tcPr>
            <w:tcW w:w="1057" w:type="dxa"/>
            <w:gridSpan w:val="4"/>
            <w:tcBorders>
              <w:top w:val="nil"/>
              <w:left w:val="nil"/>
              <w:bottom w:val="single" w:sz="6" w:space="0" w:color="00467E"/>
              <w:right w:val="nil"/>
            </w:tcBorders>
            <w:vAlign w:val="center"/>
          </w:tcPr>
          <w:p w:rsidR="0073298C" w:rsidRDefault="0073298C" w:rsidP="0073298C">
            <w:pPr>
              <w:spacing w:before="22" w:after="22"/>
              <w:ind w:left="22"/>
              <w:jc w:val="right"/>
              <w:rPr>
                <w:rFonts w:ascii="Arial" w:hAnsi="Arial" w:cs="Arial"/>
                <w:color w:val="000000"/>
                <w:sz w:val="16"/>
                <w:szCs w:val="16"/>
              </w:rPr>
            </w:pPr>
            <w:r>
              <w:rPr>
                <w:rFonts w:ascii="Arial" w:hAnsi="Arial" w:cs="Arial"/>
                <w:color w:val="000000"/>
                <w:sz w:val="16"/>
                <w:szCs w:val="16"/>
              </w:rPr>
              <w:t>88.2</w:t>
            </w:r>
          </w:p>
        </w:tc>
        <w:tc>
          <w:tcPr>
            <w:tcW w:w="168" w:type="dxa"/>
            <w:gridSpan w:val="3"/>
            <w:tcBorders>
              <w:top w:val="nil"/>
              <w:left w:val="nil"/>
              <w:bottom w:val="single" w:sz="6" w:space="0" w:color="00467E"/>
              <w:right w:val="single" w:sz="6" w:space="0" w:color="00467E"/>
            </w:tcBorders>
            <w:vAlign w:val="center"/>
          </w:tcPr>
          <w:p w:rsidR="0073298C" w:rsidRDefault="0073298C" w:rsidP="0073298C">
            <w:pPr>
              <w:spacing w:before="22" w:after="22"/>
              <w:ind w:right="22"/>
              <w:rPr>
                <w:rFonts w:ascii="Arial" w:hAnsi="Arial" w:cs="Arial"/>
                <w:color w:val="000000"/>
                <w:sz w:val="16"/>
                <w:szCs w:val="16"/>
              </w:rPr>
            </w:pPr>
            <w:r>
              <w:rPr>
                <w:rFonts w:ascii="Arial" w:hAnsi="Arial" w:cs="Arial"/>
                <w:color w:val="000000"/>
                <w:sz w:val="16"/>
                <w:szCs w:val="16"/>
              </w:rPr>
              <w:t>%</w:t>
            </w:r>
          </w:p>
        </w:tc>
      </w:tr>
      <w:tr w:rsidR="0073298C" w:rsidTr="0073298C">
        <w:tblPrEx>
          <w:tblCellMar>
            <w:top w:w="0" w:type="dxa"/>
            <w:left w:w="0" w:type="dxa"/>
            <w:bottom w:w="0" w:type="dxa"/>
            <w:right w:w="0" w:type="dxa"/>
          </w:tblCellMar>
        </w:tblPrEx>
        <w:trPr>
          <w:trHeight w:val="66"/>
          <w:jc w:val="center"/>
        </w:trPr>
        <w:tc>
          <w:tcPr>
            <w:tcW w:w="10804" w:type="dxa"/>
            <w:gridSpan w:val="39"/>
            <w:tcBorders>
              <w:top w:val="nil"/>
              <w:left w:val="nil"/>
              <w:bottom w:val="nil"/>
              <w:right w:val="nil"/>
            </w:tcBorders>
            <w:vAlign w:val="center"/>
          </w:tcPr>
          <w:p w:rsidR="0073298C" w:rsidRDefault="0073298C" w:rsidP="0073298C">
            <w:pPr>
              <w:rPr>
                <w:sz w:val="16"/>
                <w:szCs w:val="16"/>
              </w:rPr>
            </w:pPr>
            <w:r>
              <w:rPr>
                <w:sz w:val="16"/>
                <w:szCs w:val="16"/>
              </w:rPr>
              <w:t> </w:t>
            </w:r>
          </w:p>
        </w:tc>
      </w:tr>
      <w:tr w:rsidR="0073298C" w:rsidTr="0073298C">
        <w:tblPrEx>
          <w:tblCellMar>
            <w:top w:w="0" w:type="dxa"/>
            <w:left w:w="0" w:type="dxa"/>
            <w:bottom w:w="0" w:type="dxa"/>
            <w:right w:w="0" w:type="dxa"/>
          </w:tblCellMar>
        </w:tblPrEx>
        <w:trPr>
          <w:trHeight w:val="298"/>
          <w:jc w:val="center"/>
        </w:trPr>
        <w:tc>
          <w:tcPr>
            <w:tcW w:w="4378" w:type="dxa"/>
            <w:gridSpan w:val="3"/>
            <w:tcBorders>
              <w:top w:val="single" w:sz="6" w:space="0" w:color="00467E"/>
              <w:left w:val="single" w:sz="6" w:space="0" w:color="00467E"/>
              <w:bottom w:val="nil"/>
              <w:right w:val="nil"/>
            </w:tcBorders>
            <w:vAlign w:val="bottom"/>
          </w:tcPr>
          <w:p w:rsidR="0073298C" w:rsidRDefault="0073298C" w:rsidP="0073298C">
            <w:pPr>
              <w:spacing w:before="22" w:after="22"/>
              <w:ind w:left="22" w:right="22"/>
              <w:rPr>
                <w:color w:val="000000"/>
              </w:rPr>
            </w:pPr>
            <w:r>
              <w:rPr>
                <w:color w:val="000000"/>
              </w:rPr>
              <w:t> </w:t>
            </w:r>
          </w:p>
        </w:tc>
        <w:tc>
          <w:tcPr>
            <w:tcW w:w="6426" w:type="dxa"/>
            <w:gridSpan w:val="36"/>
            <w:tcBorders>
              <w:top w:val="single" w:sz="6" w:space="0" w:color="00467E"/>
              <w:left w:val="nil"/>
              <w:bottom w:val="single" w:sz="6" w:space="0" w:color="000000"/>
              <w:right w:val="single" w:sz="6" w:space="0" w:color="00467E"/>
            </w:tcBorders>
            <w:vAlign w:val="bottom"/>
          </w:tcPr>
          <w:p w:rsidR="0073298C" w:rsidRDefault="0073298C" w:rsidP="0073298C">
            <w:pPr>
              <w:spacing w:before="22" w:after="22"/>
              <w:ind w:left="22"/>
              <w:jc w:val="center"/>
              <w:rPr>
                <w:rFonts w:ascii="Arial" w:hAnsi="Arial" w:cs="Arial"/>
                <w:b/>
                <w:bCs w:val="0"/>
                <w:color w:val="000000"/>
                <w:sz w:val="14"/>
                <w:szCs w:val="14"/>
              </w:rPr>
            </w:pPr>
            <w:r>
              <w:rPr>
                <w:rFonts w:ascii="Arial" w:hAnsi="Arial" w:cs="Arial"/>
                <w:b/>
                <w:bCs w:val="0"/>
                <w:color w:val="000000"/>
                <w:sz w:val="14"/>
                <w:szCs w:val="14"/>
              </w:rPr>
              <w:t>December 31,</w:t>
            </w:r>
          </w:p>
        </w:tc>
      </w:tr>
      <w:tr w:rsidR="0073298C" w:rsidTr="0073298C">
        <w:tblPrEx>
          <w:tblCellMar>
            <w:top w:w="0" w:type="dxa"/>
            <w:left w:w="0" w:type="dxa"/>
            <w:bottom w:w="0" w:type="dxa"/>
            <w:right w:w="0" w:type="dxa"/>
          </w:tblCellMar>
        </w:tblPrEx>
        <w:trPr>
          <w:gridAfter w:val="1"/>
          <w:wAfter w:w="10" w:type="dxa"/>
          <w:trHeight w:val="281"/>
          <w:jc w:val="center"/>
        </w:trPr>
        <w:tc>
          <w:tcPr>
            <w:tcW w:w="4378" w:type="dxa"/>
            <w:gridSpan w:val="3"/>
            <w:tcBorders>
              <w:top w:val="nil"/>
              <w:left w:val="single" w:sz="6" w:space="0" w:color="00467E"/>
              <w:bottom w:val="nil"/>
              <w:right w:val="nil"/>
            </w:tcBorders>
            <w:vAlign w:val="bottom"/>
          </w:tcPr>
          <w:p w:rsidR="0073298C" w:rsidRDefault="0073298C" w:rsidP="0073298C">
            <w:pPr>
              <w:spacing w:before="22" w:after="22"/>
              <w:ind w:left="22" w:right="22"/>
              <w:rPr>
                <w:rFonts w:ascii="Arial" w:hAnsi="Arial" w:cs="Arial"/>
                <w:b/>
                <w:bCs w:val="0"/>
                <w:i/>
                <w:iCs/>
                <w:color w:val="9D1B11"/>
                <w:sz w:val="16"/>
                <w:szCs w:val="16"/>
              </w:rPr>
            </w:pPr>
            <w:r>
              <w:rPr>
                <w:rFonts w:ascii="Arial" w:hAnsi="Arial" w:cs="Arial"/>
                <w:b/>
                <w:bCs w:val="0"/>
                <w:i/>
                <w:iCs/>
                <w:color w:val="9D1B11"/>
                <w:sz w:val="16"/>
                <w:szCs w:val="16"/>
              </w:rPr>
              <w:t>Consolidated balance sheet GAAP data</w:t>
            </w:r>
            <w:r>
              <w:rPr>
                <w:rFonts w:ascii="Arial" w:hAnsi="Arial" w:cs="Arial"/>
                <w:b/>
                <w:bCs w:val="0"/>
                <w:i/>
                <w:iCs/>
                <w:color w:val="9D1B11"/>
                <w:sz w:val="14"/>
                <w:szCs w:val="14"/>
                <w:vertAlign w:val="superscript"/>
              </w:rPr>
              <w:t>(1)</w:t>
            </w:r>
            <w:r>
              <w:rPr>
                <w:rFonts w:ascii="Arial" w:hAnsi="Arial" w:cs="Arial"/>
                <w:b/>
                <w:bCs w:val="0"/>
                <w:i/>
                <w:iCs/>
                <w:color w:val="9D1B11"/>
                <w:sz w:val="16"/>
                <w:szCs w:val="16"/>
              </w:rPr>
              <w:t>:</w:t>
            </w:r>
          </w:p>
        </w:tc>
        <w:tc>
          <w:tcPr>
            <w:tcW w:w="1199" w:type="dxa"/>
            <w:gridSpan w:val="6"/>
            <w:tcBorders>
              <w:top w:val="nil"/>
              <w:left w:val="nil"/>
              <w:bottom w:val="single" w:sz="6" w:space="0" w:color="000000"/>
              <w:right w:val="nil"/>
            </w:tcBorders>
            <w:vAlign w:val="bottom"/>
          </w:tcPr>
          <w:p w:rsidR="0073298C" w:rsidRDefault="0073298C" w:rsidP="0073298C">
            <w:pPr>
              <w:spacing w:before="22" w:after="22"/>
              <w:ind w:left="22" w:right="22"/>
              <w:jc w:val="center"/>
              <w:rPr>
                <w:rFonts w:ascii="Arial" w:hAnsi="Arial" w:cs="Arial"/>
                <w:b/>
                <w:bCs w:val="0"/>
                <w:color w:val="000000"/>
                <w:sz w:val="14"/>
                <w:szCs w:val="14"/>
              </w:rPr>
            </w:pPr>
            <w:r>
              <w:rPr>
                <w:rFonts w:ascii="Arial" w:hAnsi="Arial" w:cs="Arial"/>
                <w:b/>
                <w:bCs w:val="0"/>
                <w:color w:val="000000"/>
                <w:sz w:val="14"/>
                <w:szCs w:val="14"/>
              </w:rPr>
              <w:t>2017</w:t>
            </w:r>
          </w:p>
        </w:tc>
        <w:tc>
          <w:tcPr>
            <w:tcW w:w="107" w:type="dxa"/>
            <w:gridSpan w:val="2"/>
            <w:tcBorders>
              <w:top w:val="nil"/>
              <w:left w:val="nil"/>
              <w:bottom w:val="nil"/>
              <w:right w:val="nil"/>
            </w:tcBorders>
            <w:vAlign w:val="bottom"/>
          </w:tcPr>
          <w:p w:rsidR="0073298C" w:rsidRDefault="0073298C" w:rsidP="0073298C">
            <w:pPr>
              <w:spacing w:before="22" w:after="22"/>
              <w:ind w:left="22" w:right="22"/>
              <w:rPr>
                <w:color w:val="000000"/>
              </w:rPr>
            </w:pPr>
            <w:r>
              <w:rPr>
                <w:color w:val="000000"/>
              </w:rPr>
              <w:t> </w:t>
            </w:r>
          </w:p>
        </w:tc>
        <w:tc>
          <w:tcPr>
            <w:tcW w:w="1202" w:type="dxa"/>
            <w:gridSpan w:val="4"/>
            <w:tcBorders>
              <w:top w:val="nil"/>
              <w:left w:val="nil"/>
              <w:bottom w:val="single" w:sz="6" w:space="0" w:color="000000"/>
              <w:right w:val="nil"/>
            </w:tcBorders>
            <w:vAlign w:val="bottom"/>
          </w:tcPr>
          <w:p w:rsidR="0073298C" w:rsidRDefault="0073298C" w:rsidP="0073298C">
            <w:pPr>
              <w:spacing w:before="22" w:after="22"/>
              <w:ind w:left="22" w:right="22"/>
              <w:jc w:val="center"/>
              <w:rPr>
                <w:rFonts w:ascii="Arial" w:hAnsi="Arial" w:cs="Arial"/>
                <w:b/>
                <w:bCs w:val="0"/>
                <w:color w:val="000000"/>
                <w:sz w:val="14"/>
                <w:szCs w:val="14"/>
              </w:rPr>
            </w:pPr>
            <w:r>
              <w:rPr>
                <w:rFonts w:ascii="Arial" w:hAnsi="Arial" w:cs="Arial"/>
                <w:b/>
                <w:bCs w:val="0"/>
                <w:color w:val="000000"/>
                <w:sz w:val="14"/>
                <w:szCs w:val="14"/>
              </w:rPr>
              <w:t>2016</w:t>
            </w:r>
          </w:p>
        </w:tc>
        <w:tc>
          <w:tcPr>
            <w:tcW w:w="110" w:type="dxa"/>
            <w:tcBorders>
              <w:top w:val="nil"/>
              <w:left w:val="nil"/>
              <w:bottom w:val="nil"/>
              <w:right w:val="nil"/>
            </w:tcBorders>
            <w:vAlign w:val="bottom"/>
          </w:tcPr>
          <w:p w:rsidR="0073298C" w:rsidRDefault="0073298C" w:rsidP="0073298C">
            <w:pPr>
              <w:spacing w:before="22" w:after="22"/>
              <w:ind w:left="22" w:right="22"/>
              <w:rPr>
                <w:color w:val="000000"/>
              </w:rPr>
            </w:pPr>
            <w:r>
              <w:rPr>
                <w:color w:val="000000"/>
              </w:rPr>
              <w:t> </w:t>
            </w:r>
          </w:p>
        </w:tc>
        <w:tc>
          <w:tcPr>
            <w:tcW w:w="1199" w:type="dxa"/>
            <w:gridSpan w:val="5"/>
            <w:tcBorders>
              <w:top w:val="nil"/>
              <w:left w:val="nil"/>
              <w:bottom w:val="single" w:sz="6" w:space="0" w:color="000000"/>
              <w:right w:val="nil"/>
            </w:tcBorders>
            <w:vAlign w:val="bottom"/>
          </w:tcPr>
          <w:p w:rsidR="0073298C" w:rsidRDefault="0073298C" w:rsidP="0073298C">
            <w:pPr>
              <w:spacing w:before="22" w:after="22"/>
              <w:ind w:left="22" w:right="22"/>
              <w:jc w:val="center"/>
              <w:rPr>
                <w:rFonts w:ascii="Arial" w:hAnsi="Arial" w:cs="Arial"/>
                <w:b/>
                <w:bCs w:val="0"/>
                <w:color w:val="000000"/>
                <w:sz w:val="14"/>
                <w:szCs w:val="14"/>
              </w:rPr>
            </w:pPr>
            <w:r>
              <w:rPr>
                <w:rFonts w:ascii="Arial" w:hAnsi="Arial" w:cs="Arial"/>
                <w:b/>
                <w:bCs w:val="0"/>
                <w:color w:val="000000"/>
                <w:sz w:val="14"/>
                <w:szCs w:val="14"/>
              </w:rPr>
              <w:t>2015</w:t>
            </w:r>
          </w:p>
        </w:tc>
        <w:tc>
          <w:tcPr>
            <w:tcW w:w="107" w:type="dxa"/>
            <w:gridSpan w:val="2"/>
            <w:tcBorders>
              <w:top w:val="nil"/>
              <w:left w:val="nil"/>
              <w:bottom w:val="nil"/>
              <w:right w:val="nil"/>
            </w:tcBorders>
            <w:vAlign w:val="bottom"/>
          </w:tcPr>
          <w:p w:rsidR="0073298C" w:rsidRDefault="0073298C" w:rsidP="0073298C">
            <w:pPr>
              <w:spacing w:before="22" w:after="22"/>
              <w:ind w:left="22" w:right="22"/>
              <w:rPr>
                <w:color w:val="000000"/>
              </w:rPr>
            </w:pPr>
            <w:r>
              <w:rPr>
                <w:color w:val="000000"/>
              </w:rPr>
              <w:t> </w:t>
            </w:r>
          </w:p>
        </w:tc>
        <w:tc>
          <w:tcPr>
            <w:tcW w:w="1199" w:type="dxa"/>
            <w:gridSpan w:val="6"/>
            <w:tcBorders>
              <w:top w:val="nil"/>
              <w:left w:val="nil"/>
              <w:bottom w:val="single" w:sz="6" w:space="0" w:color="000000"/>
              <w:right w:val="nil"/>
            </w:tcBorders>
            <w:vAlign w:val="bottom"/>
          </w:tcPr>
          <w:p w:rsidR="0073298C" w:rsidRDefault="0073298C" w:rsidP="0073298C">
            <w:pPr>
              <w:spacing w:before="22" w:after="22"/>
              <w:ind w:left="22" w:right="22"/>
              <w:jc w:val="center"/>
              <w:rPr>
                <w:rFonts w:ascii="Arial" w:hAnsi="Arial" w:cs="Arial"/>
                <w:b/>
                <w:bCs w:val="0"/>
                <w:color w:val="000000"/>
                <w:sz w:val="12"/>
                <w:szCs w:val="12"/>
                <w:vertAlign w:val="superscript"/>
              </w:rPr>
            </w:pPr>
            <w:r>
              <w:rPr>
                <w:rFonts w:ascii="Arial" w:hAnsi="Arial" w:cs="Arial"/>
                <w:b/>
                <w:bCs w:val="0"/>
                <w:color w:val="000000"/>
                <w:sz w:val="14"/>
                <w:szCs w:val="14"/>
              </w:rPr>
              <w:t xml:space="preserve">2014 </w:t>
            </w:r>
            <w:r>
              <w:rPr>
                <w:rFonts w:ascii="Arial" w:hAnsi="Arial" w:cs="Arial"/>
                <w:b/>
                <w:bCs w:val="0"/>
                <w:color w:val="000000"/>
                <w:sz w:val="12"/>
                <w:szCs w:val="12"/>
                <w:vertAlign w:val="superscript"/>
              </w:rPr>
              <w:t>(8)</w:t>
            </w:r>
          </w:p>
        </w:tc>
        <w:tc>
          <w:tcPr>
            <w:tcW w:w="107" w:type="dxa"/>
            <w:gridSpan w:val="2"/>
            <w:tcBorders>
              <w:top w:val="nil"/>
              <w:left w:val="nil"/>
              <w:bottom w:val="nil"/>
              <w:right w:val="nil"/>
            </w:tcBorders>
            <w:vAlign w:val="bottom"/>
          </w:tcPr>
          <w:p w:rsidR="0073298C" w:rsidRDefault="0073298C" w:rsidP="0073298C">
            <w:pPr>
              <w:spacing w:before="22" w:after="22"/>
              <w:ind w:left="22" w:right="22"/>
              <w:rPr>
                <w:color w:val="000000"/>
              </w:rPr>
            </w:pPr>
            <w:r>
              <w:rPr>
                <w:color w:val="000000"/>
              </w:rPr>
              <w:t> </w:t>
            </w:r>
          </w:p>
        </w:tc>
        <w:tc>
          <w:tcPr>
            <w:tcW w:w="1186" w:type="dxa"/>
            <w:gridSpan w:val="7"/>
            <w:tcBorders>
              <w:top w:val="nil"/>
              <w:left w:val="nil"/>
              <w:bottom w:val="single" w:sz="6" w:space="0" w:color="000000"/>
              <w:right w:val="single" w:sz="6" w:space="0" w:color="00467E"/>
            </w:tcBorders>
            <w:vAlign w:val="bottom"/>
          </w:tcPr>
          <w:p w:rsidR="0073298C" w:rsidRDefault="0073298C" w:rsidP="0073298C">
            <w:pPr>
              <w:spacing w:before="22" w:after="22"/>
              <w:ind w:left="22" w:right="22"/>
              <w:jc w:val="center"/>
              <w:rPr>
                <w:rFonts w:ascii="Arial" w:hAnsi="Arial" w:cs="Arial"/>
                <w:b/>
                <w:bCs w:val="0"/>
                <w:color w:val="000000"/>
                <w:sz w:val="14"/>
                <w:szCs w:val="14"/>
              </w:rPr>
            </w:pPr>
            <w:r>
              <w:rPr>
                <w:rFonts w:ascii="Arial" w:hAnsi="Arial" w:cs="Arial"/>
                <w:b/>
                <w:bCs w:val="0"/>
                <w:color w:val="000000"/>
                <w:sz w:val="14"/>
                <w:szCs w:val="14"/>
              </w:rPr>
              <w:t>2013</w:t>
            </w:r>
          </w:p>
        </w:tc>
      </w:tr>
      <w:tr w:rsidR="0073298C" w:rsidTr="0073298C">
        <w:tblPrEx>
          <w:tblCellMar>
            <w:top w:w="0" w:type="dxa"/>
            <w:left w:w="0" w:type="dxa"/>
            <w:bottom w:w="0" w:type="dxa"/>
            <w:right w:w="0" w:type="dxa"/>
          </w:tblCellMar>
        </w:tblPrEx>
        <w:trPr>
          <w:trHeight w:val="281"/>
          <w:jc w:val="center"/>
        </w:trPr>
        <w:tc>
          <w:tcPr>
            <w:tcW w:w="4378" w:type="dxa"/>
            <w:gridSpan w:val="3"/>
            <w:tcBorders>
              <w:top w:val="nil"/>
              <w:left w:val="single" w:sz="6" w:space="0" w:color="00467E"/>
              <w:bottom w:val="nil"/>
              <w:right w:val="nil"/>
            </w:tcBorders>
            <w:shd w:val="clear" w:color="CFD4D8" w:fill="CFD4D8"/>
            <w:vAlign w:val="center"/>
          </w:tcPr>
          <w:p w:rsidR="0073298C" w:rsidRDefault="0073298C" w:rsidP="0073298C">
            <w:pPr>
              <w:spacing w:before="22" w:after="22"/>
              <w:ind w:left="198" w:right="22" w:hanging="198"/>
              <w:rPr>
                <w:rFonts w:ascii="Arial" w:hAnsi="Arial" w:cs="Arial"/>
                <w:color w:val="000000"/>
                <w:sz w:val="16"/>
                <w:szCs w:val="16"/>
              </w:rPr>
            </w:pPr>
            <w:r>
              <w:rPr>
                <w:rFonts w:ascii="Arial" w:hAnsi="Arial" w:cs="Arial"/>
                <w:color w:val="000000"/>
                <w:sz w:val="16"/>
                <w:szCs w:val="16"/>
              </w:rPr>
              <w:t>Working capital</w:t>
            </w:r>
          </w:p>
        </w:tc>
        <w:tc>
          <w:tcPr>
            <w:tcW w:w="121" w:type="dxa"/>
            <w:tcBorders>
              <w:top w:val="single" w:sz="6" w:space="0" w:color="000000"/>
              <w:left w:val="nil"/>
              <w:bottom w:val="nil"/>
              <w:right w:val="nil"/>
            </w:tcBorders>
            <w:shd w:val="clear" w:color="CFD4D8" w:fill="CFD4D8"/>
            <w:vAlign w:val="center"/>
          </w:tcPr>
          <w:p w:rsidR="0073298C" w:rsidRDefault="0073298C" w:rsidP="0073298C">
            <w:pPr>
              <w:spacing w:before="22" w:after="22"/>
              <w:ind w:left="22"/>
              <w:rPr>
                <w:rFonts w:ascii="Arial" w:hAnsi="Arial" w:cs="Arial"/>
                <w:color w:val="000000"/>
                <w:sz w:val="16"/>
                <w:szCs w:val="16"/>
              </w:rPr>
            </w:pPr>
            <w:r>
              <w:rPr>
                <w:rFonts w:ascii="Arial" w:hAnsi="Arial" w:cs="Arial"/>
                <w:color w:val="000000"/>
                <w:sz w:val="16"/>
                <w:szCs w:val="16"/>
              </w:rPr>
              <w:t>$</w:t>
            </w:r>
          </w:p>
        </w:tc>
        <w:tc>
          <w:tcPr>
            <w:tcW w:w="968" w:type="dxa"/>
            <w:gridSpan w:val="3"/>
            <w:tcBorders>
              <w:top w:val="single" w:sz="6" w:space="0" w:color="000000"/>
              <w:left w:val="nil"/>
              <w:bottom w:val="nil"/>
              <w:right w:val="nil"/>
            </w:tcBorders>
            <w:shd w:val="clear" w:color="CFD4D8" w:fill="CFD4D8"/>
            <w:vAlign w:val="center"/>
          </w:tcPr>
          <w:p w:rsidR="0073298C" w:rsidRDefault="0073298C" w:rsidP="0073298C">
            <w:pPr>
              <w:spacing w:before="22" w:after="22"/>
              <w:jc w:val="right"/>
              <w:rPr>
                <w:rFonts w:ascii="Arial" w:hAnsi="Arial" w:cs="Arial"/>
                <w:color w:val="000000"/>
                <w:sz w:val="16"/>
                <w:szCs w:val="16"/>
              </w:rPr>
            </w:pPr>
            <w:r>
              <w:rPr>
                <w:rFonts w:ascii="Arial" w:hAnsi="Arial" w:cs="Arial"/>
                <w:color w:val="000000"/>
                <w:sz w:val="16"/>
                <w:szCs w:val="16"/>
              </w:rPr>
              <w:t>313,657</w:t>
            </w:r>
          </w:p>
        </w:tc>
        <w:tc>
          <w:tcPr>
            <w:tcW w:w="110" w:type="dxa"/>
            <w:gridSpan w:val="2"/>
            <w:tcBorders>
              <w:top w:val="single" w:sz="6" w:space="0" w:color="000000"/>
              <w:left w:val="nil"/>
              <w:bottom w:val="nil"/>
              <w:right w:val="nil"/>
            </w:tcBorders>
            <w:shd w:val="clear" w:color="CFD4D8" w:fill="CFD4D8"/>
            <w:vAlign w:val="bottom"/>
          </w:tcPr>
          <w:p w:rsidR="0073298C" w:rsidRDefault="0073298C" w:rsidP="0073298C">
            <w:pPr>
              <w:spacing w:before="22" w:after="22"/>
              <w:jc w:val="right"/>
              <w:rPr>
                <w:rFonts w:ascii="Arial" w:hAnsi="Arial" w:cs="Arial"/>
                <w:color w:val="000000"/>
                <w:sz w:val="16"/>
                <w:szCs w:val="16"/>
              </w:rPr>
            </w:pPr>
          </w:p>
          <w:p w:rsidR="0073298C" w:rsidRDefault="0073298C" w:rsidP="0073298C">
            <w:pPr>
              <w:rPr>
                <w:sz w:val="16"/>
                <w:szCs w:val="16"/>
              </w:rPr>
            </w:pPr>
            <w:r>
              <w:rPr>
                <w:sz w:val="16"/>
                <w:szCs w:val="16"/>
              </w:rPr>
              <w:t> </w:t>
            </w:r>
          </w:p>
        </w:tc>
        <w:tc>
          <w:tcPr>
            <w:tcW w:w="107" w:type="dxa"/>
            <w:gridSpan w:val="2"/>
            <w:tcBorders>
              <w:top w:val="nil"/>
              <w:left w:val="nil"/>
              <w:bottom w:val="nil"/>
              <w:right w:val="nil"/>
            </w:tcBorders>
            <w:shd w:val="clear" w:color="CFD4D8" w:fill="CFD4D8"/>
            <w:vAlign w:val="bottom"/>
          </w:tcPr>
          <w:p w:rsidR="0073298C" w:rsidRDefault="0073298C" w:rsidP="0073298C">
            <w:pPr>
              <w:spacing w:before="22" w:after="22"/>
              <w:ind w:left="22" w:right="22"/>
              <w:rPr>
                <w:color w:val="000000"/>
              </w:rPr>
            </w:pPr>
            <w:r>
              <w:rPr>
                <w:color w:val="000000"/>
              </w:rPr>
              <w:t> </w:t>
            </w:r>
          </w:p>
        </w:tc>
        <w:tc>
          <w:tcPr>
            <w:tcW w:w="121" w:type="dxa"/>
            <w:tcBorders>
              <w:top w:val="single" w:sz="6" w:space="0" w:color="000000"/>
              <w:left w:val="nil"/>
              <w:bottom w:val="nil"/>
              <w:right w:val="nil"/>
            </w:tcBorders>
            <w:shd w:val="clear" w:color="CFD4D8" w:fill="CFD4D8"/>
            <w:vAlign w:val="center"/>
          </w:tcPr>
          <w:p w:rsidR="0073298C" w:rsidRDefault="0073298C" w:rsidP="0073298C">
            <w:pPr>
              <w:spacing w:before="22" w:after="22"/>
              <w:ind w:left="22"/>
              <w:rPr>
                <w:rFonts w:ascii="Arial" w:hAnsi="Arial" w:cs="Arial"/>
                <w:color w:val="000000"/>
                <w:sz w:val="16"/>
                <w:szCs w:val="16"/>
              </w:rPr>
            </w:pPr>
            <w:r>
              <w:rPr>
                <w:rFonts w:ascii="Arial" w:hAnsi="Arial" w:cs="Arial"/>
                <w:color w:val="000000"/>
                <w:sz w:val="16"/>
                <w:szCs w:val="16"/>
              </w:rPr>
              <w:t>$</w:t>
            </w:r>
          </w:p>
        </w:tc>
        <w:tc>
          <w:tcPr>
            <w:tcW w:w="971" w:type="dxa"/>
            <w:gridSpan w:val="2"/>
            <w:tcBorders>
              <w:top w:val="single" w:sz="6" w:space="0" w:color="000000"/>
              <w:left w:val="nil"/>
              <w:bottom w:val="nil"/>
              <w:right w:val="nil"/>
            </w:tcBorders>
            <w:shd w:val="clear" w:color="CFD4D8" w:fill="CFD4D8"/>
            <w:vAlign w:val="center"/>
          </w:tcPr>
          <w:p w:rsidR="0073298C" w:rsidRDefault="0073298C" w:rsidP="0073298C">
            <w:pPr>
              <w:spacing w:before="22" w:after="22"/>
              <w:jc w:val="right"/>
              <w:rPr>
                <w:rFonts w:ascii="Arial" w:hAnsi="Arial" w:cs="Arial"/>
                <w:color w:val="000000"/>
                <w:sz w:val="16"/>
                <w:szCs w:val="16"/>
              </w:rPr>
            </w:pPr>
            <w:r>
              <w:rPr>
                <w:rFonts w:ascii="Arial" w:hAnsi="Arial" w:cs="Arial"/>
                <w:color w:val="000000"/>
                <w:sz w:val="16"/>
                <w:szCs w:val="16"/>
              </w:rPr>
              <w:t>111,541</w:t>
            </w:r>
          </w:p>
        </w:tc>
        <w:tc>
          <w:tcPr>
            <w:tcW w:w="110" w:type="dxa"/>
            <w:tcBorders>
              <w:top w:val="single" w:sz="6" w:space="0" w:color="000000"/>
              <w:left w:val="nil"/>
              <w:bottom w:val="nil"/>
              <w:right w:val="nil"/>
            </w:tcBorders>
            <w:shd w:val="clear" w:color="CFD4D8" w:fill="CFD4D8"/>
            <w:vAlign w:val="bottom"/>
          </w:tcPr>
          <w:p w:rsidR="0073298C" w:rsidRDefault="0073298C" w:rsidP="0073298C">
            <w:pPr>
              <w:spacing w:before="22" w:after="22"/>
              <w:jc w:val="right"/>
              <w:rPr>
                <w:rFonts w:ascii="Arial" w:hAnsi="Arial" w:cs="Arial"/>
                <w:color w:val="000000"/>
                <w:sz w:val="16"/>
                <w:szCs w:val="16"/>
              </w:rPr>
            </w:pPr>
          </w:p>
          <w:p w:rsidR="0073298C" w:rsidRDefault="0073298C" w:rsidP="0073298C">
            <w:pPr>
              <w:rPr>
                <w:sz w:val="16"/>
                <w:szCs w:val="16"/>
              </w:rPr>
            </w:pPr>
            <w:r>
              <w:rPr>
                <w:sz w:val="16"/>
                <w:szCs w:val="16"/>
              </w:rPr>
              <w:t> </w:t>
            </w:r>
          </w:p>
        </w:tc>
        <w:tc>
          <w:tcPr>
            <w:tcW w:w="110" w:type="dxa"/>
            <w:tcBorders>
              <w:top w:val="nil"/>
              <w:left w:val="nil"/>
              <w:bottom w:val="nil"/>
              <w:right w:val="nil"/>
            </w:tcBorders>
            <w:shd w:val="clear" w:color="CFD4D8" w:fill="CFD4D8"/>
            <w:vAlign w:val="bottom"/>
          </w:tcPr>
          <w:p w:rsidR="0073298C" w:rsidRDefault="0073298C" w:rsidP="0073298C">
            <w:pPr>
              <w:spacing w:before="22" w:after="22"/>
              <w:ind w:left="22" w:right="22"/>
              <w:rPr>
                <w:color w:val="000000"/>
              </w:rPr>
            </w:pPr>
            <w:r>
              <w:rPr>
                <w:color w:val="000000"/>
              </w:rPr>
              <w:t> </w:t>
            </w:r>
          </w:p>
        </w:tc>
        <w:tc>
          <w:tcPr>
            <w:tcW w:w="121" w:type="dxa"/>
            <w:tcBorders>
              <w:top w:val="single" w:sz="6" w:space="0" w:color="000000"/>
              <w:left w:val="nil"/>
              <w:bottom w:val="nil"/>
              <w:right w:val="nil"/>
            </w:tcBorders>
            <w:shd w:val="clear" w:color="CFD4D8" w:fill="CFD4D8"/>
            <w:vAlign w:val="center"/>
          </w:tcPr>
          <w:p w:rsidR="0073298C" w:rsidRDefault="0073298C" w:rsidP="0073298C">
            <w:pPr>
              <w:spacing w:before="22" w:after="22"/>
              <w:ind w:left="22"/>
              <w:rPr>
                <w:rFonts w:ascii="Arial" w:hAnsi="Arial" w:cs="Arial"/>
                <w:color w:val="000000"/>
                <w:sz w:val="16"/>
                <w:szCs w:val="16"/>
              </w:rPr>
            </w:pPr>
            <w:r>
              <w:rPr>
                <w:rFonts w:ascii="Arial" w:hAnsi="Arial" w:cs="Arial"/>
                <w:color w:val="000000"/>
                <w:sz w:val="16"/>
                <w:szCs w:val="16"/>
              </w:rPr>
              <w:t>$</w:t>
            </w:r>
          </w:p>
        </w:tc>
        <w:tc>
          <w:tcPr>
            <w:tcW w:w="968" w:type="dxa"/>
            <w:gridSpan w:val="2"/>
            <w:tcBorders>
              <w:top w:val="single" w:sz="6" w:space="0" w:color="000000"/>
              <w:left w:val="nil"/>
              <w:bottom w:val="nil"/>
              <w:right w:val="nil"/>
            </w:tcBorders>
            <w:shd w:val="clear" w:color="CFD4D8" w:fill="CFD4D8"/>
            <w:vAlign w:val="center"/>
          </w:tcPr>
          <w:p w:rsidR="0073298C" w:rsidRDefault="0073298C" w:rsidP="0073298C">
            <w:pPr>
              <w:spacing w:before="22" w:after="22"/>
              <w:jc w:val="right"/>
              <w:rPr>
                <w:rFonts w:ascii="Arial" w:hAnsi="Arial" w:cs="Arial"/>
                <w:color w:val="000000"/>
                <w:sz w:val="16"/>
                <w:szCs w:val="16"/>
              </w:rPr>
            </w:pPr>
            <w:r>
              <w:rPr>
                <w:rFonts w:ascii="Arial" w:hAnsi="Arial" w:cs="Arial"/>
                <w:color w:val="000000"/>
                <w:sz w:val="16"/>
                <w:szCs w:val="16"/>
              </w:rPr>
              <w:t>164,090</w:t>
            </w:r>
          </w:p>
        </w:tc>
        <w:tc>
          <w:tcPr>
            <w:tcW w:w="110" w:type="dxa"/>
            <w:gridSpan w:val="2"/>
            <w:tcBorders>
              <w:top w:val="single" w:sz="6" w:space="0" w:color="000000"/>
              <w:left w:val="nil"/>
              <w:bottom w:val="nil"/>
              <w:right w:val="nil"/>
            </w:tcBorders>
            <w:shd w:val="clear" w:color="CFD4D8" w:fill="CFD4D8"/>
            <w:vAlign w:val="bottom"/>
          </w:tcPr>
          <w:p w:rsidR="0073298C" w:rsidRDefault="0073298C" w:rsidP="0073298C">
            <w:pPr>
              <w:spacing w:before="22" w:after="22"/>
              <w:jc w:val="right"/>
              <w:rPr>
                <w:rFonts w:ascii="Arial" w:hAnsi="Arial" w:cs="Arial"/>
                <w:color w:val="000000"/>
                <w:sz w:val="16"/>
                <w:szCs w:val="16"/>
              </w:rPr>
            </w:pPr>
          </w:p>
          <w:p w:rsidR="0073298C" w:rsidRDefault="0073298C" w:rsidP="0073298C">
            <w:pPr>
              <w:rPr>
                <w:sz w:val="16"/>
                <w:szCs w:val="16"/>
              </w:rPr>
            </w:pPr>
            <w:r>
              <w:rPr>
                <w:sz w:val="16"/>
                <w:szCs w:val="16"/>
              </w:rPr>
              <w:t> </w:t>
            </w:r>
          </w:p>
        </w:tc>
        <w:tc>
          <w:tcPr>
            <w:tcW w:w="107" w:type="dxa"/>
            <w:gridSpan w:val="2"/>
            <w:tcBorders>
              <w:top w:val="nil"/>
              <w:left w:val="nil"/>
              <w:bottom w:val="nil"/>
              <w:right w:val="nil"/>
            </w:tcBorders>
            <w:shd w:val="clear" w:color="CFD4D8" w:fill="CFD4D8"/>
            <w:vAlign w:val="bottom"/>
          </w:tcPr>
          <w:p w:rsidR="0073298C" w:rsidRDefault="0073298C" w:rsidP="0073298C">
            <w:pPr>
              <w:spacing w:before="22" w:after="22"/>
              <w:ind w:left="22" w:right="22"/>
              <w:rPr>
                <w:color w:val="000000"/>
              </w:rPr>
            </w:pPr>
            <w:r>
              <w:rPr>
                <w:color w:val="000000"/>
              </w:rPr>
              <w:t> </w:t>
            </w:r>
          </w:p>
        </w:tc>
        <w:tc>
          <w:tcPr>
            <w:tcW w:w="121" w:type="dxa"/>
            <w:gridSpan w:val="2"/>
            <w:tcBorders>
              <w:top w:val="single" w:sz="6" w:space="0" w:color="000000"/>
              <w:left w:val="nil"/>
              <w:bottom w:val="nil"/>
              <w:right w:val="nil"/>
            </w:tcBorders>
            <w:shd w:val="clear" w:color="CFD4D8" w:fill="CFD4D8"/>
            <w:vAlign w:val="center"/>
          </w:tcPr>
          <w:p w:rsidR="0073298C" w:rsidRDefault="0073298C" w:rsidP="0073298C">
            <w:pPr>
              <w:spacing w:before="22" w:after="22"/>
              <w:ind w:left="22"/>
              <w:rPr>
                <w:rFonts w:ascii="Arial" w:hAnsi="Arial" w:cs="Arial"/>
                <w:color w:val="000000"/>
                <w:sz w:val="16"/>
                <w:szCs w:val="16"/>
              </w:rPr>
            </w:pPr>
            <w:r>
              <w:rPr>
                <w:rFonts w:ascii="Arial" w:hAnsi="Arial" w:cs="Arial"/>
                <w:color w:val="000000"/>
                <w:sz w:val="16"/>
                <w:szCs w:val="16"/>
              </w:rPr>
              <w:t>$</w:t>
            </w:r>
          </w:p>
        </w:tc>
        <w:tc>
          <w:tcPr>
            <w:tcW w:w="968" w:type="dxa"/>
            <w:gridSpan w:val="2"/>
            <w:tcBorders>
              <w:top w:val="single" w:sz="6" w:space="0" w:color="000000"/>
              <w:left w:val="nil"/>
              <w:bottom w:val="nil"/>
              <w:right w:val="nil"/>
            </w:tcBorders>
            <w:shd w:val="clear" w:color="CFD4D8" w:fill="CFD4D8"/>
            <w:vAlign w:val="center"/>
          </w:tcPr>
          <w:p w:rsidR="0073298C" w:rsidRDefault="0073298C" w:rsidP="0073298C">
            <w:pPr>
              <w:spacing w:before="22" w:after="22"/>
              <w:jc w:val="right"/>
              <w:rPr>
                <w:rFonts w:ascii="Arial" w:hAnsi="Arial" w:cs="Arial"/>
                <w:color w:val="000000"/>
                <w:sz w:val="16"/>
                <w:szCs w:val="16"/>
              </w:rPr>
            </w:pPr>
            <w:r>
              <w:rPr>
                <w:rFonts w:ascii="Arial" w:hAnsi="Arial" w:cs="Arial"/>
                <w:color w:val="000000"/>
                <w:sz w:val="16"/>
                <w:szCs w:val="16"/>
              </w:rPr>
              <w:t>145,667</w:t>
            </w:r>
          </w:p>
        </w:tc>
        <w:tc>
          <w:tcPr>
            <w:tcW w:w="110" w:type="dxa"/>
            <w:gridSpan w:val="2"/>
            <w:tcBorders>
              <w:top w:val="single" w:sz="6" w:space="0" w:color="000000"/>
              <w:left w:val="nil"/>
              <w:bottom w:val="nil"/>
              <w:right w:val="nil"/>
            </w:tcBorders>
            <w:shd w:val="clear" w:color="CFD4D8" w:fill="CFD4D8"/>
            <w:vAlign w:val="bottom"/>
          </w:tcPr>
          <w:p w:rsidR="0073298C" w:rsidRDefault="0073298C" w:rsidP="0073298C">
            <w:pPr>
              <w:spacing w:before="22" w:after="22"/>
              <w:jc w:val="right"/>
              <w:rPr>
                <w:rFonts w:ascii="Arial" w:hAnsi="Arial" w:cs="Arial"/>
                <w:color w:val="000000"/>
                <w:sz w:val="16"/>
                <w:szCs w:val="16"/>
              </w:rPr>
            </w:pPr>
          </w:p>
          <w:p w:rsidR="0073298C" w:rsidRDefault="0073298C" w:rsidP="0073298C">
            <w:pPr>
              <w:rPr>
                <w:sz w:val="16"/>
                <w:szCs w:val="16"/>
              </w:rPr>
            </w:pPr>
            <w:r>
              <w:rPr>
                <w:sz w:val="16"/>
                <w:szCs w:val="16"/>
              </w:rPr>
              <w:t> </w:t>
            </w:r>
          </w:p>
        </w:tc>
        <w:tc>
          <w:tcPr>
            <w:tcW w:w="107" w:type="dxa"/>
            <w:gridSpan w:val="2"/>
            <w:tcBorders>
              <w:top w:val="nil"/>
              <w:left w:val="nil"/>
              <w:bottom w:val="nil"/>
              <w:right w:val="nil"/>
            </w:tcBorders>
            <w:shd w:val="clear" w:color="CFD4D8" w:fill="CFD4D8"/>
            <w:vAlign w:val="bottom"/>
          </w:tcPr>
          <w:p w:rsidR="0073298C" w:rsidRDefault="0073298C" w:rsidP="0073298C">
            <w:pPr>
              <w:spacing w:before="22" w:after="22"/>
              <w:ind w:left="22" w:right="22"/>
              <w:rPr>
                <w:color w:val="000000"/>
              </w:rPr>
            </w:pPr>
            <w:r>
              <w:rPr>
                <w:color w:val="000000"/>
              </w:rPr>
              <w:t> </w:t>
            </w:r>
          </w:p>
        </w:tc>
        <w:tc>
          <w:tcPr>
            <w:tcW w:w="110" w:type="dxa"/>
            <w:gridSpan w:val="2"/>
            <w:tcBorders>
              <w:top w:val="single" w:sz="6" w:space="0" w:color="000000"/>
              <w:left w:val="nil"/>
              <w:bottom w:val="nil"/>
              <w:right w:val="nil"/>
            </w:tcBorders>
            <w:shd w:val="clear" w:color="CFD4D8" w:fill="CFD4D8"/>
            <w:vAlign w:val="center"/>
          </w:tcPr>
          <w:p w:rsidR="0073298C" w:rsidRDefault="0073298C" w:rsidP="0073298C">
            <w:pPr>
              <w:spacing w:before="22" w:after="22"/>
              <w:ind w:left="22"/>
              <w:rPr>
                <w:rFonts w:ascii="Arial" w:hAnsi="Arial" w:cs="Arial"/>
                <w:color w:val="000000"/>
                <w:sz w:val="16"/>
                <w:szCs w:val="16"/>
              </w:rPr>
            </w:pPr>
            <w:r>
              <w:rPr>
                <w:rFonts w:ascii="Arial" w:hAnsi="Arial" w:cs="Arial"/>
                <w:color w:val="000000"/>
                <w:sz w:val="16"/>
                <w:szCs w:val="16"/>
              </w:rPr>
              <w:t>$</w:t>
            </w:r>
          </w:p>
        </w:tc>
        <w:tc>
          <w:tcPr>
            <w:tcW w:w="966" w:type="dxa"/>
            <w:gridSpan w:val="2"/>
            <w:tcBorders>
              <w:top w:val="single" w:sz="6" w:space="0" w:color="000000"/>
              <w:left w:val="nil"/>
              <w:bottom w:val="nil"/>
              <w:right w:val="nil"/>
            </w:tcBorders>
            <w:shd w:val="clear" w:color="CFD4D8" w:fill="CFD4D8"/>
            <w:vAlign w:val="center"/>
          </w:tcPr>
          <w:p w:rsidR="0073298C" w:rsidRDefault="0073298C" w:rsidP="0073298C">
            <w:pPr>
              <w:spacing w:before="22" w:after="22"/>
              <w:jc w:val="right"/>
              <w:rPr>
                <w:rFonts w:ascii="Arial" w:hAnsi="Arial" w:cs="Arial"/>
                <w:color w:val="000000"/>
                <w:sz w:val="16"/>
                <w:szCs w:val="16"/>
              </w:rPr>
            </w:pPr>
            <w:r>
              <w:rPr>
                <w:rFonts w:ascii="Arial" w:hAnsi="Arial" w:cs="Arial"/>
                <w:color w:val="000000"/>
                <w:sz w:val="16"/>
                <w:szCs w:val="16"/>
              </w:rPr>
              <w:t>101,768</w:t>
            </w:r>
          </w:p>
        </w:tc>
        <w:tc>
          <w:tcPr>
            <w:tcW w:w="120" w:type="dxa"/>
            <w:gridSpan w:val="4"/>
            <w:tcBorders>
              <w:top w:val="single" w:sz="6" w:space="0" w:color="000000"/>
              <w:left w:val="nil"/>
              <w:bottom w:val="nil"/>
              <w:right w:val="single" w:sz="6" w:space="0" w:color="00467E"/>
            </w:tcBorders>
            <w:shd w:val="clear" w:color="CFD4D8" w:fill="CFD4D8"/>
            <w:vAlign w:val="bottom"/>
          </w:tcPr>
          <w:p w:rsidR="0073298C" w:rsidRDefault="0073298C" w:rsidP="0073298C">
            <w:pPr>
              <w:spacing w:before="22" w:after="22"/>
              <w:jc w:val="right"/>
              <w:rPr>
                <w:rFonts w:ascii="Arial" w:hAnsi="Arial" w:cs="Arial"/>
                <w:color w:val="000000"/>
                <w:sz w:val="16"/>
                <w:szCs w:val="16"/>
              </w:rPr>
            </w:pPr>
          </w:p>
          <w:p w:rsidR="0073298C" w:rsidRDefault="0073298C" w:rsidP="0073298C">
            <w:pPr>
              <w:rPr>
                <w:sz w:val="16"/>
                <w:szCs w:val="16"/>
              </w:rPr>
            </w:pPr>
            <w:r>
              <w:rPr>
                <w:sz w:val="16"/>
                <w:szCs w:val="16"/>
              </w:rPr>
              <w:t> </w:t>
            </w:r>
          </w:p>
        </w:tc>
      </w:tr>
      <w:tr w:rsidR="0073298C" w:rsidTr="0073298C">
        <w:tblPrEx>
          <w:tblCellMar>
            <w:top w:w="0" w:type="dxa"/>
            <w:left w:w="0" w:type="dxa"/>
            <w:bottom w:w="0" w:type="dxa"/>
            <w:right w:w="0" w:type="dxa"/>
          </w:tblCellMar>
        </w:tblPrEx>
        <w:trPr>
          <w:trHeight w:val="281"/>
          <w:jc w:val="center"/>
        </w:trPr>
        <w:tc>
          <w:tcPr>
            <w:tcW w:w="4378" w:type="dxa"/>
            <w:gridSpan w:val="3"/>
            <w:tcBorders>
              <w:top w:val="nil"/>
              <w:left w:val="single" w:sz="6" w:space="0" w:color="00467E"/>
              <w:bottom w:val="nil"/>
              <w:right w:val="nil"/>
            </w:tcBorders>
            <w:vAlign w:val="center"/>
          </w:tcPr>
          <w:p w:rsidR="0073298C" w:rsidRDefault="0073298C" w:rsidP="0073298C">
            <w:pPr>
              <w:spacing w:before="22" w:after="22"/>
              <w:ind w:left="22" w:right="22"/>
              <w:rPr>
                <w:rFonts w:ascii="Arial" w:hAnsi="Arial" w:cs="Arial"/>
                <w:color w:val="000000"/>
                <w:sz w:val="16"/>
                <w:szCs w:val="16"/>
              </w:rPr>
            </w:pPr>
            <w:r>
              <w:rPr>
                <w:rFonts w:ascii="Arial" w:hAnsi="Arial" w:cs="Arial"/>
                <w:color w:val="000000"/>
                <w:sz w:val="16"/>
                <w:szCs w:val="16"/>
              </w:rPr>
              <w:t>Total assets</w:t>
            </w:r>
          </w:p>
        </w:tc>
        <w:tc>
          <w:tcPr>
            <w:tcW w:w="1089" w:type="dxa"/>
            <w:gridSpan w:val="4"/>
            <w:tcBorders>
              <w:top w:val="nil"/>
              <w:left w:val="nil"/>
              <w:bottom w:val="nil"/>
              <w:right w:val="nil"/>
            </w:tcBorders>
            <w:vAlign w:val="center"/>
          </w:tcPr>
          <w:p w:rsidR="0073298C" w:rsidRDefault="0073298C" w:rsidP="0073298C">
            <w:pPr>
              <w:spacing w:before="22" w:after="22"/>
              <w:ind w:left="22"/>
              <w:jc w:val="right"/>
              <w:rPr>
                <w:rFonts w:ascii="Arial" w:hAnsi="Arial" w:cs="Arial"/>
                <w:color w:val="000000"/>
                <w:sz w:val="16"/>
                <w:szCs w:val="16"/>
              </w:rPr>
            </w:pPr>
            <w:r>
              <w:rPr>
                <w:rFonts w:ascii="Arial" w:hAnsi="Arial" w:cs="Arial"/>
                <w:color w:val="000000"/>
                <w:sz w:val="16"/>
                <w:szCs w:val="16"/>
              </w:rPr>
              <w:t>7,683,442</w:t>
            </w:r>
          </w:p>
        </w:tc>
        <w:tc>
          <w:tcPr>
            <w:tcW w:w="110" w:type="dxa"/>
            <w:gridSpan w:val="2"/>
            <w:tcBorders>
              <w:top w:val="nil"/>
              <w:left w:val="nil"/>
              <w:bottom w:val="nil"/>
              <w:right w:val="nil"/>
            </w:tcBorders>
            <w:vAlign w:val="bottom"/>
          </w:tcPr>
          <w:p w:rsidR="0073298C" w:rsidRDefault="0073298C" w:rsidP="0073298C">
            <w:pPr>
              <w:spacing w:before="22" w:after="22"/>
              <w:ind w:left="22"/>
              <w:jc w:val="right"/>
              <w:rPr>
                <w:rFonts w:ascii="Arial" w:hAnsi="Arial" w:cs="Arial"/>
                <w:color w:val="000000"/>
                <w:sz w:val="16"/>
                <w:szCs w:val="16"/>
              </w:rPr>
            </w:pPr>
          </w:p>
          <w:p w:rsidR="0073298C" w:rsidRDefault="0073298C" w:rsidP="0073298C">
            <w:pPr>
              <w:rPr>
                <w:sz w:val="16"/>
                <w:szCs w:val="16"/>
              </w:rPr>
            </w:pPr>
            <w:r>
              <w:rPr>
                <w:sz w:val="16"/>
                <w:szCs w:val="16"/>
              </w:rPr>
              <w:t> </w:t>
            </w:r>
          </w:p>
        </w:tc>
        <w:tc>
          <w:tcPr>
            <w:tcW w:w="107" w:type="dxa"/>
            <w:gridSpan w:val="2"/>
            <w:tcBorders>
              <w:top w:val="nil"/>
              <w:left w:val="nil"/>
              <w:bottom w:val="nil"/>
              <w:right w:val="nil"/>
            </w:tcBorders>
            <w:vAlign w:val="bottom"/>
          </w:tcPr>
          <w:p w:rsidR="0073298C" w:rsidRDefault="0073298C" w:rsidP="0073298C">
            <w:pPr>
              <w:spacing w:before="22" w:after="22"/>
              <w:ind w:left="22" w:right="22"/>
              <w:rPr>
                <w:color w:val="000000"/>
              </w:rPr>
            </w:pPr>
            <w:r>
              <w:rPr>
                <w:color w:val="000000"/>
              </w:rPr>
              <w:t> </w:t>
            </w:r>
          </w:p>
        </w:tc>
        <w:tc>
          <w:tcPr>
            <w:tcW w:w="1092" w:type="dxa"/>
            <w:gridSpan w:val="3"/>
            <w:tcBorders>
              <w:top w:val="nil"/>
              <w:left w:val="nil"/>
              <w:bottom w:val="nil"/>
              <w:right w:val="nil"/>
            </w:tcBorders>
            <w:vAlign w:val="center"/>
          </w:tcPr>
          <w:p w:rsidR="0073298C" w:rsidRDefault="0073298C" w:rsidP="0073298C">
            <w:pPr>
              <w:spacing w:before="22" w:after="22"/>
              <w:ind w:left="22"/>
              <w:jc w:val="right"/>
              <w:rPr>
                <w:rFonts w:ascii="Arial" w:hAnsi="Arial" w:cs="Arial"/>
                <w:color w:val="000000"/>
                <w:sz w:val="16"/>
                <w:szCs w:val="16"/>
              </w:rPr>
            </w:pPr>
            <w:r>
              <w:rPr>
                <w:rFonts w:ascii="Arial" w:hAnsi="Arial" w:cs="Arial"/>
                <w:color w:val="000000"/>
                <w:sz w:val="16"/>
                <w:szCs w:val="16"/>
              </w:rPr>
              <w:t>1,078,525</w:t>
            </w:r>
          </w:p>
        </w:tc>
        <w:tc>
          <w:tcPr>
            <w:tcW w:w="110" w:type="dxa"/>
            <w:tcBorders>
              <w:top w:val="nil"/>
              <w:left w:val="nil"/>
              <w:bottom w:val="nil"/>
              <w:right w:val="nil"/>
            </w:tcBorders>
            <w:vAlign w:val="bottom"/>
          </w:tcPr>
          <w:p w:rsidR="0073298C" w:rsidRDefault="0073298C" w:rsidP="0073298C">
            <w:pPr>
              <w:spacing w:before="22" w:after="22"/>
              <w:ind w:left="22"/>
              <w:jc w:val="right"/>
              <w:rPr>
                <w:rFonts w:ascii="Arial" w:hAnsi="Arial" w:cs="Arial"/>
                <w:color w:val="000000"/>
                <w:sz w:val="16"/>
                <w:szCs w:val="16"/>
              </w:rPr>
            </w:pPr>
          </w:p>
          <w:p w:rsidR="0073298C" w:rsidRDefault="0073298C" w:rsidP="0073298C">
            <w:pPr>
              <w:rPr>
                <w:sz w:val="16"/>
                <w:szCs w:val="16"/>
              </w:rPr>
            </w:pPr>
            <w:r>
              <w:rPr>
                <w:sz w:val="16"/>
                <w:szCs w:val="16"/>
              </w:rPr>
              <w:t> </w:t>
            </w:r>
          </w:p>
        </w:tc>
        <w:tc>
          <w:tcPr>
            <w:tcW w:w="110" w:type="dxa"/>
            <w:tcBorders>
              <w:top w:val="nil"/>
              <w:left w:val="nil"/>
              <w:bottom w:val="nil"/>
              <w:right w:val="nil"/>
            </w:tcBorders>
            <w:vAlign w:val="bottom"/>
          </w:tcPr>
          <w:p w:rsidR="0073298C" w:rsidRDefault="0073298C" w:rsidP="0073298C">
            <w:pPr>
              <w:spacing w:before="22" w:after="22"/>
              <w:ind w:left="22" w:right="22"/>
              <w:rPr>
                <w:color w:val="000000"/>
              </w:rPr>
            </w:pPr>
            <w:r>
              <w:rPr>
                <w:color w:val="000000"/>
              </w:rPr>
              <w:t> </w:t>
            </w:r>
          </w:p>
        </w:tc>
        <w:tc>
          <w:tcPr>
            <w:tcW w:w="1089" w:type="dxa"/>
            <w:gridSpan w:val="3"/>
            <w:tcBorders>
              <w:top w:val="nil"/>
              <w:left w:val="nil"/>
              <w:bottom w:val="nil"/>
              <w:right w:val="nil"/>
            </w:tcBorders>
            <w:vAlign w:val="center"/>
          </w:tcPr>
          <w:p w:rsidR="0073298C" w:rsidRDefault="0073298C" w:rsidP="0073298C">
            <w:pPr>
              <w:spacing w:before="22" w:after="22"/>
              <w:ind w:left="22"/>
              <w:jc w:val="right"/>
              <w:rPr>
                <w:rFonts w:ascii="Arial" w:hAnsi="Arial" w:cs="Arial"/>
                <w:color w:val="000000"/>
                <w:sz w:val="16"/>
                <w:szCs w:val="16"/>
              </w:rPr>
            </w:pPr>
            <w:r>
              <w:rPr>
                <w:rFonts w:ascii="Arial" w:hAnsi="Arial" w:cs="Arial"/>
                <w:color w:val="000000"/>
                <w:sz w:val="16"/>
                <w:szCs w:val="16"/>
              </w:rPr>
              <w:t>1,120,232</w:t>
            </w:r>
          </w:p>
        </w:tc>
        <w:tc>
          <w:tcPr>
            <w:tcW w:w="110" w:type="dxa"/>
            <w:gridSpan w:val="2"/>
            <w:tcBorders>
              <w:top w:val="nil"/>
              <w:left w:val="nil"/>
              <w:bottom w:val="nil"/>
              <w:right w:val="nil"/>
            </w:tcBorders>
            <w:vAlign w:val="bottom"/>
          </w:tcPr>
          <w:p w:rsidR="0073298C" w:rsidRDefault="0073298C" w:rsidP="0073298C">
            <w:pPr>
              <w:spacing w:before="22" w:after="22"/>
              <w:ind w:left="22"/>
              <w:jc w:val="right"/>
              <w:rPr>
                <w:rFonts w:ascii="Arial" w:hAnsi="Arial" w:cs="Arial"/>
                <w:color w:val="000000"/>
                <w:sz w:val="16"/>
                <w:szCs w:val="16"/>
              </w:rPr>
            </w:pPr>
          </w:p>
          <w:p w:rsidR="0073298C" w:rsidRDefault="0073298C" w:rsidP="0073298C">
            <w:pPr>
              <w:rPr>
                <w:sz w:val="16"/>
                <w:szCs w:val="16"/>
              </w:rPr>
            </w:pPr>
            <w:r>
              <w:rPr>
                <w:sz w:val="16"/>
                <w:szCs w:val="16"/>
              </w:rPr>
              <w:t> </w:t>
            </w:r>
          </w:p>
        </w:tc>
        <w:tc>
          <w:tcPr>
            <w:tcW w:w="107" w:type="dxa"/>
            <w:gridSpan w:val="2"/>
            <w:tcBorders>
              <w:top w:val="nil"/>
              <w:left w:val="nil"/>
              <w:bottom w:val="nil"/>
              <w:right w:val="nil"/>
            </w:tcBorders>
            <w:vAlign w:val="bottom"/>
          </w:tcPr>
          <w:p w:rsidR="0073298C" w:rsidRDefault="0073298C" w:rsidP="0073298C">
            <w:pPr>
              <w:spacing w:before="22" w:after="22"/>
              <w:ind w:left="22" w:right="22"/>
              <w:rPr>
                <w:color w:val="000000"/>
              </w:rPr>
            </w:pPr>
            <w:r>
              <w:rPr>
                <w:color w:val="000000"/>
              </w:rPr>
              <w:t> </w:t>
            </w:r>
          </w:p>
        </w:tc>
        <w:tc>
          <w:tcPr>
            <w:tcW w:w="1089" w:type="dxa"/>
            <w:gridSpan w:val="4"/>
            <w:tcBorders>
              <w:top w:val="nil"/>
              <w:left w:val="nil"/>
              <w:bottom w:val="nil"/>
              <w:right w:val="nil"/>
            </w:tcBorders>
            <w:vAlign w:val="center"/>
          </w:tcPr>
          <w:p w:rsidR="0073298C" w:rsidRDefault="0073298C" w:rsidP="0073298C">
            <w:pPr>
              <w:spacing w:before="22" w:after="22"/>
              <w:ind w:left="22"/>
              <w:jc w:val="right"/>
              <w:rPr>
                <w:rFonts w:ascii="Arial" w:hAnsi="Arial" w:cs="Arial"/>
                <w:color w:val="000000"/>
                <w:sz w:val="16"/>
                <w:szCs w:val="16"/>
              </w:rPr>
            </w:pPr>
            <w:r>
              <w:rPr>
                <w:rFonts w:ascii="Arial" w:hAnsi="Arial" w:cs="Arial"/>
                <w:color w:val="000000"/>
                <w:sz w:val="16"/>
                <w:szCs w:val="16"/>
              </w:rPr>
              <w:t>1,082,285</w:t>
            </w:r>
          </w:p>
        </w:tc>
        <w:tc>
          <w:tcPr>
            <w:tcW w:w="110" w:type="dxa"/>
            <w:gridSpan w:val="2"/>
            <w:tcBorders>
              <w:top w:val="nil"/>
              <w:left w:val="nil"/>
              <w:bottom w:val="nil"/>
              <w:right w:val="nil"/>
            </w:tcBorders>
            <w:vAlign w:val="bottom"/>
          </w:tcPr>
          <w:p w:rsidR="0073298C" w:rsidRDefault="0073298C" w:rsidP="0073298C">
            <w:pPr>
              <w:spacing w:before="22" w:after="22"/>
              <w:ind w:left="22"/>
              <w:jc w:val="right"/>
              <w:rPr>
                <w:rFonts w:ascii="Arial" w:hAnsi="Arial" w:cs="Arial"/>
                <w:color w:val="000000"/>
                <w:sz w:val="16"/>
                <w:szCs w:val="16"/>
              </w:rPr>
            </w:pPr>
          </w:p>
          <w:p w:rsidR="0073298C" w:rsidRDefault="0073298C" w:rsidP="0073298C">
            <w:pPr>
              <w:rPr>
                <w:sz w:val="16"/>
                <w:szCs w:val="16"/>
              </w:rPr>
            </w:pPr>
            <w:r>
              <w:rPr>
                <w:sz w:val="16"/>
                <w:szCs w:val="16"/>
              </w:rPr>
              <w:t> </w:t>
            </w:r>
          </w:p>
        </w:tc>
        <w:tc>
          <w:tcPr>
            <w:tcW w:w="107" w:type="dxa"/>
            <w:gridSpan w:val="2"/>
            <w:tcBorders>
              <w:top w:val="nil"/>
              <w:left w:val="nil"/>
              <w:bottom w:val="nil"/>
              <w:right w:val="nil"/>
            </w:tcBorders>
            <w:vAlign w:val="bottom"/>
          </w:tcPr>
          <w:p w:rsidR="0073298C" w:rsidRDefault="0073298C" w:rsidP="0073298C">
            <w:pPr>
              <w:spacing w:before="22" w:after="22"/>
              <w:ind w:left="22" w:right="22"/>
              <w:rPr>
                <w:color w:val="000000"/>
              </w:rPr>
            </w:pPr>
            <w:r>
              <w:rPr>
                <w:color w:val="000000"/>
              </w:rPr>
              <w:t> </w:t>
            </w:r>
          </w:p>
        </w:tc>
        <w:tc>
          <w:tcPr>
            <w:tcW w:w="1076" w:type="dxa"/>
            <w:gridSpan w:val="4"/>
            <w:tcBorders>
              <w:top w:val="nil"/>
              <w:left w:val="nil"/>
              <w:bottom w:val="nil"/>
              <w:right w:val="nil"/>
            </w:tcBorders>
            <w:vAlign w:val="center"/>
          </w:tcPr>
          <w:p w:rsidR="0073298C" w:rsidRDefault="0073298C" w:rsidP="0073298C">
            <w:pPr>
              <w:spacing w:before="22" w:after="22"/>
              <w:ind w:left="22"/>
              <w:jc w:val="right"/>
              <w:rPr>
                <w:rFonts w:ascii="Arial" w:hAnsi="Arial" w:cs="Arial"/>
                <w:color w:val="000000"/>
                <w:sz w:val="16"/>
                <w:szCs w:val="16"/>
              </w:rPr>
            </w:pPr>
            <w:r>
              <w:rPr>
                <w:rFonts w:ascii="Arial" w:hAnsi="Arial" w:cs="Arial"/>
                <w:color w:val="000000"/>
                <w:sz w:val="16"/>
                <w:szCs w:val="16"/>
              </w:rPr>
              <w:t>807,121</w:t>
            </w:r>
          </w:p>
        </w:tc>
        <w:tc>
          <w:tcPr>
            <w:tcW w:w="120" w:type="dxa"/>
            <w:gridSpan w:val="4"/>
            <w:tcBorders>
              <w:top w:val="nil"/>
              <w:left w:val="nil"/>
              <w:bottom w:val="nil"/>
              <w:right w:val="single" w:sz="6" w:space="0" w:color="00467E"/>
            </w:tcBorders>
            <w:vAlign w:val="bottom"/>
          </w:tcPr>
          <w:p w:rsidR="0073298C" w:rsidRDefault="0073298C" w:rsidP="0073298C">
            <w:pPr>
              <w:spacing w:before="22" w:after="22"/>
              <w:ind w:left="22"/>
              <w:jc w:val="right"/>
              <w:rPr>
                <w:rFonts w:ascii="Arial" w:hAnsi="Arial" w:cs="Arial"/>
                <w:color w:val="000000"/>
                <w:sz w:val="16"/>
                <w:szCs w:val="16"/>
              </w:rPr>
            </w:pPr>
          </w:p>
          <w:p w:rsidR="0073298C" w:rsidRDefault="0073298C" w:rsidP="0073298C">
            <w:pPr>
              <w:rPr>
                <w:sz w:val="16"/>
                <w:szCs w:val="16"/>
              </w:rPr>
            </w:pPr>
            <w:r>
              <w:rPr>
                <w:sz w:val="16"/>
                <w:szCs w:val="16"/>
              </w:rPr>
              <w:t> </w:t>
            </w:r>
          </w:p>
        </w:tc>
      </w:tr>
      <w:tr w:rsidR="0073298C" w:rsidTr="0073298C">
        <w:tblPrEx>
          <w:tblCellMar>
            <w:top w:w="0" w:type="dxa"/>
            <w:left w:w="0" w:type="dxa"/>
            <w:bottom w:w="0" w:type="dxa"/>
            <w:right w:w="0" w:type="dxa"/>
          </w:tblCellMar>
        </w:tblPrEx>
        <w:trPr>
          <w:trHeight w:val="281"/>
          <w:jc w:val="center"/>
        </w:trPr>
        <w:tc>
          <w:tcPr>
            <w:tcW w:w="4378" w:type="dxa"/>
            <w:gridSpan w:val="3"/>
            <w:tcBorders>
              <w:top w:val="nil"/>
              <w:left w:val="single" w:sz="6" w:space="0" w:color="00467E"/>
              <w:bottom w:val="nil"/>
              <w:right w:val="nil"/>
            </w:tcBorders>
            <w:shd w:val="clear" w:color="CFD4D8" w:fill="CFD4D8"/>
            <w:vAlign w:val="center"/>
          </w:tcPr>
          <w:p w:rsidR="0073298C" w:rsidRDefault="0073298C" w:rsidP="0073298C">
            <w:pPr>
              <w:spacing w:before="22" w:after="22"/>
              <w:ind w:left="22" w:right="22"/>
              <w:rPr>
                <w:rFonts w:ascii="Arial" w:hAnsi="Arial" w:cs="Arial"/>
                <w:color w:val="000000"/>
                <w:sz w:val="14"/>
                <w:szCs w:val="14"/>
                <w:vertAlign w:val="superscript"/>
              </w:rPr>
            </w:pPr>
            <w:r>
              <w:rPr>
                <w:rFonts w:ascii="Arial" w:hAnsi="Arial" w:cs="Arial"/>
                <w:color w:val="000000"/>
                <w:sz w:val="16"/>
                <w:szCs w:val="16"/>
              </w:rPr>
              <w:t xml:space="preserve">Total debt </w:t>
            </w:r>
            <w:r>
              <w:rPr>
                <w:rFonts w:ascii="Arial" w:hAnsi="Arial" w:cs="Arial"/>
                <w:color w:val="000000"/>
                <w:sz w:val="14"/>
                <w:szCs w:val="14"/>
                <w:vertAlign w:val="superscript"/>
              </w:rPr>
              <w:t>(3)</w:t>
            </w:r>
          </w:p>
        </w:tc>
        <w:tc>
          <w:tcPr>
            <w:tcW w:w="1089" w:type="dxa"/>
            <w:gridSpan w:val="4"/>
            <w:tcBorders>
              <w:top w:val="nil"/>
              <w:left w:val="nil"/>
              <w:bottom w:val="nil"/>
              <w:right w:val="nil"/>
            </w:tcBorders>
            <w:shd w:val="clear" w:color="CFD4D8" w:fill="CFD4D8"/>
            <w:vAlign w:val="center"/>
          </w:tcPr>
          <w:p w:rsidR="0073298C" w:rsidRDefault="0073298C" w:rsidP="0073298C">
            <w:pPr>
              <w:spacing w:before="22" w:after="22"/>
              <w:ind w:left="22"/>
              <w:jc w:val="right"/>
              <w:rPr>
                <w:rFonts w:ascii="Arial" w:hAnsi="Arial" w:cs="Arial"/>
                <w:color w:val="000000"/>
                <w:sz w:val="16"/>
                <w:szCs w:val="16"/>
              </w:rPr>
            </w:pPr>
            <w:r>
              <w:rPr>
                <w:rFonts w:ascii="Arial" w:hAnsi="Arial" w:cs="Arial"/>
                <w:color w:val="000000"/>
                <w:sz w:val="16"/>
                <w:szCs w:val="16"/>
              </w:rPr>
              <w:t>970,905</w:t>
            </w:r>
          </w:p>
        </w:tc>
        <w:tc>
          <w:tcPr>
            <w:tcW w:w="110" w:type="dxa"/>
            <w:gridSpan w:val="2"/>
            <w:tcBorders>
              <w:top w:val="nil"/>
              <w:left w:val="nil"/>
              <w:bottom w:val="nil"/>
              <w:right w:val="nil"/>
            </w:tcBorders>
            <w:shd w:val="clear" w:color="CFD4D8" w:fill="CFD4D8"/>
            <w:vAlign w:val="bottom"/>
          </w:tcPr>
          <w:p w:rsidR="0073298C" w:rsidRDefault="0073298C" w:rsidP="0073298C">
            <w:pPr>
              <w:spacing w:before="22" w:after="22"/>
              <w:ind w:left="22"/>
              <w:jc w:val="right"/>
              <w:rPr>
                <w:rFonts w:ascii="Arial" w:hAnsi="Arial" w:cs="Arial"/>
                <w:color w:val="000000"/>
                <w:sz w:val="16"/>
                <w:szCs w:val="16"/>
              </w:rPr>
            </w:pPr>
          </w:p>
          <w:p w:rsidR="0073298C" w:rsidRDefault="0073298C" w:rsidP="0073298C">
            <w:pPr>
              <w:rPr>
                <w:sz w:val="16"/>
                <w:szCs w:val="16"/>
              </w:rPr>
            </w:pPr>
            <w:r>
              <w:rPr>
                <w:sz w:val="16"/>
                <w:szCs w:val="16"/>
              </w:rPr>
              <w:t> </w:t>
            </w:r>
          </w:p>
        </w:tc>
        <w:tc>
          <w:tcPr>
            <w:tcW w:w="107" w:type="dxa"/>
            <w:gridSpan w:val="2"/>
            <w:tcBorders>
              <w:top w:val="nil"/>
              <w:left w:val="nil"/>
              <w:bottom w:val="nil"/>
              <w:right w:val="nil"/>
            </w:tcBorders>
            <w:shd w:val="clear" w:color="CFD4D8" w:fill="CFD4D8"/>
            <w:vAlign w:val="bottom"/>
          </w:tcPr>
          <w:p w:rsidR="0073298C" w:rsidRDefault="0073298C" w:rsidP="0073298C">
            <w:pPr>
              <w:spacing w:before="22" w:after="22"/>
              <w:ind w:left="22" w:right="22"/>
              <w:rPr>
                <w:color w:val="000000"/>
              </w:rPr>
            </w:pPr>
            <w:r>
              <w:rPr>
                <w:color w:val="000000"/>
              </w:rPr>
              <w:t> </w:t>
            </w:r>
          </w:p>
        </w:tc>
        <w:tc>
          <w:tcPr>
            <w:tcW w:w="1092" w:type="dxa"/>
            <w:gridSpan w:val="3"/>
            <w:tcBorders>
              <w:top w:val="nil"/>
              <w:left w:val="nil"/>
              <w:bottom w:val="nil"/>
              <w:right w:val="nil"/>
            </w:tcBorders>
            <w:shd w:val="clear" w:color="CFD4D8" w:fill="CFD4D8"/>
            <w:vAlign w:val="center"/>
          </w:tcPr>
          <w:p w:rsidR="0073298C" w:rsidRDefault="0073298C" w:rsidP="0073298C">
            <w:pPr>
              <w:spacing w:before="22" w:after="22"/>
              <w:ind w:left="22"/>
              <w:jc w:val="right"/>
              <w:rPr>
                <w:rFonts w:ascii="Arial" w:hAnsi="Arial" w:cs="Arial"/>
                <w:color w:val="000000"/>
                <w:sz w:val="16"/>
                <w:szCs w:val="16"/>
              </w:rPr>
            </w:pPr>
            <w:r>
              <w:rPr>
                <w:rFonts w:ascii="Arial" w:hAnsi="Arial" w:cs="Arial"/>
                <w:color w:val="000000"/>
                <w:sz w:val="16"/>
                <w:szCs w:val="16"/>
              </w:rPr>
              <w:t>18,000</w:t>
            </w:r>
          </w:p>
        </w:tc>
        <w:tc>
          <w:tcPr>
            <w:tcW w:w="110" w:type="dxa"/>
            <w:tcBorders>
              <w:top w:val="nil"/>
              <w:left w:val="nil"/>
              <w:bottom w:val="nil"/>
              <w:right w:val="nil"/>
            </w:tcBorders>
            <w:shd w:val="clear" w:color="CFD4D8" w:fill="CFD4D8"/>
            <w:vAlign w:val="bottom"/>
          </w:tcPr>
          <w:p w:rsidR="0073298C" w:rsidRDefault="0073298C" w:rsidP="0073298C">
            <w:pPr>
              <w:spacing w:before="22" w:after="22"/>
              <w:ind w:left="22"/>
              <w:jc w:val="right"/>
              <w:rPr>
                <w:rFonts w:ascii="Arial" w:hAnsi="Arial" w:cs="Arial"/>
                <w:color w:val="000000"/>
                <w:sz w:val="16"/>
                <w:szCs w:val="16"/>
              </w:rPr>
            </w:pPr>
          </w:p>
          <w:p w:rsidR="0073298C" w:rsidRDefault="0073298C" w:rsidP="0073298C">
            <w:pPr>
              <w:rPr>
                <w:sz w:val="16"/>
                <w:szCs w:val="16"/>
              </w:rPr>
            </w:pPr>
            <w:r>
              <w:rPr>
                <w:sz w:val="16"/>
                <w:szCs w:val="16"/>
              </w:rPr>
              <w:t> </w:t>
            </w:r>
          </w:p>
        </w:tc>
        <w:tc>
          <w:tcPr>
            <w:tcW w:w="110" w:type="dxa"/>
            <w:tcBorders>
              <w:top w:val="nil"/>
              <w:left w:val="nil"/>
              <w:bottom w:val="nil"/>
              <w:right w:val="nil"/>
            </w:tcBorders>
            <w:shd w:val="clear" w:color="CFD4D8" w:fill="CFD4D8"/>
            <w:vAlign w:val="bottom"/>
          </w:tcPr>
          <w:p w:rsidR="0073298C" w:rsidRDefault="0073298C" w:rsidP="0073298C">
            <w:pPr>
              <w:spacing w:before="22" w:after="22"/>
              <w:ind w:left="22" w:right="22"/>
              <w:rPr>
                <w:color w:val="000000"/>
              </w:rPr>
            </w:pPr>
            <w:r>
              <w:rPr>
                <w:color w:val="000000"/>
              </w:rPr>
              <w:t> </w:t>
            </w:r>
          </w:p>
        </w:tc>
        <w:tc>
          <w:tcPr>
            <w:tcW w:w="1089" w:type="dxa"/>
            <w:gridSpan w:val="3"/>
            <w:tcBorders>
              <w:top w:val="nil"/>
              <w:left w:val="nil"/>
              <w:bottom w:val="nil"/>
              <w:right w:val="nil"/>
            </w:tcBorders>
            <w:shd w:val="clear" w:color="CFD4D8" w:fill="CFD4D8"/>
            <w:vAlign w:val="center"/>
          </w:tcPr>
          <w:p w:rsidR="0073298C" w:rsidRDefault="0073298C" w:rsidP="0073298C">
            <w:pPr>
              <w:spacing w:before="22" w:after="22"/>
              <w:ind w:left="22"/>
              <w:jc w:val="right"/>
              <w:rPr>
                <w:rFonts w:ascii="Arial" w:hAnsi="Arial" w:cs="Arial"/>
                <w:color w:val="000000"/>
                <w:sz w:val="16"/>
                <w:szCs w:val="16"/>
              </w:rPr>
            </w:pPr>
            <w:r>
              <w:rPr>
                <w:rFonts w:ascii="Arial" w:hAnsi="Arial" w:cs="Arial"/>
                <w:color w:val="000000"/>
                <w:sz w:val="16"/>
                <w:szCs w:val="16"/>
              </w:rPr>
              <w:t>112,000</w:t>
            </w:r>
          </w:p>
        </w:tc>
        <w:tc>
          <w:tcPr>
            <w:tcW w:w="110" w:type="dxa"/>
            <w:gridSpan w:val="2"/>
            <w:tcBorders>
              <w:top w:val="nil"/>
              <w:left w:val="nil"/>
              <w:bottom w:val="nil"/>
              <w:right w:val="nil"/>
            </w:tcBorders>
            <w:shd w:val="clear" w:color="CFD4D8" w:fill="CFD4D8"/>
            <w:vAlign w:val="bottom"/>
          </w:tcPr>
          <w:p w:rsidR="0073298C" w:rsidRDefault="0073298C" w:rsidP="0073298C">
            <w:pPr>
              <w:spacing w:before="22" w:after="22"/>
              <w:ind w:left="22"/>
              <w:jc w:val="right"/>
              <w:rPr>
                <w:rFonts w:ascii="Arial" w:hAnsi="Arial" w:cs="Arial"/>
                <w:color w:val="000000"/>
                <w:sz w:val="16"/>
                <w:szCs w:val="16"/>
              </w:rPr>
            </w:pPr>
          </w:p>
          <w:p w:rsidR="0073298C" w:rsidRDefault="0073298C" w:rsidP="0073298C">
            <w:pPr>
              <w:rPr>
                <w:sz w:val="16"/>
                <w:szCs w:val="16"/>
              </w:rPr>
            </w:pPr>
            <w:r>
              <w:rPr>
                <w:sz w:val="16"/>
                <w:szCs w:val="16"/>
              </w:rPr>
              <w:t> </w:t>
            </w:r>
          </w:p>
        </w:tc>
        <w:tc>
          <w:tcPr>
            <w:tcW w:w="107" w:type="dxa"/>
            <w:gridSpan w:val="2"/>
            <w:tcBorders>
              <w:top w:val="nil"/>
              <w:left w:val="nil"/>
              <w:bottom w:val="nil"/>
              <w:right w:val="nil"/>
            </w:tcBorders>
            <w:shd w:val="clear" w:color="CFD4D8" w:fill="CFD4D8"/>
            <w:vAlign w:val="bottom"/>
          </w:tcPr>
          <w:p w:rsidR="0073298C" w:rsidRDefault="0073298C" w:rsidP="0073298C">
            <w:pPr>
              <w:spacing w:before="22" w:after="22"/>
              <w:ind w:left="22" w:right="22"/>
              <w:rPr>
                <w:color w:val="000000"/>
              </w:rPr>
            </w:pPr>
            <w:r>
              <w:rPr>
                <w:color w:val="000000"/>
              </w:rPr>
              <w:t> </w:t>
            </w:r>
          </w:p>
        </w:tc>
        <w:tc>
          <w:tcPr>
            <w:tcW w:w="1089" w:type="dxa"/>
            <w:gridSpan w:val="4"/>
            <w:tcBorders>
              <w:top w:val="nil"/>
              <w:left w:val="nil"/>
              <w:bottom w:val="nil"/>
              <w:right w:val="nil"/>
            </w:tcBorders>
            <w:shd w:val="clear" w:color="CFD4D8" w:fill="CFD4D8"/>
            <w:vAlign w:val="center"/>
          </w:tcPr>
          <w:p w:rsidR="0073298C" w:rsidRDefault="0073298C" w:rsidP="0073298C">
            <w:pPr>
              <w:spacing w:before="22" w:after="22"/>
              <w:ind w:left="22"/>
              <w:jc w:val="right"/>
              <w:rPr>
                <w:rFonts w:ascii="Arial" w:hAnsi="Arial" w:cs="Arial"/>
                <w:color w:val="000000"/>
                <w:sz w:val="16"/>
                <w:szCs w:val="16"/>
              </w:rPr>
            </w:pPr>
            <w:r>
              <w:rPr>
                <w:rFonts w:ascii="Arial" w:hAnsi="Arial" w:cs="Arial"/>
                <w:color w:val="000000"/>
                <w:sz w:val="16"/>
                <w:szCs w:val="16"/>
              </w:rPr>
              <w:t>134,400</w:t>
            </w:r>
          </w:p>
        </w:tc>
        <w:tc>
          <w:tcPr>
            <w:tcW w:w="110" w:type="dxa"/>
            <w:gridSpan w:val="2"/>
            <w:tcBorders>
              <w:top w:val="nil"/>
              <w:left w:val="nil"/>
              <w:bottom w:val="nil"/>
              <w:right w:val="nil"/>
            </w:tcBorders>
            <w:shd w:val="clear" w:color="CFD4D8" w:fill="CFD4D8"/>
            <w:vAlign w:val="bottom"/>
          </w:tcPr>
          <w:p w:rsidR="0073298C" w:rsidRDefault="0073298C" w:rsidP="0073298C">
            <w:pPr>
              <w:spacing w:before="22" w:after="22"/>
              <w:ind w:left="22"/>
              <w:jc w:val="right"/>
              <w:rPr>
                <w:rFonts w:ascii="Arial" w:hAnsi="Arial" w:cs="Arial"/>
                <w:color w:val="000000"/>
                <w:sz w:val="16"/>
                <w:szCs w:val="16"/>
              </w:rPr>
            </w:pPr>
          </w:p>
          <w:p w:rsidR="0073298C" w:rsidRDefault="0073298C" w:rsidP="0073298C">
            <w:pPr>
              <w:rPr>
                <w:sz w:val="16"/>
                <w:szCs w:val="16"/>
              </w:rPr>
            </w:pPr>
            <w:r>
              <w:rPr>
                <w:sz w:val="16"/>
                <w:szCs w:val="16"/>
              </w:rPr>
              <w:t> </w:t>
            </w:r>
          </w:p>
        </w:tc>
        <w:tc>
          <w:tcPr>
            <w:tcW w:w="107" w:type="dxa"/>
            <w:gridSpan w:val="2"/>
            <w:tcBorders>
              <w:top w:val="nil"/>
              <w:left w:val="nil"/>
              <w:bottom w:val="nil"/>
              <w:right w:val="nil"/>
            </w:tcBorders>
            <w:shd w:val="clear" w:color="CFD4D8" w:fill="CFD4D8"/>
            <w:vAlign w:val="bottom"/>
          </w:tcPr>
          <w:p w:rsidR="0073298C" w:rsidRDefault="0073298C" w:rsidP="0073298C">
            <w:pPr>
              <w:spacing w:before="22" w:after="22"/>
              <w:ind w:left="22" w:right="22"/>
              <w:rPr>
                <w:color w:val="000000"/>
              </w:rPr>
            </w:pPr>
            <w:r>
              <w:rPr>
                <w:color w:val="000000"/>
              </w:rPr>
              <w:t> </w:t>
            </w:r>
          </w:p>
        </w:tc>
        <w:tc>
          <w:tcPr>
            <w:tcW w:w="1076" w:type="dxa"/>
            <w:gridSpan w:val="4"/>
            <w:tcBorders>
              <w:top w:val="nil"/>
              <w:left w:val="nil"/>
              <w:bottom w:val="nil"/>
              <w:right w:val="nil"/>
            </w:tcBorders>
            <w:shd w:val="clear" w:color="CFD4D8" w:fill="CFD4D8"/>
            <w:vAlign w:val="center"/>
          </w:tcPr>
          <w:p w:rsidR="0073298C" w:rsidRDefault="0073298C" w:rsidP="0073298C">
            <w:pPr>
              <w:spacing w:before="22" w:after="22"/>
              <w:ind w:left="22"/>
              <w:jc w:val="right"/>
              <w:rPr>
                <w:rFonts w:ascii="Arial" w:hAnsi="Arial" w:cs="Arial"/>
                <w:color w:val="000000"/>
                <w:sz w:val="16"/>
                <w:szCs w:val="16"/>
              </w:rPr>
            </w:pPr>
            <w:r>
              <w:rPr>
                <w:rFonts w:ascii="Arial" w:hAnsi="Arial" w:cs="Arial"/>
                <w:color w:val="000000"/>
                <w:sz w:val="16"/>
                <w:szCs w:val="16"/>
              </w:rPr>
              <w:t>38,000</w:t>
            </w:r>
          </w:p>
        </w:tc>
        <w:tc>
          <w:tcPr>
            <w:tcW w:w="120" w:type="dxa"/>
            <w:gridSpan w:val="4"/>
            <w:tcBorders>
              <w:top w:val="nil"/>
              <w:left w:val="nil"/>
              <w:bottom w:val="nil"/>
              <w:right w:val="single" w:sz="6" w:space="0" w:color="00467E"/>
            </w:tcBorders>
            <w:shd w:val="clear" w:color="CFD4D8" w:fill="CFD4D8"/>
            <w:vAlign w:val="bottom"/>
          </w:tcPr>
          <w:p w:rsidR="0073298C" w:rsidRDefault="0073298C" w:rsidP="0073298C">
            <w:pPr>
              <w:spacing w:before="22" w:after="22"/>
              <w:ind w:left="22"/>
              <w:jc w:val="right"/>
              <w:rPr>
                <w:rFonts w:ascii="Arial" w:hAnsi="Arial" w:cs="Arial"/>
                <w:color w:val="000000"/>
                <w:sz w:val="16"/>
                <w:szCs w:val="16"/>
              </w:rPr>
            </w:pPr>
          </w:p>
          <w:p w:rsidR="0073298C" w:rsidRDefault="0073298C" w:rsidP="0073298C">
            <w:pPr>
              <w:rPr>
                <w:sz w:val="16"/>
                <w:szCs w:val="16"/>
              </w:rPr>
            </w:pPr>
            <w:r>
              <w:rPr>
                <w:sz w:val="16"/>
                <w:szCs w:val="16"/>
              </w:rPr>
              <w:t> </w:t>
            </w:r>
          </w:p>
        </w:tc>
      </w:tr>
      <w:tr w:rsidR="0073298C" w:rsidTr="0073298C">
        <w:tblPrEx>
          <w:tblCellMar>
            <w:top w:w="0" w:type="dxa"/>
            <w:left w:w="0" w:type="dxa"/>
            <w:bottom w:w="0" w:type="dxa"/>
            <w:right w:w="0" w:type="dxa"/>
          </w:tblCellMar>
        </w:tblPrEx>
        <w:trPr>
          <w:trHeight w:val="281"/>
          <w:jc w:val="center"/>
        </w:trPr>
        <w:tc>
          <w:tcPr>
            <w:tcW w:w="4378" w:type="dxa"/>
            <w:gridSpan w:val="3"/>
            <w:tcBorders>
              <w:top w:val="nil"/>
              <w:left w:val="single" w:sz="6" w:space="0" w:color="00467E"/>
              <w:bottom w:val="single" w:sz="6" w:space="0" w:color="00467E"/>
              <w:right w:val="nil"/>
            </w:tcBorders>
            <w:vAlign w:val="center"/>
          </w:tcPr>
          <w:p w:rsidR="0073298C" w:rsidRDefault="0073298C" w:rsidP="0073298C">
            <w:pPr>
              <w:spacing w:before="22" w:after="22"/>
              <w:ind w:left="22" w:right="22"/>
              <w:rPr>
                <w:rFonts w:ascii="Arial" w:hAnsi="Arial" w:cs="Arial"/>
                <w:color w:val="000000"/>
                <w:sz w:val="16"/>
                <w:szCs w:val="16"/>
              </w:rPr>
            </w:pPr>
            <w:r>
              <w:rPr>
                <w:rFonts w:ascii="Arial" w:hAnsi="Arial" w:cs="Arial"/>
                <w:color w:val="000000"/>
                <w:sz w:val="16"/>
                <w:szCs w:val="16"/>
              </w:rPr>
              <w:t>Knight-Swift stockholders' equity</w:t>
            </w:r>
          </w:p>
        </w:tc>
        <w:tc>
          <w:tcPr>
            <w:tcW w:w="1089" w:type="dxa"/>
            <w:gridSpan w:val="4"/>
            <w:tcBorders>
              <w:top w:val="nil"/>
              <w:left w:val="nil"/>
              <w:bottom w:val="single" w:sz="6" w:space="0" w:color="00467E"/>
              <w:right w:val="nil"/>
            </w:tcBorders>
            <w:vAlign w:val="center"/>
          </w:tcPr>
          <w:p w:rsidR="0073298C" w:rsidRDefault="0073298C" w:rsidP="0073298C">
            <w:pPr>
              <w:spacing w:before="22" w:after="22"/>
              <w:ind w:left="22"/>
              <w:jc w:val="right"/>
              <w:rPr>
                <w:rFonts w:ascii="Arial" w:hAnsi="Arial" w:cs="Arial"/>
                <w:color w:val="000000"/>
                <w:sz w:val="16"/>
                <w:szCs w:val="16"/>
              </w:rPr>
            </w:pPr>
            <w:r>
              <w:rPr>
                <w:rFonts w:ascii="Arial" w:hAnsi="Arial" w:cs="Arial"/>
                <w:color w:val="000000"/>
                <w:sz w:val="16"/>
                <w:szCs w:val="16"/>
              </w:rPr>
              <w:t>5,237,732</w:t>
            </w:r>
          </w:p>
        </w:tc>
        <w:tc>
          <w:tcPr>
            <w:tcW w:w="110" w:type="dxa"/>
            <w:gridSpan w:val="2"/>
            <w:tcBorders>
              <w:top w:val="nil"/>
              <w:left w:val="nil"/>
              <w:bottom w:val="single" w:sz="6" w:space="0" w:color="00467E"/>
              <w:right w:val="nil"/>
            </w:tcBorders>
            <w:vAlign w:val="bottom"/>
          </w:tcPr>
          <w:p w:rsidR="0073298C" w:rsidRDefault="0073298C" w:rsidP="0073298C">
            <w:pPr>
              <w:spacing w:before="22" w:after="22"/>
              <w:ind w:left="22"/>
              <w:jc w:val="right"/>
              <w:rPr>
                <w:rFonts w:ascii="Arial" w:hAnsi="Arial" w:cs="Arial"/>
                <w:color w:val="000000"/>
                <w:sz w:val="16"/>
                <w:szCs w:val="16"/>
              </w:rPr>
            </w:pPr>
          </w:p>
          <w:p w:rsidR="0073298C" w:rsidRDefault="0073298C" w:rsidP="0073298C">
            <w:pPr>
              <w:rPr>
                <w:sz w:val="16"/>
                <w:szCs w:val="16"/>
              </w:rPr>
            </w:pPr>
            <w:r>
              <w:rPr>
                <w:sz w:val="16"/>
                <w:szCs w:val="16"/>
              </w:rPr>
              <w:t> </w:t>
            </w:r>
          </w:p>
        </w:tc>
        <w:tc>
          <w:tcPr>
            <w:tcW w:w="107" w:type="dxa"/>
            <w:gridSpan w:val="2"/>
            <w:tcBorders>
              <w:top w:val="nil"/>
              <w:left w:val="nil"/>
              <w:bottom w:val="single" w:sz="6" w:space="0" w:color="00467E"/>
              <w:right w:val="nil"/>
            </w:tcBorders>
            <w:vAlign w:val="bottom"/>
          </w:tcPr>
          <w:p w:rsidR="0073298C" w:rsidRDefault="0073298C" w:rsidP="0073298C">
            <w:pPr>
              <w:spacing w:before="22" w:after="22"/>
              <w:ind w:left="22" w:right="22"/>
              <w:rPr>
                <w:color w:val="000000"/>
              </w:rPr>
            </w:pPr>
            <w:r>
              <w:rPr>
                <w:color w:val="000000"/>
              </w:rPr>
              <w:t> </w:t>
            </w:r>
          </w:p>
        </w:tc>
        <w:tc>
          <w:tcPr>
            <w:tcW w:w="1092" w:type="dxa"/>
            <w:gridSpan w:val="3"/>
            <w:tcBorders>
              <w:top w:val="nil"/>
              <w:left w:val="nil"/>
              <w:bottom w:val="single" w:sz="6" w:space="0" w:color="00467E"/>
              <w:right w:val="nil"/>
            </w:tcBorders>
            <w:vAlign w:val="center"/>
          </w:tcPr>
          <w:p w:rsidR="0073298C" w:rsidRDefault="0073298C" w:rsidP="0073298C">
            <w:pPr>
              <w:spacing w:before="22" w:after="22"/>
              <w:ind w:left="22"/>
              <w:jc w:val="right"/>
              <w:rPr>
                <w:rFonts w:ascii="Arial" w:hAnsi="Arial" w:cs="Arial"/>
                <w:color w:val="000000"/>
                <w:sz w:val="16"/>
                <w:szCs w:val="16"/>
              </w:rPr>
            </w:pPr>
            <w:r>
              <w:rPr>
                <w:rFonts w:ascii="Arial" w:hAnsi="Arial" w:cs="Arial"/>
                <w:color w:val="000000"/>
                <w:sz w:val="16"/>
                <w:szCs w:val="16"/>
              </w:rPr>
              <w:t>786,473</w:t>
            </w:r>
          </w:p>
        </w:tc>
        <w:tc>
          <w:tcPr>
            <w:tcW w:w="110" w:type="dxa"/>
            <w:tcBorders>
              <w:top w:val="nil"/>
              <w:left w:val="nil"/>
              <w:bottom w:val="single" w:sz="6" w:space="0" w:color="00467E"/>
              <w:right w:val="nil"/>
            </w:tcBorders>
            <w:vAlign w:val="bottom"/>
          </w:tcPr>
          <w:p w:rsidR="0073298C" w:rsidRDefault="0073298C" w:rsidP="0073298C">
            <w:pPr>
              <w:spacing w:before="22" w:after="22"/>
              <w:ind w:left="22"/>
              <w:jc w:val="right"/>
              <w:rPr>
                <w:rFonts w:ascii="Arial" w:hAnsi="Arial" w:cs="Arial"/>
                <w:color w:val="000000"/>
                <w:sz w:val="16"/>
                <w:szCs w:val="16"/>
              </w:rPr>
            </w:pPr>
          </w:p>
          <w:p w:rsidR="0073298C" w:rsidRDefault="0073298C" w:rsidP="0073298C">
            <w:pPr>
              <w:rPr>
                <w:sz w:val="16"/>
                <w:szCs w:val="16"/>
              </w:rPr>
            </w:pPr>
            <w:r>
              <w:rPr>
                <w:sz w:val="16"/>
                <w:szCs w:val="16"/>
              </w:rPr>
              <w:t> </w:t>
            </w:r>
          </w:p>
        </w:tc>
        <w:tc>
          <w:tcPr>
            <w:tcW w:w="110" w:type="dxa"/>
            <w:tcBorders>
              <w:top w:val="nil"/>
              <w:left w:val="nil"/>
              <w:bottom w:val="single" w:sz="6" w:space="0" w:color="00467E"/>
              <w:right w:val="nil"/>
            </w:tcBorders>
            <w:vAlign w:val="bottom"/>
          </w:tcPr>
          <w:p w:rsidR="0073298C" w:rsidRDefault="0073298C" w:rsidP="0073298C">
            <w:pPr>
              <w:spacing w:before="22" w:after="22"/>
              <w:ind w:left="22" w:right="22"/>
              <w:rPr>
                <w:color w:val="000000"/>
              </w:rPr>
            </w:pPr>
            <w:r>
              <w:rPr>
                <w:color w:val="000000"/>
              </w:rPr>
              <w:t> </w:t>
            </w:r>
          </w:p>
        </w:tc>
        <w:tc>
          <w:tcPr>
            <w:tcW w:w="1089" w:type="dxa"/>
            <w:gridSpan w:val="3"/>
            <w:tcBorders>
              <w:top w:val="nil"/>
              <w:left w:val="nil"/>
              <w:bottom w:val="single" w:sz="6" w:space="0" w:color="00467E"/>
              <w:right w:val="nil"/>
            </w:tcBorders>
            <w:vAlign w:val="center"/>
          </w:tcPr>
          <w:p w:rsidR="0073298C" w:rsidRDefault="0073298C" w:rsidP="0073298C">
            <w:pPr>
              <w:spacing w:before="22" w:after="22"/>
              <w:ind w:left="22"/>
              <w:jc w:val="right"/>
              <w:rPr>
                <w:rFonts w:ascii="Arial" w:hAnsi="Arial" w:cs="Arial"/>
                <w:color w:val="000000"/>
                <w:sz w:val="16"/>
                <w:szCs w:val="16"/>
              </w:rPr>
            </w:pPr>
            <w:r>
              <w:rPr>
                <w:rFonts w:ascii="Arial" w:hAnsi="Arial" w:cs="Arial"/>
                <w:color w:val="000000"/>
                <w:sz w:val="16"/>
                <w:szCs w:val="16"/>
              </w:rPr>
              <w:t>738,398</w:t>
            </w:r>
          </w:p>
        </w:tc>
        <w:tc>
          <w:tcPr>
            <w:tcW w:w="110" w:type="dxa"/>
            <w:gridSpan w:val="2"/>
            <w:tcBorders>
              <w:top w:val="nil"/>
              <w:left w:val="nil"/>
              <w:bottom w:val="single" w:sz="6" w:space="0" w:color="00467E"/>
              <w:right w:val="nil"/>
            </w:tcBorders>
            <w:vAlign w:val="bottom"/>
          </w:tcPr>
          <w:p w:rsidR="0073298C" w:rsidRDefault="0073298C" w:rsidP="0073298C">
            <w:pPr>
              <w:spacing w:before="22" w:after="22"/>
              <w:ind w:left="22"/>
              <w:jc w:val="right"/>
              <w:rPr>
                <w:rFonts w:ascii="Arial" w:hAnsi="Arial" w:cs="Arial"/>
                <w:color w:val="000000"/>
                <w:sz w:val="16"/>
                <w:szCs w:val="16"/>
              </w:rPr>
            </w:pPr>
          </w:p>
          <w:p w:rsidR="0073298C" w:rsidRDefault="0073298C" w:rsidP="0073298C">
            <w:pPr>
              <w:rPr>
                <w:sz w:val="16"/>
                <w:szCs w:val="16"/>
              </w:rPr>
            </w:pPr>
            <w:r>
              <w:rPr>
                <w:sz w:val="16"/>
                <w:szCs w:val="16"/>
              </w:rPr>
              <w:t> </w:t>
            </w:r>
          </w:p>
        </w:tc>
        <w:tc>
          <w:tcPr>
            <w:tcW w:w="107" w:type="dxa"/>
            <w:gridSpan w:val="2"/>
            <w:tcBorders>
              <w:top w:val="nil"/>
              <w:left w:val="nil"/>
              <w:bottom w:val="single" w:sz="6" w:space="0" w:color="00467E"/>
              <w:right w:val="nil"/>
            </w:tcBorders>
            <w:vAlign w:val="bottom"/>
          </w:tcPr>
          <w:p w:rsidR="0073298C" w:rsidRDefault="0073298C" w:rsidP="0073298C">
            <w:pPr>
              <w:spacing w:before="22" w:after="22"/>
              <w:ind w:left="22" w:right="22"/>
              <w:rPr>
                <w:color w:val="000000"/>
              </w:rPr>
            </w:pPr>
            <w:r>
              <w:rPr>
                <w:color w:val="000000"/>
              </w:rPr>
              <w:t> </w:t>
            </w:r>
          </w:p>
        </w:tc>
        <w:tc>
          <w:tcPr>
            <w:tcW w:w="1089" w:type="dxa"/>
            <w:gridSpan w:val="4"/>
            <w:tcBorders>
              <w:top w:val="nil"/>
              <w:left w:val="nil"/>
              <w:bottom w:val="single" w:sz="6" w:space="0" w:color="00467E"/>
              <w:right w:val="nil"/>
            </w:tcBorders>
            <w:vAlign w:val="center"/>
          </w:tcPr>
          <w:p w:rsidR="0073298C" w:rsidRDefault="0073298C" w:rsidP="0073298C">
            <w:pPr>
              <w:spacing w:before="22" w:after="22"/>
              <w:ind w:left="22"/>
              <w:jc w:val="right"/>
              <w:rPr>
                <w:rFonts w:ascii="Arial" w:hAnsi="Arial" w:cs="Arial"/>
                <w:color w:val="000000"/>
                <w:sz w:val="16"/>
                <w:szCs w:val="16"/>
              </w:rPr>
            </w:pPr>
            <w:r>
              <w:rPr>
                <w:rFonts w:ascii="Arial" w:hAnsi="Arial" w:cs="Arial"/>
                <w:color w:val="000000"/>
                <w:sz w:val="16"/>
                <w:szCs w:val="16"/>
              </w:rPr>
              <w:t>677,760</w:t>
            </w:r>
          </w:p>
        </w:tc>
        <w:tc>
          <w:tcPr>
            <w:tcW w:w="110" w:type="dxa"/>
            <w:gridSpan w:val="2"/>
            <w:tcBorders>
              <w:top w:val="nil"/>
              <w:left w:val="nil"/>
              <w:bottom w:val="single" w:sz="6" w:space="0" w:color="00467E"/>
              <w:right w:val="nil"/>
            </w:tcBorders>
            <w:vAlign w:val="bottom"/>
          </w:tcPr>
          <w:p w:rsidR="0073298C" w:rsidRDefault="0073298C" w:rsidP="0073298C">
            <w:pPr>
              <w:spacing w:before="22" w:after="22"/>
              <w:ind w:left="22"/>
              <w:jc w:val="right"/>
              <w:rPr>
                <w:rFonts w:ascii="Arial" w:hAnsi="Arial" w:cs="Arial"/>
                <w:color w:val="000000"/>
                <w:sz w:val="16"/>
                <w:szCs w:val="16"/>
              </w:rPr>
            </w:pPr>
          </w:p>
          <w:p w:rsidR="0073298C" w:rsidRDefault="0073298C" w:rsidP="0073298C">
            <w:pPr>
              <w:rPr>
                <w:sz w:val="16"/>
                <w:szCs w:val="16"/>
              </w:rPr>
            </w:pPr>
            <w:r>
              <w:rPr>
                <w:sz w:val="16"/>
                <w:szCs w:val="16"/>
              </w:rPr>
              <w:t> </w:t>
            </w:r>
          </w:p>
        </w:tc>
        <w:tc>
          <w:tcPr>
            <w:tcW w:w="107" w:type="dxa"/>
            <w:gridSpan w:val="2"/>
            <w:tcBorders>
              <w:top w:val="nil"/>
              <w:left w:val="nil"/>
              <w:bottom w:val="single" w:sz="6" w:space="0" w:color="00467E"/>
              <w:right w:val="nil"/>
            </w:tcBorders>
            <w:vAlign w:val="bottom"/>
          </w:tcPr>
          <w:p w:rsidR="0073298C" w:rsidRDefault="0073298C" w:rsidP="0073298C">
            <w:pPr>
              <w:spacing w:before="22" w:after="22"/>
              <w:ind w:left="22" w:right="22"/>
              <w:rPr>
                <w:color w:val="000000"/>
              </w:rPr>
            </w:pPr>
            <w:r>
              <w:rPr>
                <w:color w:val="000000"/>
              </w:rPr>
              <w:t> </w:t>
            </w:r>
          </w:p>
        </w:tc>
        <w:tc>
          <w:tcPr>
            <w:tcW w:w="1076" w:type="dxa"/>
            <w:gridSpan w:val="4"/>
            <w:tcBorders>
              <w:top w:val="nil"/>
              <w:left w:val="nil"/>
              <w:bottom w:val="single" w:sz="6" w:space="0" w:color="00467E"/>
              <w:right w:val="nil"/>
            </w:tcBorders>
            <w:vAlign w:val="center"/>
          </w:tcPr>
          <w:p w:rsidR="0073298C" w:rsidRDefault="0073298C" w:rsidP="0073298C">
            <w:pPr>
              <w:spacing w:before="22" w:after="22"/>
              <w:ind w:left="22"/>
              <w:jc w:val="right"/>
              <w:rPr>
                <w:rFonts w:ascii="Arial" w:hAnsi="Arial" w:cs="Arial"/>
                <w:color w:val="000000"/>
                <w:sz w:val="16"/>
                <w:szCs w:val="16"/>
              </w:rPr>
            </w:pPr>
            <w:r>
              <w:rPr>
                <w:rFonts w:ascii="Arial" w:hAnsi="Arial" w:cs="Arial"/>
                <w:color w:val="000000"/>
                <w:sz w:val="16"/>
                <w:szCs w:val="16"/>
              </w:rPr>
              <w:t>553,588</w:t>
            </w:r>
          </w:p>
        </w:tc>
        <w:tc>
          <w:tcPr>
            <w:tcW w:w="120" w:type="dxa"/>
            <w:gridSpan w:val="4"/>
            <w:tcBorders>
              <w:top w:val="nil"/>
              <w:left w:val="nil"/>
              <w:bottom w:val="single" w:sz="6" w:space="0" w:color="00467E"/>
              <w:right w:val="single" w:sz="6" w:space="0" w:color="00467E"/>
            </w:tcBorders>
            <w:vAlign w:val="bottom"/>
          </w:tcPr>
          <w:p w:rsidR="0073298C" w:rsidRDefault="0073298C" w:rsidP="0073298C">
            <w:pPr>
              <w:spacing w:before="22" w:after="22"/>
              <w:ind w:left="22"/>
              <w:jc w:val="right"/>
              <w:rPr>
                <w:rFonts w:ascii="Arial" w:hAnsi="Arial" w:cs="Arial"/>
                <w:color w:val="000000"/>
                <w:sz w:val="16"/>
                <w:szCs w:val="16"/>
              </w:rPr>
            </w:pPr>
          </w:p>
          <w:p w:rsidR="0073298C" w:rsidRDefault="0073298C" w:rsidP="0073298C">
            <w:pPr>
              <w:rPr>
                <w:sz w:val="16"/>
                <w:szCs w:val="16"/>
              </w:rPr>
            </w:pPr>
            <w:r>
              <w:rPr>
                <w:sz w:val="16"/>
                <w:szCs w:val="16"/>
              </w:rPr>
              <w:t> </w:t>
            </w:r>
          </w:p>
        </w:tc>
      </w:tr>
    </w:tbl>
    <w:p w:rsidR="0073298C" w:rsidRDefault="0073298C" w:rsidP="00D50DFC">
      <w:pPr>
        <w:spacing w:after="264"/>
        <w:jc w:val="both"/>
        <w:rPr>
          <w:rFonts w:ascii="Arial" w:hAnsi="Arial" w:cs="Arial"/>
          <w:color w:val="000000"/>
          <w:sz w:val="18"/>
          <w:szCs w:val="18"/>
        </w:rPr>
      </w:pPr>
    </w:p>
    <w:tbl>
      <w:tblPr>
        <w:tblW w:w="11344" w:type="dxa"/>
        <w:tblInd w:w="-532" w:type="dxa"/>
        <w:tblLayout w:type="fixed"/>
        <w:tblCellMar>
          <w:left w:w="0" w:type="dxa"/>
          <w:right w:w="0" w:type="dxa"/>
        </w:tblCellMar>
        <w:tblLook w:val="0000"/>
      </w:tblPr>
      <w:tblGrid>
        <w:gridCol w:w="4789"/>
        <w:gridCol w:w="110"/>
        <w:gridCol w:w="952"/>
        <w:gridCol w:w="163"/>
        <w:gridCol w:w="106"/>
        <w:gridCol w:w="110"/>
        <w:gridCol w:w="952"/>
        <w:gridCol w:w="163"/>
        <w:gridCol w:w="106"/>
        <w:gridCol w:w="110"/>
        <w:gridCol w:w="952"/>
        <w:gridCol w:w="163"/>
        <w:gridCol w:w="106"/>
        <w:gridCol w:w="110"/>
        <w:gridCol w:w="952"/>
        <w:gridCol w:w="163"/>
        <w:gridCol w:w="106"/>
        <w:gridCol w:w="110"/>
        <w:gridCol w:w="952"/>
        <w:gridCol w:w="169"/>
      </w:tblGrid>
      <w:tr w:rsidR="0073298C" w:rsidTr="0073298C">
        <w:tblPrEx>
          <w:tblCellMar>
            <w:top w:w="0" w:type="dxa"/>
            <w:left w:w="0" w:type="dxa"/>
            <w:bottom w:w="0" w:type="dxa"/>
            <w:right w:w="0" w:type="dxa"/>
          </w:tblCellMar>
        </w:tblPrEx>
        <w:trPr>
          <w:trHeight w:val="298"/>
        </w:trPr>
        <w:tc>
          <w:tcPr>
            <w:tcW w:w="4789" w:type="dxa"/>
            <w:tcBorders>
              <w:top w:val="single" w:sz="6" w:space="0" w:color="00467E"/>
              <w:left w:val="single" w:sz="6" w:space="0" w:color="00467E"/>
              <w:bottom w:val="nil"/>
              <w:right w:val="nil"/>
            </w:tcBorders>
            <w:vAlign w:val="bottom"/>
          </w:tcPr>
          <w:p w:rsidR="0073298C" w:rsidRDefault="0073298C" w:rsidP="0073298C">
            <w:pPr>
              <w:spacing w:before="22" w:after="22"/>
              <w:ind w:left="22" w:right="22"/>
              <w:rPr>
                <w:rFonts w:ascii="Arial" w:hAnsi="Arial" w:cs="Arial"/>
                <w:b/>
                <w:bCs w:val="0"/>
                <w:i/>
                <w:iCs/>
                <w:color w:val="9D1B11"/>
                <w:sz w:val="14"/>
                <w:szCs w:val="14"/>
                <w:vertAlign w:val="superscript"/>
              </w:rPr>
            </w:pPr>
            <w:r>
              <w:rPr>
                <w:rFonts w:ascii="Arial" w:hAnsi="Arial" w:cs="Arial"/>
                <w:b/>
                <w:bCs w:val="0"/>
                <w:i/>
                <w:iCs/>
                <w:color w:val="9D1B11"/>
                <w:sz w:val="16"/>
                <w:szCs w:val="16"/>
              </w:rPr>
              <w:t>Operating data (unaudited):</w:t>
            </w:r>
            <w:r>
              <w:rPr>
                <w:rFonts w:ascii="Arial" w:hAnsi="Arial" w:cs="Arial"/>
                <w:b/>
                <w:bCs w:val="0"/>
                <w:i/>
                <w:iCs/>
                <w:color w:val="9D1B11"/>
                <w:sz w:val="14"/>
                <w:szCs w:val="14"/>
                <w:vertAlign w:val="superscript"/>
              </w:rPr>
              <w:t>(1)</w:t>
            </w:r>
          </w:p>
        </w:tc>
        <w:tc>
          <w:tcPr>
            <w:tcW w:w="1225" w:type="dxa"/>
            <w:gridSpan w:val="3"/>
            <w:tcBorders>
              <w:top w:val="single" w:sz="6" w:space="0" w:color="00467E"/>
              <w:left w:val="nil"/>
              <w:bottom w:val="single" w:sz="6" w:space="0" w:color="000000"/>
              <w:right w:val="nil"/>
            </w:tcBorders>
            <w:vAlign w:val="bottom"/>
          </w:tcPr>
          <w:p w:rsidR="0073298C" w:rsidRDefault="0073298C" w:rsidP="0073298C">
            <w:pPr>
              <w:spacing w:before="22" w:after="22"/>
              <w:ind w:left="22" w:right="22"/>
              <w:jc w:val="center"/>
              <w:rPr>
                <w:rFonts w:ascii="Arial" w:hAnsi="Arial" w:cs="Arial"/>
                <w:b/>
                <w:bCs w:val="0"/>
                <w:color w:val="000000"/>
                <w:sz w:val="14"/>
                <w:szCs w:val="14"/>
              </w:rPr>
            </w:pPr>
            <w:r>
              <w:rPr>
                <w:rFonts w:ascii="Arial" w:hAnsi="Arial" w:cs="Arial"/>
                <w:b/>
                <w:bCs w:val="0"/>
                <w:color w:val="000000"/>
                <w:sz w:val="14"/>
                <w:szCs w:val="14"/>
              </w:rPr>
              <w:t>2017</w:t>
            </w:r>
          </w:p>
        </w:tc>
        <w:tc>
          <w:tcPr>
            <w:tcW w:w="106" w:type="dxa"/>
            <w:tcBorders>
              <w:top w:val="single" w:sz="6" w:space="0" w:color="00467E"/>
              <w:left w:val="nil"/>
              <w:bottom w:val="nil"/>
              <w:right w:val="nil"/>
            </w:tcBorders>
            <w:vAlign w:val="bottom"/>
          </w:tcPr>
          <w:p w:rsidR="0073298C" w:rsidRDefault="0073298C" w:rsidP="0073298C">
            <w:pPr>
              <w:spacing w:before="22" w:after="22"/>
              <w:ind w:left="22" w:right="22"/>
              <w:rPr>
                <w:color w:val="000000"/>
              </w:rPr>
            </w:pPr>
            <w:r>
              <w:rPr>
                <w:color w:val="000000"/>
              </w:rPr>
              <w:t> </w:t>
            </w:r>
          </w:p>
        </w:tc>
        <w:tc>
          <w:tcPr>
            <w:tcW w:w="1225" w:type="dxa"/>
            <w:gridSpan w:val="3"/>
            <w:tcBorders>
              <w:top w:val="single" w:sz="6" w:space="0" w:color="00467E"/>
              <w:left w:val="nil"/>
              <w:bottom w:val="single" w:sz="6" w:space="0" w:color="000000"/>
              <w:right w:val="nil"/>
            </w:tcBorders>
            <w:vAlign w:val="bottom"/>
          </w:tcPr>
          <w:p w:rsidR="0073298C" w:rsidRDefault="0073298C" w:rsidP="0073298C">
            <w:pPr>
              <w:spacing w:before="22" w:after="22"/>
              <w:ind w:left="22" w:right="22"/>
              <w:jc w:val="center"/>
              <w:rPr>
                <w:rFonts w:ascii="Arial" w:hAnsi="Arial" w:cs="Arial"/>
                <w:b/>
                <w:bCs w:val="0"/>
                <w:color w:val="000000"/>
                <w:sz w:val="14"/>
                <w:szCs w:val="14"/>
              </w:rPr>
            </w:pPr>
            <w:r>
              <w:rPr>
                <w:rFonts w:ascii="Arial" w:hAnsi="Arial" w:cs="Arial"/>
                <w:b/>
                <w:bCs w:val="0"/>
                <w:color w:val="000000"/>
                <w:sz w:val="14"/>
                <w:szCs w:val="14"/>
              </w:rPr>
              <w:t>2016</w:t>
            </w:r>
          </w:p>
        </w:tc>
        <w:tc>
          <w:tcPr>
            <w:tcW w:w="106" w:type="dxa"/>
            <w:tcBorders>
              <w:top w:val="single" w:sz="6" w:space="0" w:color="00467E"/>
              <w:left w:val="nil"/>
              <w:bottom w:val="nil"/>
              <w:right w:val="nil"/>
            </w:tcBorders>
            <w:vAlign w:val="bottom"/>
          </w:tcPr>
          <w:p w:rsidR="0073298C" w:rsidRDefault="0073298C" w:rsidP="0073298C">
            <w:pPr>
              <w:spacing w:before="22" w:after="22"/>
              <w:ind w:left="22" w:right="22"/>
              <w:rPr>
                <w:color w:val="000000"/>
              </w:rPr>
            </w:pPr>
            <w:r>
              <w:rPr>
                <w:color w:val="000000"/>
              </w:rPr>
              <w:t> </w:t>
            </w:r>
          </w:p>
        </w:tc>
        <w:tc>
          <w:tcPr>
            <w:tcW w:w="1225" w:type="dxa"/>
            <w:gridSpan w:val="3"/>
            <w:tcBorders>
              <w:top w:val="single" w:sz="6" w:space="0" w:color="00467E"/>
              <w:left w:val="nil"/>
              <w:bottom w:val="single" w:sz="6" w:space="0" w:color="000000"/>
              <w:right w:val="nil"/>
            </w:tcBorders>
            <w:vAlign w:val="bottom"/>
          </w:tcPr>
          <w:p w:rsidR="0073298C" w:rsidRDefault="0073298C" w:rsidP="0073298C">
            <w:pPr>
              <w:spacing w:before="22" w:after="22"/>
              <w:ind w:left="22" w:right="22"/>
              <w:jc w:val="center"/>
              <w:rPr>
                <w:rFonts w:ascii="Arial" w:hAnsi="Arial" w:cs="Arial"/>
                <w:b/>
                <w:bCs w:val="0"/>
                <w:color w:val="000000"/>
                <w:sz w:val="14"/>
                <w:szCs w:val="14"/>
              </w:rPr>
            </w:pPr>
            <w:r>
              <w:rPr>
                <w:rFonts w:ascii="Arial" w:hAnsi="Arial" w:cs="Arial"/>
                <w:b/>
                <w:bCs w:val="0"/>
                <w:color w:val="000000"/>
                <w:sz w:val="14"/>
                <w:szCs w:val="14"/>
              </w:rPr>
              <w:t>2015</w:t>
            </w:r>
          </w:p>
        </w:tc>
        <w:tc>
          <w:tcPr>
            <w:tcW w:w="106" w:type="dxa"/>
            <w:tcBorders>
              <w:top w:val="single" w:sz="6" w:space="0" w:color="00467E"/>
              <w:left w:val="nil"/>
              <w:bottom w:val="nil"/>
              <w:right w:val="nil"/>
            </w:tcBorders>
            <w:vAlign w:val="bottom"/>
          </w:tcPr>
          <w:p w:rsidR="0073298C" w:rsidRDefault="0073298C" w:rsidP="0073298C">
            <w:pPr>
              <w:spacing w:before="22" w:after="22"/>
              <w:ind w:left="22" w:right="22"/>
              <w:rPr>
                <w:color w:val="000000"/>
              </w:rPr>
            </w:pPr>
            <w:r>
              <w:rPr>
                <w:color w:val="000000"/>
              </w:rPr>
              <w:t> </w:t>
            </w:r>
          </w:p>
        </w:tc>
        <w:tc>
          <w:tcPr>
            <w:tcW w:w="1225" w:type="dxa"/>
            <w:gridSpan w:val="3"/>
            <w:tcBorders>
              <w:top w:val="single" w:sz="6" w:space="0" w:color="000000"/>
              <w:left w:val="nil"/>
              <w:bottom w:val="single" w:sz="6" w:space="0" w:color="000000"/>
              <w:right w:val="nil"/>
            </w:tcBorders>
            <w:vAlign w:val="bottom"/>
          </w:tcPr>
          <w:p w:rsidR="0073298C" w:rsidRDefault="0073298C" w:rsidP="0073298C">
            <w:pPr>
              <w:spacing w:before="22" w:after="22"/>
              <w:ind w:left="22" w:right="22"/>
              <w:jc w:val="center"/>
              <w:rPr>
                <w:rFonts w:ascii="Arial" w:hAnsi="Arial" w:cs="Arial"/>
                <w:b/>
                <w:bCs w:val="0"/>
                <w:color w:val="000000"/>
                <w:sz w:val="12"/>
                <w:szCs w:val="12"/>
                <w:vertAlign w:val="superscript"/>
              </w:rPr>
            </w:pPr>
            <w:r>
              <w:rPr>
                <w:rFonts w:ascii="Arial" w:hAnsi="Arial" w:cs="Arial"/>
                <w:b/>
                <w:bCs w:val="0"/>
                <w:color w:val="000000"/>
                <w:sz w:val="14"/>
                <w:szCs w:val="14"/>
              </w:rPr>
              <w:t xml:space="preserve">2014 </w:t>
            </w:r>
            <w:r>
              <w:rPr>
                <w:rFonts w:ascii="Arial" w:hAnsi="Arial" w:cs="Arial"/>
                <w:b/>
                <w:bCs w:val="0"/>
                <w:color w:val="000000"/>
                <w:sz w:val="12"/>
                <w:szCs w:val="12"/>
                <w:vertAlign w:val="superscript"/>
              </w:rPr>
              <w:t>(8)</w:t>
            </w:r>
          </w:p>
        </w:tc>
        <w:tc>
          <w:tcPr>
            <w:tcW w:w="106" w:type="dxa"/>
            <w:tcBorders>
              <w:top w:val="single" w:sz="6" w:space="0" w:color="00467E"/>
              <w:left w:val="nil"/>
              <w:bottom w:val="nil"/>
              <w:right w:val="nil"/>
            </w:tcBorders>
            <w:vAlign w:val="bottom"/>
          </w:tcPr>
          <w:p w:rsidR="0073298C" w:rsidRDefault="0073298C" w:rsidP="0073298C">
            <w:pPr>
              <w:spacing w:before="22" w:after="22"/>
              <w:ind w:left="22" w:right="22"/>
              <w:rPr>
                <w:color w:val="000000"/>
              </w:rPr>
            </w:pPr>
            <w:r>
              <w:rPr>
                <w:color w:val="000000"/>
              </w:rPr>
              <w:t> </w:t>
            </w:r>
          </w:p>
        </w:tc>
        <w:tc>
          <w:tcPr>
            <w:tcW w:w="1231" w:type="dxa"/>
            <w:gridSpan w:val="3"/>
            <w:tcBorders>
              <w:top w:val="single" w:sz="6" w:space="0" w:color="00467E"/>
              <w:left w:val="nil"/>
              <w:bottom w:val="single" w:sz="6" w:space="0" w:color="000000"/>
              <w:right w:val="single" w:sz="6" w:space="0" w:color="00467E"/>
            </w:tcBorders>
            <w:vAlign w:val="bottom"/>
          </w:tcPr>
          <w:p w:rsidR="0073298C" w:rsidRDefault="0073298C" w:rsidP="0073298C">
            <w:pPr>
              <w:spacing w:before="22" w:after="22"/>
              <w:ind w:left="22" w:right="22"/>
              <w:jc w:val="center"/>
              <w:rPr>
                <w:rFonts w:ascii="Arial" w:hAnsi="Arial" w:cs="Arial"/>
                <w:b/>
                <w:bCs w:val="0"/>
                <w:color w:val="000000"/>
                <w:sz w:val="14"/>
                <w:szCs w:val="14"/>
              </w:rPr>
            </w:pPr>
            <w:r>
              <w:rPr>
                <w:rFonts w:ascii="Arial" w:hAnsi="Arial" w:cs="Arial"/>
                <w:b/>
                <w:bCs w:val="0"/>
                <w:color w:val="000000"/>
                <w:sz w:val="14"/>
                <w:szCs w:val="14"/>
              </w:rPr>
              <w:t>2013</w:t>
            </w:r>
          </w:p>
        </w:tc>
      </w:tr>
      <w:tr w:rsidR="0073298C" w:rsidTr="0073298C">
        <w:tblPrEx>
          <w:tblCellMar>
            <w:top w:w="0" w:type="dxa"/>
            <w:left w:w="0" w:type="dxa"/>
            <w:bottom w:w="0" w:type="dxa"/>
            <w:right w:w="0" w:type="dxa"/>
          </w:tblCellMar>
        </w:tblPrEx>
        <w:trPr>
          <w:gridAfter w:val="1"/>
          <w:wAfter w:w="169" w:type="dxa"/>
          <w:trHeight w:val="281"/>
        </w:trPr>
        <w:tc>
          <w:tcPr>
            <w:tcW w:w="4789" w:type="dxa"/>
            <w:tcBorders>
              <w:top w:val="nil"/>
              <w:left w:val="single" w:sz="6" w:space="0" w:color="00467E"/>
              <w:bottom w:val="nil"/>
              <w:right w:val="nil"/>
            </w:tcBorders>
            <w:shd w:val="clear" w:color="CFD4D8" w:fill="CFD4D8"/>
            <w:vAlign w:val="center"/>
          </w:tcPr>
          <w:p w:rsidR="0073298C" w:rsidRDefault="0073298C" w:rsidP="0073298C">
            <w:pPr>
              <w:spacing w:before="22" w:after="22"/>
              <w:ind w:left="22" w:right="22"/>
              <w:rPr>
                <w:rFonts w:ascii="Arial" w:hAnsi="Arial" w:cs="Arial"/>
                <w:color w:val="000000"/>
                <w:sz w:val="14"/>
                <w:szCs w:val="14"/>
                <w:vertAlign w:val="superscript"/>
              </w:rPr>
            </w:pPr>
            <w:r>
              <w:rPr>
                <w:rFonts w:ascii="Arial" w:hAnsi="Arial" w:cs="Arial"/>
                <w:color w:val="000000"/>
                <w:sz w:val="16"/>
                <w:szCs w:val="16"/>
              </w:rPr>
              <w:t xml:space="preserve">Average revenue per tractor </w:t>
            </w:r>
            <w:r>
              <w:rPr>
                <w:rFonts w:ascii="Arial" w:hAnsi="Arial" w:cs="Arial"/>
                <w:color w:val="000000"/>
                <w:sz w:val="14"/>
                <w:szCs w:val="14"/>
                <w:vertAlign w:val="superscript"/>
              </w:rPr>
              <w:t>(5)</w:t>
            </w:r>
          </w:p>
        </w:tc>
        <w:tc>
          <w:tcPr>
            <w:tcW w:w="110" w:type="dxa"/>
            <w:tcBorders>
              <w:top w:val="nil"/>
              <w:left w:val="nil"/>
              <w:bottom w:val="nil"/>
              <w:right w:val="nil"/>
            </w:tcBorders>
            <w:shd w:val="clear" w:color="CFD4D8" w:fill="CFD4D8"/>
            <w:vAlign w:val="center"/>
          </w:tcPr>
          <w:p w:rsidR="0073298C" w:rsidRDefault="0073298C" w:rsidP="0073298C">
            <w:pPr>
              <w:spacing w:before="22" w:after="22"/>
              <w:ind w:left="22"/>
              <w:rPr>
                <w:rFonts w:ascii="Arial" w:hAnsi="Arial" w:cs="Arial"/>
                <w:color w:val="000000"/>
                <w:sz w:val="16"/>
                <w:szCs w:val="16"/>
              </w:rPr>
            </w:pPr>
            <w:r>
              <w:rPr>
                <w:rFonts w:ascii="Arial" w:hAnsi="Arial" w:cs="Arial"/>
                <w:color w:val="000000"/>
                <w:sz w:val="16"/>
                <w:szCs w:val="16"/>
              </w:rPr>
              <w:t>$</w:t>
            </w:r>
          </w:p>
        </w:tc>
        <w:tc>
          <w:tcPr>
            <w:tcW w:w="952" w:type="dxa"/>
            <w:tcBorders>
              <w:top w:val="nil"/>
              <w:left w:val="nil"/>
              <w:bottom w:val="nil"/>
              <w:right w:val="nil"/>
            </w:tcBorders>
            <w:shd w:val="clear" w:color="CFD4D8" w:fill="CFD4D8"/>
            <w:vAlign w:val="center"/>
          </w:tcPr>
          <w:p w:rsidR="0073298C" w:rsidRDefault="0073298C" w:rsidP="0073298C">
            <w:pPr>
              <w:spacing w:before="22" w:after="22"/>
              <w:jc w:val="right"/>
              <w:rPr>
                <w:rFonts w:ascii="Arial" w:hAnsi="Arial" w:cs="Arial"/>
                <w:color w:val="000000"/>
                <w:sz w:val="16"/>
                <w:szCs w:val="16"/>
              </w:rPr>
            </w:pPr>
            <w:r>
              <w:rPr>
                <w:rFonts w:ascii="Arial" w:hAnsi="Arial" w:cs="Arial"/>
                <w:color w:val="000000"/>
                <w:sz w:val="16"/>
                <w:szCs w:val="16"/>
              </w:rPr>
              <w:t>184,920</w:t>
            </w:r>
          </w:p>
        </w:tc>
        <w:tc>
          <w:tcPr>
            <w:tcW w:w="163" w:type="dxa"/>
            <w:tcBorders>
              <w:top w:val="nil"/>
              <w:left w:val="nil"/>
              <w:bottom w:val="nil"/>
              <w:right w:val="nil"/>
            </w:tcBorders>
            <w:shd w:val="clear" w:color="CFD4D8" w:fill="CFD4D8"/>
            <w:vAlign w:val="bottom"/>
          </w:tcPr>
          <w:p w:rsidR="0073298C" w:rsidRDefault="0073298C" w:rsidP="0073298C">
            <w:pPr>
              <w:spacing w:before="22" w:after="22"/>
              <w:jc w:val="right"/>
              <w:rPr>
                <w:rFonts w:ascii="Arial" w:hAnsi="Arial" w:cs="Arial"/>
                <w:color w:val="000000"/>
                <w:sz w:val="16"/>
                <w:szCs w:val="16"/>
              </w:rPr>
            </w:pPr>
          </w:p>
          <w:p w:rsidR="0073298C" w:rsidRDefault="0073298C" w:rsidP="0073298C">
            <w:pPr>
              <w:rPr>
                <w:sz w:val="16"/>
                <w:szCs w:val="16"/>
              </w:rPr>
            </w:pPr>
            <w:r>
              <w:rPr>
                <w:sz w:val="16"/>
                <w:szCs w:val="16"/>
              </w:rPr>
              <w:t> </w:t>
            </w:r>
          </w:p>
        </w:tc>
        <w:tc>
          <w:tcPr>
            <w:tcW w:w="106" w:type="dxa"/>
            <w:tcBorders>
              <w:top w:val="nil"/>
              <w:left w:val="nil"/>
              <w:bottom w:val="nil"/>
              <w:right w:val="nil"/>
            </w:tcBorders>
            <w:shd w:val="clear" w:color="CFD4D8" w:fill="CFD4D8"/>
            <w:vAlign w:val="bottom"/>
          </w:tcPr>
          <w:p w:rsidR="0073298C" w:rsidRDefault="0073298C" w:rsidP="0073298C">
            <w:pPr>
              <w:spacing w:before="22" w:after="22"/>
              <w:ind w:left="22" w:right="22"/>
              <w:rPr>
                <w:color w:val="000000"/>
              </w:rPr>
            </w:pPr>
            <w:r>
              <w:rPr>
                <w:color w:val="000000"/>
              </w:rPr>
              <w:t> </w:t>
            </w:r>
          </w:p>
        </w:tc>
        <w:tc>
          <w:tcPr>
            <w:tcW w:w="110" w:type="dxa"/>
            <w:tcBorders>
              <w:top w:val="nil"/>
              <w:left w:val="nil"/>
              <w:bottom w:val="nil"/>
              <w:right w:val="nil"/>
            </w:tcBorders>
            <w:shd w:val="clear" w:color="CFD4D8" w:fill="CFD4D8"/>
            <w:vAlign w:val="center"/>
          </w:tcPr>
          <w:p w:rsidR="0073298C" w:rsidRDefault="0073298C" w:rsidP="0073298C">
            <w:pPr>
              <w:spacing w:before="22" w:after="22"/>
              <w:ind w:left="22"/>
              <w:rPr>
                <w:rFonts w:ascii="Arial" w:hAnsi="Arial" w:cs="Arial"/>
                <w:color w:val="000000"/>
                <w:sz w:val="16"/>
                <w:szCs w:val="16"/>
              </w:rPr>
            </w:pPr>
            <w:r>
              <w:rPr>
                <w:rFonts w:ascii="Arial" w:hAnsi="Arial" w:cs="Arial"/>
                <w:color w:val="000000"/>
                <w:sz w:val="16"/>
                <w:szCs w:val="16"/>
              </w:rPr>
              <w:t>$</w:t>
            </w:r>
          </w:p>
        </w:tc>
        <w:tc>
          <w:tcPr>
            <w:tcW w:w="952" w:type="dxa"/>
            <w:tcBorders>
              <w:top w:val="nil"/>
              <w:left w:val="nil"/>
              <w:bottom w:val="nil"/>
              <w:right w:val="nil"/>
            </w:tcBorders>
            <w:shd w:val="clear" w:color="CFD4D8" w:fill="CFD4D8"/>
            <w:vAlign w:val="center"/>
          </w:tcPr>
          <w:p w:rsidR="0073298C" w:rsidRDefault="0073298C" w:rsidP="0073298C">
            <w:pPr>
              <w:spacing w:before="22" w:after="22"/>
              <w:jc w:val="right"/>
              <w:rPr>
                <w:rFonts w:ascii="Arial" w:hAnsi="Arial" w:cs="Arial"/>
                <w:color w:val="000000"/>
                <w:sz w:val="16"/>
                <w:szCs w:val="16"/>
              </w:rPr>
            </w:pPr>
            <w:r>
              <w:rPr>
                <w:rFonts w:ascii="Arial" w:hAnsi="Arial" w:cs="Arial"/>
                <w:color w:val="000000"/>
                <w:sz w:val="16"/>
                <w:szCs w:val="16"/>
              </w:rPr>
              <w:t>172,185</w:t>
            </w:r>
          </w:p>
        </w:tc>
        <w:tc>
          <w:tcPr>
            <w:tcW w:w="163" w:type="dxa"/>
            <w:tcBorders>
              <w:top w:val="nil"/>
              <w:left w:val="nil"/>
              <w:bottom w:val="nil"/>
              <w:right w:val="nil"/>
            </w:tcBorders>
            <w:shd w:val="clear" w:color="CFD4D8" w:fill="CFD4D8"/>
            <w:vAlign w:val="bottom"/>
          </w:tcPr>
          <w:p w:rsidR="0073298C" w:rsidRDefault="0073298C" w:rsidP="0073298C">
            <w:pPr>
              <w:spacing w:before="22" w:after="22"/>
              <w:jc w:val="right"/>
              <w:rPr>
                <w:rFonts w:ascii="Arial" w:hAnsi="Arial" w:cs="Arial"/>
                <w:color w:val="000000"/>
                <w:sz w:val="16"/>
                <w:szCs w:val="16"/>
              </w:rPr>
            </w:pPr>
          </w:p>
          <w:p w:rsidR="0073298C" w:rsidRDefault="0073298C" w:rsidP="0073298C">
            <w:pPr>
              <w:rPr>
                <w:sz w:val="16"/>
                <w:szCs w:val="16"/>
              </w:rPr>
            </w:pPr>
            <w:r>
              <w:rPr>
                <w:sz w:val="16"/>
                <w:szCs w:val="16"/>
              </w:rPr>
              <w:t> </w:t>
            </w:r>
          </w:p>
        </w:tc>
        <w:tc>
          <w:tcPr>
            <w:tcW w:w="106" w:type="dxa"/>
            <w:tcBorders>
              <w:top w:val="nil"/>
              <w:left w:val="nil"/>
              <w:bottom w:val="nil"/>
              <w:right w:val="nil"/>
            </w:tcBorders>
            <w:shd w:val="clear" w:color="CFD4D8" w:fill="CFD4D8"/>
            <w:vAlign w:val="bottom"/>
          </w:tcPr>
          <w:p w:rsidR="0073298C" w:rsidRDefault="0073298C" w:rsidP="0073298C">
            <w:pPr>
              <w:spacing w:before="22" w:after="22"/>
              <w:ind w:left="22" w:right="22"/>
              <w:rPr>
                <w:color w:val="000000"/>
              </w:rPr>
            </w:pPr>
            <w:r>
              <w:rPr>
                <w:color w:val="000000"/>
              </w:rPr>
              <w:t> </w:t>
            </w:r>
          </w:p>
        </w:tc>
        <w:tc>
          <w:tcPr>
            <w:tcW w:w="110" w:type="dxa"/>
            <w:tcBorders>
              <w:top w:val="nil"/>
              <w:left w:val="nil"/>
              <w:bottom w:val="nil"/>
              <w:right w:val="nil"/>
            </w:tcBorders>
            <w:shd w:val="clear" w:color="CFD4D8" w:fill="CFD4D8"/>
            <w:vAlign w:val="center"/>
          </w:tcPr>
          <w:p w:rsidR="0073298C" w:rsidRDefault="0073298C" w:rsidP="0073298C">
            <w:pPr>
              <w:spacing w:before="22" w:after="22"/>
              <w:ind w:left="22"/>
              <w:rPr>
                <w:rFonts w:ascii="Arial" w:hAnsi="Arial" w:cs="Arial"/>
                <w:color w:val="000000"/>
                <w:sz w:val="16"/>
                <w:szCs w:val="16"/>
              </w:rPr>
            </w:pPr>
            <w:r>
              <w:rPr>
                <w:rFonts w:ascii="Arial" w:hAnsi="Arial" w:cs="Arial"/>
                <w:color w:val="000000"/>
                <w:sz w:val="16"/>
                <w:szCs w:val="16"/>
              </w:rPr>
              <w:t>$</w:t>
            </w:r>
          </w:p>
        </w:tc>
        <w:tc>
          <w:tcPr>
            <w:tcW w:w="952" w:type="dxa"/>
            <w:tcBorders>
              <w:top w:val="nil"/>
              <w:left w:val="nil"/>
              <w:bottom w:val="nil"/>
              <w:right w:val="nil"/>
            </w:tcBorders>
            <w:shd w:val="clear" w:color="CFD4D8" w:fill="CFD4D8"/>
            <w:vAlign w:val="center"/>
          </w:tcPr>
          <w:p w:rsidR="0073298C" w:rsidRDefault="0073298C" w:rsidP="0073298C">
            <w:pPr>
              <w:spacing w:before="22" w:after="22"/>
              <w:jc w:val="right"/>
              <w:rPr>
                <w:rFonts w:ascii="Arial" w:hAnsi="Arial" w:cs="Arial"/>
                <w:color w:val="000000"/>
                <w:sz w:val="16"/>
                <w:szCs w:val="16"/>
              </w:rPr>
            </w:pPr>
            <w:r>
              <w:rPr>
                <w:rFonts w:ascii="Arial" w:hAnsi="Arial" w:cs="Arial"/>
                <w:color w:val="000000"/>
                <w:sz w:val="16"/>
                <w:szCs w:val="16"/>
              </w:rPr>
              <w:t>173,329</w:t>
            </w:r>
          </w:p>
        </w:tc>
        <w:tc>
          <w:tcPr>
            <w:tcW w:w="163" w:type="dxa"/>
            <w:tcBorders>
              <w:top w:val="nil"/>
              <w:left w:val="nil"/>
              <w:bottom w:val="nil"/>
              <w:right w:val="nil"/>
            </w:tcBorders>
            <w:shd w:val="clear" w:color="CFD4D8" w:fill="CFD4D8"/>
            <w:vAlign w:val="bottom"/>
          </w:tcPr>
          <w:p w:rsidR="0073298C" w:rsidRDefault="0073298C" w:rsidP="0073298C">
            <w:pPr>
              <w:spacing w:before="22" w:after="22"/>
              <w:jc w:val="right"/>
              <w:rPr>
                <w:rFonts w:ascii="Arial" w:hAnsi="Arial" w:cs="Arial"/>
                <w:color w:val="000000"/>
                <w:sz w:val="16"/>
                <w:szCs w:val="16"/>
              </w:rPr>
            </w:pPr>
          </w:p>
          <w:p w:rsidR="0073298C" w:rsidRDefault="0073298C" w:rsidP="0073298C">
            <w:pPr>
              <w:rPr>
                <w:sz w:val="16"/>
                <w:szCs w:val="16"/>
              </w:rPr>
            </w:pPr>
            <w:r>
              <w:rPr>
                <w:sz w:val="16"/>
                <w:szCs w:val="16"/>
              </w:rPr>
              <w:t> </w:t>
            </w:r>
          </w:p>
        </w:tc>
        <w:tc>
          <w:tcPr>
            <w:tcW w:w="106" w:type="dxa"/>
            <w:tcBorders>
              <w:top w:val="nil"/>
              <w:left w:val="nil"/>
              <w:bottom w:val="nil"/>
              <w:right w:val="nil"/>
            </w:tcBorders>
            <w:shd w:val="clear" w:color="CFD4D8" w:fill="CFD4D8"/>
            <w:vAlign w:val="bottom"/>
          </w:tcPr>
          <w:p w:rsidR="0073298C" w:rsidRDefault="0073298C" w:rsidP="0073298C">
            <w:pPr>
              <w:spacing w:before="22" w:after="22"/>
              <w:ind w:left="22" w:right="22"/>
              <w:rPr>
                <w:color w:val="000000"/>
              </w:rPr>
            </w:pPr>
            <w:r>
              <w:rPr>
                <w:color w:val="000000"/>
              </w:rPr>
              <w:t> </w:t>
            </w:r>
          </w:p>
        </w:tc>
        <w:tc>
          <w:tcPr>
            <w:tcW w:w="110" w:type="dxa"/>
            <w:tcBorders>
              <w:top w:val="nil"/>
              <w:left w:val="nil"/>
              <w:bottom w:val="nil"/>
              <w:right w:val="nil"/>
            </w:tcBorders>
            <w:shd w:val="clear" w:color="CFD4D8" w:fill="CFD4D8"/>
            <w:vAlign w:val="center"/>
          </w:tcPr>
          <w:p w:rsidR="0073298C" w:rsidRDefault="0073298C" w:rsidP="0073298C">
            <w:pPr>
              <w:spacing w:before="22" w:after="22"/>
              <w:ind w:left="22"/>
              <w:rPr>
                <w:rFonts w:ascii="Arial" w:hAnsi="Arial" w:cs="Arial"/>
                <w:color w:val="000000"/>
                <w:sz w:val="16"/>
                <w:szCs w:val="16"/>
              </w:rPr>
            </w:pPr>
            <w:r>
              <w:rPr>
                <w:rFonts w:ascii="Arial" w:hAnsi="Arial" w:cs="Arial"/>
                <w:color w:val="000000"/>
                <w:sz w:val="16"/>
                <w:szCs w:val="16"/>
              </w:rPr>
              <w:t>$</w:t>
            </w:r>
          </w:p>
        </w:tc>
        <w:tc>
          <w:tcPr>
            <w:tcW w:w="952" w:type="dxa"/>
            <w:tcBorders>
              <w:top w:val="nil"/>
              <w:left w:val="nil"/>
              <w:bottom w:val="nil"/>
              <w:right w:val="nil"/>
            </w:tcBorders>
            <w:shd w:val="clear" w:color="CFD4D8" w:fill="CFD4D8"/>
            <w:vAlign w:val="center"/>
          </w:tcPr>
          <w:p w:rsidR="0073298C" w:rsidRDefault="0073298C" w:rsidP="0073298C">
            <w:pPr>
              <w:spacing w:before="22" w:after="22"/>
              <w:jc w:val="right"/>
              <w:rPr>
                <w:rFonts w:ascii="Arial" w:hAnsi="Arial" w:cs="Arial"/>
                <w:color w:val="000000"/>
                <w:sz w:val="16"/>
                <w:szCs w:val="16"/>
              </w:rPr>
            </w:pPr>
            <w:r>
              <w:rPr>
                <w:rFonts w:ascii="Arial" w:hAnsi="Arial" w:cs="Arial"/>
                <w:color w:val="000000"/>
                <w:sz w:val="16"/>
                <w:szCs w:val="16"/>
              </w:rPr>
              <w:t>171,510</w:t>
            </w:r>
          </w:p>
        </w:tc>
        <w:tc>
          <w:tcPr>
            <w:tcW w:w="163" w:type="dxa"/>
            <w:tcBorders>
              <w:top w:val="nil"/>
              <w:left w:val="nil"/>
              <w:bottom w:val="nil"/>
              <w:right w:val="nil"/>
            </w:tcBorders>
            <w:shd w:val="clear" w:color="CFD4D8" w:fill="CFD4D8"/>
            <w:vAlign w:val="bottom"/>
          </w:tcPr>
          <w:p w:rsidR="0073298C" w:rsidRDefault="0073298C" w:rsidP="0073298C">
            <w:pPr>
              <w:spacing w:before="22" w:after="22"/>
              <w:jc w:val="right"/>
              <w:rPr>
                <w:rFonts w:ascii="Arial" w:hAnsi="Arial" w:cs="Arial"/>
                <w:color w:val="000000"/>
                <w:sz w:val="16"/>
                <w:szCs w:val="16"/>
              </w:rPr>
            </w:pPr>
          </w:p>
          <w:p w:rsidR="0073298C" w:rsidRDefault="0073298C" w:rsidP="0073298C">
            <w:pPr>
              <w:rPr>
                <w:sz w:val="16"/>
                <w:szCs w:val="16"/>
              </w:rPr>
            </w:pPr>
            <w:r>
              <w:rPr>
                <w:sz w:val="16"/>
                <w:szCs w:val="16"/>
              </w:rPr>
              <w:t> </w:t>
            </w:r>
          </w:p>
        </w:tc>
        <w:tc>
          <w:tcPr>
            <w:tcW w:w="106" w:type="dxa"/>
            <w:tcBorders>
              <w:top w:val="nil"/>
              <w:left w:val="nil"/>
              <w:bottom w:val="nil"/>
              <w:right w:val="nil"/>
            </w:tcBorders>
            <w:shd w:val="clear" w:color="CFD4D8" w:fill="CFD4D8"/>
            <w:vAlign w:val="bottom"/>
          </w:tcPr>
          <w:p w:rsidR="0073298C" w:rsidRDefault="0073298C" w:rsidP="0073298C">
            <w:pPr>
              <w:spacing w:before="22" w:after="22"/>
              <w:ind w:left="22" w:right="22"/>
              <w:rPr>
                <w:color w:val="000000"/>
              </w:rPr>
            </w:pPr>
            <w:r>
              <w:rPr>
                <w:color w:val="000000"/>
              </w:rPr>
              <w:t> </w:t>
            </w:r>
          </w:p>
        </w:tc>
        <w:tc>
          <w:tcPr>
            <w:tcW w:w="110" w:type="dxa"/>
            <w:tcBorders>
              <w:top w:val="nil"/>
              <w:left w:val="nil"/>
              <w:bottom w:val="nil"/>
              <w:right w:val="nil"/>
            </w:tcBorders>
            <w:shd w:val="clear" w:color="CFD4D8" w:fill="CFD4D8"/>
            <w:vAlign w:val="center"/>
          </w:tcPr>
          <w:p w:rsidR="0073298C" w:rsidRDefault="0073298C" w:rsidP="0073298C">
            <w:pPr>
              <w:spacing w:before="22" w:after="22"/>
              <w:ind w:left="22"/>
              <w:rPr>
                <w:rFonts w:ascii="Arial" w:hAnsi="Arial" w:cs="Arial"/>
                <w:color w:val="000000"/>
                <w:sz w:val="16"/>
                <w:szCs w:val="16"/>
              </w:rPr>
            </w:pPr>
            <w:r>
              <w:rPr>
                <w:rFonts w:ascii="Arial" w:hAnsi="Arial" w:cs="Arial"/>
                <w:color w:val="000000"/>
                <w:sz w:val="16"/>
                <w:szCs w:val="16"/>
              </w:rPr>
              <w:t>$</w:t>
            </w:r>
          </w:p>
        </w:tc>
        <w:tc>
          <w:tcPr>
            <w:tcW w:w="952" w:type="dxa"/>
            <w:tcBorders>
              <w:top w:val="nil"/>
              <w:left w:val="nil"/>
              <w:bottom w:val="nil"/>
              <w:right w:val="nil"/>
            </w:tcBorders>
            <w:shd w:val="clear" w:color="CFD4D8" w:fill="CFD4D8"/>
            <w:vAlign w:val="center"/>
          </w:tcPr>
          <w:p w:rsidR="0073298C" w:rsidRDefault="0073298C" w:rsidP="0073298C">
            <w:pPr>
              <w:spacing w:before="22" w:after="22"/>
              <w:jc w:val="right"/>
              <w:rPr>
                <w:rFonts w:ascii="Arial" w:hAnsi="Arial" w:cs="Arial"/>
                <w:color w:val="000000"/>
                <w:sz w:val="16"/>
                <w:szCs w:val="16"/>
              </w:rPr>
            </w:pPr>
            <w:r>
              <w:rPr>
                <w:rFonts w:ascii="Arial" w:hAnsi="Arial" w:cs="Arial"/>
                <w:color w:val="000000"/>
                <w:sz w:val="16"/>
                <w:szCs w:val="16"/>
              </w:rPr>
              <w:t>160,186</w:t>
            </w:r>
          </w:p>
        </w:tc>
      </w:tr>
      <w:tr w:rsidR="0073298C" w:rsidTr="0073298C">
        <w:tblPrEx>
          <w:tblCellMar>
            <w:top w:w="0" w:type="dxa"/>
            <w:left w:w="0" w:type="dxa"/>
            <w:bottom w:w="0" w:type="dxa"/>
            <w:right w:w="0" w:type="dxa"/>
          </w:tblCellMar>
        </w:tblPrEx>
        <w:trPr>
          <w:gridAfter w:val="1"/>
          <w:wAfter w:w="169" w:type="dxa"/>
          <w:trHeight w:val="281"/>
        </w:trPr>
        <w:tc>
          <w:tcPr>
            <w:tcW w:w="4789" w:type="dxa"/>
            <w:tcBorders>
              <w:top w:val="nil"/>
              <w:left w:val="single" w:sz="6" w:space="0" w:color="00467E"/>
              <w:bottom w:val="nil"/>
              <w:right w:val="nil"/>
            </w:tcBorders>
            <w:vAlign w:val="center"/>
          </w:tcPr>
          <w:p w:rsidR="0073298C" w:rsidRDefault="0073298C" w:rsidP="0073298C">
            <w:pPr>
              <w:spacing w:before="22" w:after="22"/>
              <w:ind w:left="22" w:right="22"/>
              <w:rPr>
                <w:rFonts w:ascii="Arial" w:hAnsi="Arial" w:cs="Arial"/>
                <w:color w:val="000000"/>
                <w:sz w:val="16"/>
                <w:szCs w:val="16"/>
              </w:rPr>
            </w:pPr>
            <w:r>
              <w:rPr>
                <w:rFonts w:ascii="Arial" w:hAnsi="Arial" w:cs="Arial"/>
                <w:color w:val="000000"/>
                <w:sz w:val="16"/>
                <w:szCs w:val="16"/>
              </w:rPr>
              <w:t>Average length of haul (miles)</w:t>
            </w:r>
          </w:p>
        </w:tc>
        <w:tc>
          <w:tcPr>
            <w:tcW w:w="1062" w:type="dxa"/>
            <w:gridSpan w:val="2"/>
            <w:tcBorders>
              <w:top w:val="nil"/>
              <w:left w:val="nil"/>
              <w:bottom w:val="nil"/>
              <w:right w:val="nil"/>
            </w:tcBorders>
            <w:vAlign w:val="center"/>
          </w:tcPr>
          <w:p w:rsidR="0073298C" w:rsidRDefault="0073298C" w:rsidP="0073298C">
            <w:pPr>
              <w:spacing w:before="22" w:after="22"/>
              <w:ind w:left="22"/>
              <w:jc w:val="right"/>
              <w:rPr>
                <w:rFonts w:ascii="Arial" w:hAnsi="Arial" w:cs="Arial"/>
                <w:color w:val="000000"/>
                <w:sz w:val="16"/>
                <w:szCs w:val="16"/>
              </w:rPr>
            </w:pPr>
            <w:r>
              <w:rPr>
                <w:rFonts w:ascii="Arial" w:hAnsi="Arial" w:cs="Arial"/>
                <w:color w:val="000000"/>
                <w:sz w:val="16"/>
                <w:szCs w:val="16"/>
              </w:rPr>
              <w:t>479</w:t>
            </w:r>
          </w:p>
        </w:tc>
        <w:tc>
          <w:tcPr>
            <w:tcW w:w="163" w:type="dxa"/>
            <w:tcBorders>
              <w:top w:val="nil"/>
              <w:left w:val="nil"/>
              <w:bottom w:val="nil"/>
              <w:right w:val="nil"/>
            </w:tcBorders>
            <w:vAlign w:val="bottom"/>
          </w:tcPr>
          <w:p w:rsidR="0073298C" w:rsidRDefault="0073298C" w:rsidP="0073298C">
            <w:pPr>
              <w:spacing w:before="22" w:after="22"/>
              <w:ind w:left="22"/>
              <w:jc w:val="right"/>
              <w:rPr>
                <w:rFonts w:ascii="Arial" w:hAnsi="Arial" w:cs="Arial"/>
                <w:color w:val="000000"/>
                <w:sz w:val="16"/>
                <w:szCs w:val="16"/>
              </w:rPr>
            </w:pPr>
          </w:p>
          <w:p w:rsidR="0073298C" w:rsidRDefault="0073298C" w:rsidP="0073298C">
            <w:pPr>
              <w:rPr>
                <w:sz w:val="16"/>
                <w:szCs w:val="16"/>
              </w:rPr>
            </w:pPr>
            <w:r>
              <w:rPr>
                <w:sz w:val="16"/>
                <w:szCs w:val="16"/>
              </w:rPr>
              <w:t> </w:t>
            </w:r>
          </w:p>
        </w:tc>
        <w:tc>
          <w:tcPr>
            <w:tcW w:w="106" w:type="dxa"/>
            <w:tcBorders>
              <w:top w:val="nil"/>
              <w:left w:val="nil"/>
              <w:bottom w:val="nil"/>
              <w:right w:val="nil"/>
            </w:tcBorders>
            <w:vAlign w:val="bottom"/>
          </w:tcPr>
          <w:p w:rsidR="0073298C" w:rsidRDefault="0073298C" w:rsidP="0073298C">
            <w:pPr>
              <w:spacing w:before="22" w:after="22"/>
              <w:ind w:left="22" w:right="22"/>
              <w:rPr>
                <w:color w:val="000000"/>
              </w:rPr>
            </w:pPr>
            <w:r>
              <w:rPr>
                <w:color w:val="000000"/>
              </w:rPr>
              <w:t> </w:t>
            </w:r>
          </w:p>
        </w:tc>
        <w:tc>
          <w:tcPr>
            <w:tcW w:w="1062" w:type="dxa"/>
            <w:gridSpan w:val="2"/>
            <w:tcBorders>
              <w:top w:val="nil"/>
              <w:left w:val="nil"/>
              <w:bottom w:val="nil"/>
              <w:right w:val="nil"/>
            </w:tcBorders>
            <w:vAlign w:val="center"/>
          </w:tcPr>
          <w:p w:rsidR="0073298C" w:rsidRDefault="0073298C" w:rsidP="0073298C">
            <w:pPr>
              <w:spacing w:before="22" w:after="22"/>
              <w:ind w:left="22"/>
              <w:jc w:val="right"/>
              <w:rPr>
                <w:rFonts w:ascii="Arial" w:hAnsi="Arial" w:cs="Arial"/>
                <w:color w:val="000000"/>
                <w:sz w:val="16"/>
                <w:szCs w:val="16"/>
              </w:rPr>
            </w:pPr>
            <w:r>
              <w:rPr>
                <w:rFonts w:ascii="Arial" w:hAnsi="Arial" w:cs="Arial"/>
                <w:color w:val="000000"/>
                <w:sz w:val="16"/>
                <w:szCs w:val="16"/>
              </w:rPr>
              <w:t>498</w:t>
            </w:r>
          </w:p>
        </w:tc>
        <w:tc>
          <w:tcPr>
            <w:tcW w:w="163" w:type="dxa"/>
            <w:tcBorders>
              <w:top w:val="nil"/>
              <w:left w:val="nil"/>
              <w:bottom w:val="nil"/>
              <w:right w:val="nil"/>
            </w:tcBorders>
            <w:vAlign w:val="bottom"/>
          </w:tcPr>
          <w:p w:rsidR="0073298C" w:rsidRDefault="0073298C" w:rsidP="0073298C">
            <w:pPr>
              <w:spacing w:before="22" w:after="22"/>
              <w:ind w:left="22"/>
              <w:jc w:val="right"/>
              <w:rPr>
                <w:rFonts w:ascii="Arial" w:hAnsi="Arial" w:cs="Arial"/>
                <w:color w:val="000000"/>
                <w:sz w:val="16"/>
                <w:szCs w:val="16"/>
              </w:rPr>
            </w:pPr>
          </w:p>
          <w:p w:rsidR="0073298C" w:rsidRDefault="0073298C" w:rsidP="0073298C">
            <w:pPr>
              <w:rPr>
                <w:sz w:val="16"/>
                <w:szCs w:val="16"/>
              </w:rPr>
            </w:pPr>
            <w:r>
              <w:rPr>
                <w:sz w:val="16"/>
                <w:szCs w:val="16"/>
              </w:rPr>
              <w:t> </w:t>
            </w:r>
          </w:p>
        </w:tc>
        <w:tc>
          <w:tcPr>
            <w:tcW w:w="106" w:type="dxa"/>
            <w:tcBorders>
              <w:top w:val="nil"/>
              <w:left w:val="nil"/>
              <w:bottom w:val="nil"/>
              <w:right w:val="nil"/>
            </w:tcBorders>
            <w:vAlign w:val="bottom"/>
          </w:tcPr>
          <w:p w:rsidR="0073298C" w:rsidRDefault="0073298C" w:rsidP="0073298C">
            <w:pPr>
              <w:spacing w:before="22" w:after="22"/>
              <w:ind w:left="22" w:right="22"/>
              <w:rPr>
                <w:color w:val="000000"/>
              </w:rPr>
            </w:pPr>
            <w:r>
              <w:rPr>
                <w:color w:val="000000"/>
              </w:rPr>
              <w:t> </w:t>
            </w:r>
          </w:p>
        </w:tc>
        <w:tc>
          <w:tcPr>
            <w:tcW w:w="1062" w:type="dxa"/>
            <w:gridSpan w:val="2"/>
            <w:tcBorders>
              <w:top w:val="nil"/>
              <w:left w:val="nil"/>
              <w:bottom w:val="nil"/>
              <w:right w:val="nil"/>
            </w:tcBorders>
            <w:vAlign w:val="center"/>
          </w:tcPr>
          <w:p w:rsidR="0073298C" w:rsidRDefault="0073298C" w:rsidP="0073298C">
            <w:pPr>
              <w:spacing w:before="22" w:after="22"/>
              <w:ind w:left="22"/>
              <w:jc w:val="right"/>
              <w:rPr>
                <w:rFonts w:ascii="Arial" w:hAnsi="Arial" w:cs="Arial"/>
                <w:color w:val="000000"/>
                <w:sz w:val="16"/>
                <w:szCs w:val="16"/>
              </w:rPr>
            </w:pPr>
            <w:r>
              <w:rPr>
                <w:rFonts w:ascii="Arial" w:hAnsi="Arial" w:cs="Arial"/>
                <w:color w:val="000000"/>
                <w:sz w:val="16"/>
                <w:szCs w:val="16"/>
              </w:rPr>
              <w:t>503</w:t>
            </w:r>
          </w:p>
        </w:tc>
        <w:tc>
          <w:tcPr>
            <w:tcW w:w="163" w:type="dxa"/>
            <w:tcBorders>
              <w:top w:val="nil"/>
              <w:left w:val="nil"/>
              <w:bottom w:val="nil"/>
              <w:right w:val="nil"/>
            </w:tcBorders>
            <w:vAlign w:val="bottom"/>
          </w:tcPr>
          <w:p w:rsidR="0073298C" w:rsidRDefault="0073298C" w:rsidP="0073298C">
            <w:pPr>
              <w:spacing w:before="22" w:after="22"/>
              <w:ind w:left="22"/>
              <w:jc w:val="right"/>
              <w:rPr>
                <w:rFonts w:ascii="Arial" w:hAnsi="Arial" w:cs="Arial"/>
                <w:color w:val="000000"/>
                <w:sz w:val="16"/>
                <w:szCs w:val="16"/>
              </w:rPr>
            </w:pPr>
          </w:p>
          <w:p w:rsidR="0073298C" w:rsidRDefault="0073298C" w:rsidP="0073298C">
            <w:pPr>
              <w:rPr>
                <w:sz w:val="16"/>
                <w:szCs w:val="16"/>
              </w:rPr>
            </w:pPr>
            <w:r>
              <w:rPr>
                <w:sz w:val="16"/>
                <w:szCs w:val="16"/>
              </w:rPr>
              <w:t> </w:t>
            </w:r>
          </w:p>
        </w:tc>
        <w:tc>
          <w:tcPr>
            <w:tcW w:w="106" w:type="dxa"/>
            <w:tcBorders>
              <w:top w:val="nil"/>
              <w:left w:val="nil"/>
              <w:bottom w:val="nil"/>
              <w:right w:val="nil"/>
            </w:tcBorders>
            <w:vAlign w:val="bottom"/>
          </w:tcPr>
          <w:p w:rsidR="0073298C" w:rsidRDefault="0073298C" w:rsidP="0073298C">
            <w:pPr>
              <w:spacing w:before="22" w:after="22"/>
              <w:ind w:left="22" w:right="22"/>
              <w:rPr>
                <w:color w:val="000000"/>
              </w:rPr>
            </w:pPr>
            <w:r>
              <w:rPr>
                <w:color w:val="000000"/>
              </w:rPr>
              <w:t> </w:t>
            </w:r>
          </w:p>
        </w:tc>
        <w:tc>
          <w:tcPr>
            <w:tcW w:w="1062" w:type="dxa"/>
            <w:gridSpan w:val="2"/>
            <w:tcBorders>
              <w:top w:val="nil"/>
              <w:left w:val="nil"/>
              <w:bottom w:val="nil"/>
              <w:right w:val="nil"/>
            </w:tcBorders>
            <w:vAlign w:val="center"/>
          </w:tcPr>
          <w:p w:rsidR="0073298C" w:rsidRDefault="0073298C" w:rsidP="0073298C">
            <w:pPr>
              <w:spacing w:before="22" w:after="22"/>
              <w:ind w:left="22"/>
              <w:jc w:val="right"/>
              <w:rPr>
                <w:rFonts w:ascii="Arial" w:hAnsi="Arial" w:cs="Arial"/>
                <w:color w:val="000000"/>
                <w:sz w:val="16"/>
                <w:szCs w:val="16"/>
              </w:rPr>
            </w:pPr>
            <w:r>
              <w:rPr>
                <w:rFonts w:ascii="Arial" w:hAnsi="Arial" w:cs="Arial"/>
                <w:color w:val="000000"/>
                <w:sz w:val="16"/>
                <w:szCs w:val="16"/>
              </w:rPr>
              <w:t>492</w:t>
            </w:r>
          </w:p>
        </w:tc>
        <w:tc>
          <w:tcPr>
            <w:tcW w:w="163" w:type="dxa"/>
            <w:tcBorders>
              <w:top w:val="nil"/>
              <w:left w:val="nil"/>
              <w:bottom w:val="nil"/>
              <w:right w:val="nil"/>
            </w:tcBorders>
            <w:vAlign w:val="bottom"/>
          </w:tcPr>
          <w:p w:rsidR="0073298C" w:rsidRDefault="0073298C" w:rsidP="0073298C">
            <w:pPr>
              <w:spacing w:before="22" w:after="22"/>
              <w:ind w:left="22"/>
              <w:jc w:val="right"/>
              <w:rPr>
                <w:rFonts w:ascii="Arial" w:hAnsi="Arial" w:cs="Arial"/>
                <w:color w:val="000000"/>
                <w:sz w:val="16"/>
                <w:szCs w:val="16"/>
              </w:rPr>
            </w:pPr>
          </w:p>
          <w:p w:rsidR="0073298C" w:rsidRDefault="0073298C" w:rsidP="0073298C">
            <w:pPr>
              <w:rPr>
                <w:sz w:val="16"/>
                <w:szCs w:val="16"/>
              </w:rPr>
            </w:pPr>
            <w:r>
              <w:rPr>
                <w:sz w:val="16"/>
                <w:szCs w:val="16"/>
              </w:rPr>
              <w:t> </w:t>
            </w:r>
          </w:p>
        </w:tc>
        <w:tc>
          <w:tcPr>
            <w:tcW w:w="106" w:type="dxa"/>
            <w:tcBorders>
              <w:top w:val="nil"/>
              <w:left w:val="nil"/>
              <w:bottom w:val="nil"/>
              <w:right w:val="nil"/>
            </w:tcBorders>
            <w:vAlign w:val="bottom"/>
          </w:tcPr>
          <w:p w:rsidR="0073298C" w:rsidRDefault="0073298C" w:rsidP="0073298C">
            <w:pPr>
              <w:spacing w:before="22" w:after="22"/>
              <w:ind w:left="22" w:right="22"/>
              <w:rPr>
                <w:color w:val="000000"/>
              </w:rPr>
            </w:pPr>
            <w:r>
              <w:rPr>
                <w:color w:val="000000"/>
              </w:rPr>
              <w:t> </w:t>
            </w:r>
          </w:p>
        </w:tc>
        <w:tc>
          <w:tcPr>
            <w:tcW w:w="1062" w:type="dxa"/>
            <w:gridSpan w:val="2"/>
            <w:tcBorders>
              <w:top w:val="nil"/>
              <w:left w:val="nil"/>
              <w:bottom w:val="nil"/>
              <w:right w:val="nil"/>
            </w:tcBorders>
            <w:vAlign w:val="center"/>
          </w:tcPr>
          <w:p w:rsidR="0073298C" w:rsidRDefault="0073298C" w:rsidP="0073298C">
            <w:pPr>
              <w:spacing w:before="22" w:after="22"/>
              <w:ind w:left="22"/>
              <w:jc w:val="right"/>
              <w:rPr>
                <w:rFonts w:ascii="Arial" w:hAnsi="Arial" w:cs="Arial"/>
                <w:color w:val="000000"/>
                <w:sz w:val="16"/>
                <w:szCs w:val="16"/>
              </w:rPr>
            </w:pPr>
            <w:r>
              <w:rPr>
                <w:rFonts w:ascii="Arial" w:hAnsi="Arial" w:cs="Arial"/>
                <w:color w:val="000000"/>
                <w:sz w:val="16"/>
                <w:szCs w:val="16"/>
              </w:rPr>
              <w:t>479</w:t>
            </w:r>
          </w:p>
        </w:tc>
      </w:tr>
      <w:tr w:rsidR="0073298C" w:rsidTr="0073298C">
        <w:tblPrEx>
          <w:tblCellMar>
            <w:top w:w="0" w:type="dxa"/>
            <w:left w:w="0" w:type="dxa"/>
            <w:bottom w:w="0" w:type="dxa"/>
            <w:right w:w="0" w:type="dxa"/>
          </w:tblCellMar>
        </w:tblPrEx>
        <w:trPr>
          <w:gridAfter w:val="1"/>
          <w:wAfter w:w="169" w:type="dxa"/>
          <w:trHeight w:val="281"/>
        </w:trPr>
        <w:tc>
          <w:tcPr>
            <w:tcW w:w="4789" w:type="dxa"/>
            <w:tcBorders>
              <w:top w:val="nil"/>
              <w:left w:val="single" w:sz="6" w:space="0" w:color="00467E"/>
              <w:bottom w:val="nil"/>
              <w:right w:val="nil"/>
            </w:tcBorders>
            <w:shd w:val="clear" w:color="CFD4D8" w:fill="CFD4D8"/>
            <w:vAlign w:val="center"/>
          </w:tcPr>
          <w:p w:rsidR="0073298C" w:rsidRDefault="0073298C" w:rsidP="0073298C">
            <w:pPr>
              <w:spacing w:before="22" w:after="22"/>
              <w:ind w:left="22" w:right="22"/>
              <w:rPr>
                <w:rFonts w:ascii="Arial" w:hAnsi="Arial" w:cs="Arial"/>
                <w:color w:val="000000"/>
                <w:sz w:val="16"/>
                <w:szCs w:val="16"/>
              </w:rPr>
            </w:pPr>
            <w:r>
              <w:rPr>
                <w:rFonts w:ascii="Arial" w:hAnsi="Arial" w:cs="Arial"/>
                <w:color w:val="000000"/>
                <w:sz w:val="16"/>
                <w:szCs w:val="16"/>
              </w:rPr>
              <w:t>Non-paid empty miles percentage</w:t>
            </w:r>
          </w:p>
        </w:tc>
        <w:tc>
          <w:tcPr>
            <w:tcW w:w="1062" w:type="dxa"/>
            <w:gridSpan w:val="2"/>
            <w:tcBorders>
              <w:top w:val="nil"/>
              <w:left w:val="nil"/>
              <w:bottom w:val="nil"/>
              <w:right w:val="nil"/>
            </w:tcBorders>
            <w:shd w:val="clear" w:color="CFD4D8" w:fill="CFD4D8"/>
            <w:vAlign w:val="center"/>
          </w:tcPr>
          <w:p w:rsidR="0073298C" w:rsidRDefault="0073298C" w:rsidP="0073298C">
            <w:pPr>
              <w:spacing w:before="22" w:after="22"/>
              <w:ind w:left="22"/>
              <w:jc w:val="right"/>
              <w:rPr>
                <w:rFonts w:ascii="Arial" w:hAnsi="Arial" w:cs="Arial"/>
                <w:color w:val="000000"/>
                <w:sz w:val="16"/>
                <w:szCs w:val="16"/>
              </w:rPr>
            </w:pPr>
            <w:r>
              <w:rPr>
                <w:rFonts w:ascii="Arial" w:hAnsi="Arial" w:cs="Arial"/>
                <w:color w:val="000000"/>
                <w:sz w:val="16"/>
                <w:szCs w:val="16"/>
              </w:rPr>
              <w:t>12.6</w:t>
            </w:r>
          </w:p>
        </w:tc>
        <w:tc>
          <w:tcPr>
            <w:tcW w:w="163" w:type="dxa"/>
            <w:tcBorders>
              <w:top w:val="nil"/>
              <w:left w:val="nil"/>
              <w:bottom w:val="nil"/>
              <w:right w:val="nil"/>
            </w:tcBorders>
            <w:shd w:val="clear" w:color="CFD4D8" w:fill="CFD4D8"/>
            <w:vAlign w:val="center"/>
          </w:tcPr>
          <w:p w:rsidR="0073298C" w:rsidRDefault="0073298C" w:rsidP="0073298C">
            <w:pPr>
              <w:spacing w:before="22" w:after="22"/>
              <w:ind w:right="22"/>
              <w:rPr>
                <w:rFonts w:ascii="Arial" w:hAnsi="Arial" w:cs="Arial"/>
                <w:color w:val="000000"/>
                <w:sz w:val="16"/>
                <w:szCs w:val="16"/>
              </w:rPr>
            </w:pPr>
            <w:r>
              <w:rPr>
                <w:rFonts w:ascii="Arial" w:hAnsi="Arial" w:cs="Arial"/>
                <w:color w:val="000000"/>
                <w:sz w:val="16"/>
                <w:szCs w:val="16"/>
              </w:rPr>
              <w:t>%</w:t>
            </w:r>
          </w:p>
        </w:tc>
        <w:tc>
          <w:tcPr>
            <w:tcW w:w="106" w:type="dxa"/>
            <w:tcBorders>
              <w:top w:val="nil"/>
              <w:left w:val="nil"/>
              <w:bottom w:val="nil"/>
              <w:right w:val="nil"/>
            </w:tcBorders>
            <w:shd w:val="clear" w:color="CFD4D8" w:fill="CFD4D8"/>
            <w:vAlign w:val="bottom"/>
          </w:tcPr>
          <w:p w:rsidR="0073298C" w:rsidRDefault="0073298C" w:rsidP="0073298C">
            <w:pPr>
              <w:spacing w:before="22" w:after="22"/>
              <w:ind w:left="22" w:right="22"/>
              <w:rPr>
                <w:color w:val="000000"/>
              </w:rPr>
            </w:pPr>
            <w:r>
              <w:rPr>
                <w:color w:val="000000"/>
              </w:rPr>
              <w:t> </w:t>
            </w:r>
          </w:p>
        </w:tc>
        <w:tc>
          <w:tcPr>
            <w:tcW w:w="1062" w:type="dxa"/>
            <w:gridSpan w:val="2"/>
            <w:tcBorders>
              <w:top w:val="nil"/>
              <w:left w:val="nil"/>
              <w:bottom w:val="nil"/>
              <w:right w:val="nil"/>
            </w:tcBorders>
            <w:shd w:val="clear" w:color="CFD4D8" w:fill="CFD4D8"/>
            <w:vAlign w:val="center"/>
          </w:tcPr>
          <w:p w:rsidR="0073298C" w:rsidRDefault="0073298C" w:rsidP="0073298C">
            <w:pPr>
              <w:spacing w:before="22" w:after="22"/>
              <w:ind w:left="22"/>
              <w:jc w:val="right"/>
              <w:rPr>
                <w:rFonts w:ascii="Arial" w:hAnsi="Arial" w:cs="Arial"/>
                <w:color w:val="000000"/>
                <w:sz w:val="16"/>
                <w:szCs w:val="16"/>
              </w:rPr>
            </w:pPr>
            <w:r>
              <w:rPr>
                <w:rFonts w:ascii="Arial" w:hAnsi="Arial" w:cs="Arial"/>
                <w:color w:val="000000"/>
                <w:sz w:val="16"/>
                <w:szCs w:val="16"/>
              </w:rPr>
              <w:t>12.5</w:t>
            </w:r>
          </w:p>
        </w:tc>
        <w:tc>
          <w:tcPr>
            <w:tcW w:w="163" w:type="dxa"/>
            <w:tcBorders>
              <w:top w:val="nil"/>
              <w:left w:val="nil"/>
              <w:bottom w:val="nil"/>
              <w:right w:val="nil"/>
            </w:tcBorders>
            <w:shd w:val="clear" w:color="CFD4D8" w:fill="CFD4D8"/>
            <w:vAlign w:val="center"/>
          </w:tcPr>
          <w:p w:rsidR="0073298C" w:rsidRDefault="0073298C" w:rsidP="0073298C">
            <w:pPr>
              <w:spacing w:before="22" w:after="22"/>
              <w:ind w:right="22"/>
              <w:rPr>
                <w:rFonts w:ascii="Arial" w:hAnsi="Arial" w:cs="Arial"/>
                <w:color w:val="000000"/>
                <w:sz w:val="16"/>
                <w:szCs w:val="16"/>
              </w:rPr>
            </w:pPr>
            <w:r>
              <w:rPr>
                <w:rFonts w:ascii="Arial" w:hAnsi="Arial" w:cs="Arial"/>
                <w:color w:val="000000"/>
                <w:sz w:val="16"/>
                <w:szCs w:val="16"/>
              </w:rPr>
              <w:t>%</w:t>
            </w:r>
          </w:p>
        </w:tc>
        <w:tc>
          <w:tcPr>
            <w:tcW w:w="106" w:type="dxa"/>
            <w:tcBorders>
              <w:top w:val="nil"/>
              <w:left w:val="nil"/>
              <w:bottom w:val="nil"/>
              <w:right w:val="nil"/>
            </w:tcBorders>
            <w:shd w:val="clear" w:color="CFD4D8" w:fill="CFD4D8"/>
            <w:vAlign w:val="bottom"/>
          </w:tcPr>
          <w:p w:rsidR="0073298C" w:rsidRDefault="0073298C" w:rsidP="0073298C">
            <w:pPr>
              <w:spacing w:before="22" w:after="22"/>
              <w:ind w:left="22" w:right="22"/>
              <w:rPr>
                <w:color w:val="000000"/>
              </w:rPr>
            </w:pPr>
            <w:r>
              <w:rPr>
                <w:color w:val="000000"/>
              </w:rPr>
              <w:t> </w:t>
            </w:r>
          </w:p>
        </w:tc>
        <w:tc>
          <w:tcPr>
            <w:tcW w:w="1062" w:type="dxa"/>
            <w:gridSpan w:val="2"/>
            <w:tcBorders>
              <w:top w:val="nil"/>
              <w:left w:val="nil"/>
              <w:bottom w:val="nil"/>
              <w:right w:val="nil"/>
            </w:tcBorders>
            <w:shd w:val="clear" w:color="CFD4D8" w:fill="CFD4D8"/>
            <w:vAlign w:val="center"/>
          </w:tcPr>
          <w:p w:rsidR="0073298C" w:rsidRDefault="0073298C" w:rsidP="0073298C">
            <w:pPr>
              <w:spacing w:before="22" w:after="22"/>
              <w:ind w:left="22"/>
              <w:jc w:val="right"/>
              <w:rPr>
                <w:rFonts w:ascii="Arial" w:hAnsi="Arial" w:cs="Arial"/>
                <w:color w:val="000000"/>
                <w:sz w:val="16"/>
                <w:szCs w:val="16"/>
              </w:rPr>
            </w:pPr>
            <w:r>
              <w:rPr>
                <w:rFonts w:ascii="Arial" w:hAnsi="Arial" w:cs="Arial"/>
                <w:color w:val="000000"/>
                <w:sz w:val="16"/>
                <w:szCs w:val="16"/>
              </w:rPr>
              <w:t>12.0</w:t>
            </w:r>
          </w:p>
        </w:tc>
        <w:tc>
          <w:tcPr>
            <w:tcW w:w="163" w:type="dxa"/>
            <w:tcBorders>
              <w:top w:val="nil"/>
              <w:left w:val="nil"/>
              <w:bottom w:val="nil"/>
              <w:right w:val="nil"/>
            </w:tcBorders>
            <w:shd w:val="clear" w:color="CFD4D8" w:fill="CFD4D8"/>
            <w:vAlign w:val="center"/>
          </w:tcPr>
          <w:p w:rsidR="0073298C" w:rsidRDefault="0073298C" w:rsidP="0073298C">
            <w:pPr>
              <w:spacing w:before="22" w:after="22"/>
              <w:ind w:right="22"/>
              <w:rPr>
                <w:rFonts w:ascii="Arial" w:hAnsi="Arial" w:cs="Arial"/>
                <w:color w:val="000000"/>
                <w:sz w:val="16"/>
                <w:szCs w:val="16"/>
              </w:rPr>
            </w:pPr>
            <w:r>
              <w:rPr>
                <w:rFonts w:ascii="Arial" w:hAnsi="Arial" w:cs="Arial"/>
                <w:color w:val="000000"/>
                <w:sz w:val="16"/>
                <w:szCs w:val="16"/>
              </w:rPr>
              <w:t>%</w:t>
            </w:r>
          </w:p>
        </w:tc>
        <w:tc>
          <w:tcPr>
            <w:tcW w:w="106" w:type="dxa"/>
            <w:tcBorders>
              <w:top w:val="nil"/>
              <w:left w:val="nil"/>
              <w:bottom w:val="nil"/>
              <w:right w:val="nil"/>
            </w:tcBorders>
            <w:shd w:val="clear" w:color="CFD4D8" w:fill="CFD4D8"/>
            <w:vAlign w:val="bottom"/>
          </w:tcPr>
          <w:p w:rsidR="0073298C" w:rsidRDefault="0073298C" w:rsidP="0073298C">
            <w:pPr>
              <w:spacing w:before="22" w:after="22"/>
              <w:ind w:left="22" w:right="22"/>
              <w:rPr>
                <w:color w:val="000000"/>
              </w:rPr>
            </w:pPr>
            <w:r>
              <w:rPr>
                <w:color w:val="000000"/>
              </w:rPr>
              <w:t> </w:t>
            </w:r>
          </w:p>
        </w:tc>
        <w:tc>
          <w:tcPr>
            <w:tcW w:w="1062" w:type="dxa"/>
            <w:gridSpan w:val="2"/>
            <w:tcBorders>
              <w:top w:val="nil"/>
              <w:left w:val="nil"/>
              <w:bottom w:val="nil"/>
              <w:right w:val="nil"/>
            </w:tcBorders>
            <w:shd w:val="clear" w:color="CFD4D8" w:fill="CFD4D8"/>
            <w:vAlign w:val="center"/>
          </w:tcPr>
          <w:p w:rsidR="0073298C" w:rsidRDefault="0073298C" w:rsidP="0073298C">
            <w:pPr>
              <w:spacing w:before="22" w:after="22"/>
              <w:ind w:left="22"/>
              <w:jc w:val="right"/>
              <w:rPr>
                <w:rFonts w:ascii="Arial" w:hAnsi="Arial" w:cs="Arial"/>
                <w:color w:val="000000"/>
                <w:sz w:val="16"/>
                <w:szCs w:val="16"/>
              </w:rPr>
            </w:pPr>
            <w:r>
              <w:rPr>
                <w:rFonts w:ascii="Arial" w:hAnsi="Arial" w:cs="Arial"/>
                <w:color w:val="000000"/>
                <w:sz w:val="16"/>
                <w:szCs w:val="16"/>
              </w:rPr>
              <w:t>10.1</w:t>
            </w:r>
          </w:p>
        </w:tc>
        <w:tc>
          <w:tcPr>
            <w:tcW w:w="163" w:type="dxa"/>
            <w:tcBorders>
              <w:top w:val="nil"/>
              <w:left w:val="nil"/>
              <w:bottom w:val="nil"/>
              <w:right w:val="nil"/>
            </w:tcBorders>
            <w:shd w:val="clear" w:color="CFD4D8" w:fill="CFD4D8"/>
            <w:vAlign w:val="center"/>
          </w:tcPr>
          <w:p w:rsidR="0073298C" w:rsidRDefault="0073298C" w:rsidP="0073298C">
            <w:pPr>
              <w:spacing w:before="22" w:after="22"/>
              <w:ind w:right="22"/>
              <w:rPr>
                <w:rFonts w:ascii="Arial" w:hAnsi="Arial" w:cs="Arial"/>
                <w:color w:val="000000"/>
                <w:sz w:val="16"/>
                <w:szCs w:val="16"/>
              </w:rPr>
            </w:pPr>
            <w:r>
              <w:rPr>
                <w:rFonts w:ascii="Arial" w:hAnsi="Arial" w:cs="Arial"/>
                <w:color w:val="000000"/>
                <w:sz w:val="16"/>
                <w:szCs w:val="16"/>
              </w:rPr>
              <w:t>%</w:t>
            </w:r>
          </w:p>
        </w:tc>
        <w:tc>
          <w:tcPr>
            <w:tcW w:w="106" w:type="dxa"/>
            <w:tcBorders>
              <w:top w:val="nil"/>
              <w:left w:val="nil"/>
              <w:bottom w:val="nil"/>
              <w:right w:val="nil"/>
            </w:tcBorders>
            <w:shd w:val="clear" w:color="CFD4D8" w:fill="CFD4D8"/>
            <w:vAlign w:val="bottom"/>
          </w:tcPr>
          <w:p w:rsidR="0073298C" w:rsidRDefault="0073298C" w:rsidP="0073298C">
            <w:pPr>
              <w:spacing w:before="22" w:after="22"/>
              <w:ind w:left="22" w:right="22"/>
              <w:rPr>
                <w:color w:val="000000"/>
              </w:rPr>
            </w:pPr>
            <w:r>
              <w:rPr>
                <w:color w:val="000000"/>
              </w:rPr>
              <w:t> </w:t>
            </w:r>
          </w:p>
        </w:tc>
        <w:tc>
          <w:tcPr>
            <w:tcW w:w="1062" w:type="dxa"/>
            <w:gridSpan w:val="2"/>
            <w:tcBorders>
              <w:top w:val="nil"/>
              <w:left w:val="nil"/>
              <w:bottom w:val="nil"/>
              <w:right w:val="nil"/>
            </w:tcBorders>
            <w:shd w:val="clear" w:color="CFD4D8" w:fill="CFD4D8"/>
            <w:vAlign w:val="center"/>
          </w:tcPr>
          <w:p w:rsidR="0073298C" w:rsidRDefault="0073298C" w:rsidP="0073298C">
            <w:pPr>
              <w:spacing w:before="22" w:after="22"/>
              <w:ind w:left="22"/>
              <w:jc w:val="right"/>
              <w:rPr>
                <w:rFonts w:ascii="Arial" w:hAnsi="Arial" w:cs="Arial"/>
                <w:color w:val="000000"/>
                <w:sz w:val="16"/>
                <w:szCs w:val="16"/>
              </w:rPr>
            </w:pPr>
            <w:r>
              <w:rPr>
                <w:rFonts w:ascii="Arial" w:hAnsi="Arial" w:cs="Arial"/>
                <w:color w:val="000000"/>
                <w:sz w:val="16"/>
                <w:szCs w:val="16"/>
              </w:rPr>
              <w:t>10.6</w:t>
            </w:r>
          </w:p>
        </w:tc>
      </w:tr>
      <w:tr w:rsidR="0073298C" w:rsidTr="0073298C">
        <w:tblPrEx>
          <w:tblCellMar>
            <w:top w:w="0" w:type="dxa"/>
            <w:left w:w="0" w:type="dxa"/>
            <w:bottom w:w="0" w:type="dxa"/>
            <w:right w:w="0" w:type="dxa"/>
          </w:tblCellMar>
        </w:tblPrEx>
        <w:trPr>
          <w:gridAfter w:val="1"/>
          <w:wAfter w:w="169" w:type="dxa"/>
          <w:trHeight w:val="281"/>
        </w:trPr>
        <w:tc>
          <w:tcPr>
            <w:tcW w:w="4789" w:type="dxa"/>
            <w:tcBorders>
              <w:top w:val="nil"/>
              <w:left w:val="single" w:sz="6" w:space="0" w:color="00467E"/>
              <w:bottom w:val="nil"/>
              <w:right w:val="nil"/>
            </w:tcBorders>
            <w:vAlign w:val="center"/>
          </w:tcPr>
          <w:p w:rsidR="0073298C" w:rsidRDefault="0073298C" w:rsidP="0073298C">
            <w:pPr>
              <w:spacing w:before="22" w:after="22"/>
              <w:ind w:left="22" w:right="22"/>
              <w:rPr>
                <w:rFonts w:ascii="Arial" w:hAnsi="Arial" w:cs="Arial"/>
                <w:color w:val="000000"/>
                <w:sz w:val="14"/>
                <w:szCs w:val="14"/>
                <w:vertAlign w:val="superscript"/>
              </w:rPr>
            </w:pPr>
            <w:r>
              <w:rPr>
                <w:rFonts w:ascii="Arial" w:hAnsi="Arial" w:cs="Arial"/>
                <w:color w:val="000000"/>
                <w:sz w:val="16"/>
                <w:szCs w:val="16"/>
              </w:rPr>
              <w:t xml:space="preserve">Average tractors </w:t>
            </w:r>
            <w:r>
              <w:rPr>
                <w:rFonts w:ascii="Arial" w:hAnsi="Arial" w:cs="Arial"/>
                <w:color w:val="000000"/>
                <w:sz w:val="14"/>
                <w:szCs w:val="14"/>
                <w:vertAlign w:val="superscript"/>
              </w:rPr>
              <w:t>(6) (7)</w:t>
            </w:r>
          </w:p>
        </w:tc>
        <w:tc>
          <w:tcPr>
            <w:tcW w:w="1062" w:type="dxa"/>
            <w:gridSpan w:val="2"/>
            <w:tcBorders>
              <w:top w:val="nil"/>
              <w:left w:val="nil"/>
              <w:bottom w:val="nil"/>
              <w:right w:val="nil"/>
            </w:tcBorders>
            <w:vAlign w:val="center"/>
          </w:tcPr>
          <w:p w:rsidR="0073298C" w:rsidRDefault="0073298C" w:rsidP="0073298C">
            <w:pPr>
              <w:spacing w:before="22" w:after="22"/>
              <w:ind w:left="22"/>
              <w:jc w:val="right"/>
              <w:rPr>
                <w:rFonts w:ascii="Arial" w:hAnsi="Arial" w:cs="Arial"/>
                <w:color w:val="000000"/>
                <w:sz w:val="16"/>
                <w:szCs w:val="16"/>
              </w:rPr>
            </w:pPr>
            <w:r>
              <w:rPr>
                <w:rFonts w:ascii="Arial" w:hAnsi="Arial" w:cs="Arial"/>
                <w:color w:val="000000"/>
                <w:sz w:val="16"/>
                <w:szCs w:val="16"/>
              </w:rPr>
              <w:t>9,432</w:t>
            </w:r>
          </w:p>
        </w:tc>
        <w:tc>
          <w:tcPr>
            <w:tcW w:w="163" w:type="dxa"/>
            <w:tcBorders>
              <w:top w:val="nil"/>
              <w:left w:val="nil"/>
              <w:bottom w:val="nil"/>
              <w:right w:val="nil"/>
            </w:tcBorders>
            <w:vAlign w:val="bottom"/>
          </w:tcPr>
          <w:p w:rsidR="0073298C" w:rsidRDefault="0073298C" w:rsidP="0073298C">
            <w:pPr>
              <w:spacing w:before="22" w:after="22"/>
              <w:ind w:left="22"/>
              <w:jc w:val="right"/>
              <w:rPr>
                <w:rFonts w:ascii="Arial" w:hAnsi="Arial" w:cs="Arial"/>
                <w:color w:val="000000"/>
                <w:sz w:val="16"/>
                <w:szCs w:val="16"/>
              </w:rPr>
            </w:pPr>
          </w:p>
          <w:p w:rsidR="0073298C" w:rsidRDefault="0073298C" w:rsidP="0073298C">
            <w:pPr>
              <w:rPr>
                <w:sz w:val="16"/>
                <w:szCs w:val="16"/>
              </w:rPr>
            </w:pPr>
            <w:r>
              <w:rPr>
                <w:sz w:val="16"/>
                <w:szCs w:val="16"/>
              </w:rPr>
              <w:t> </w:t>
            </w:r>
          </w:p>
        </w:tc>
        <w:tc>
          <w:tcPr>
            <w:tcW w:w="106" w:type="dxa"/>
            <w:tcBorders>
              <w:top w:val="nil"/>
              <w:left w:val="nil"/>
              <w:bottom w:val="nil"/>
              <w:right w:val="nil"/>
            </w:tcBorders>
            <w:vAlign w:val="bottom"/>
          </w:tcPr>
          <w:p w:rsidR="0073298C" w:rsidRDefault="0073298C" w:rsidP="0073298C">
            <w:pPr>
              <w:spacing w:before="22" w:after="22"/>
              <w:ind w:left="22" w:right="22"/>
              <w:rPr>
                <w:color w:val="000000"/>
              </w:rPr>
            </w:pPr>
            <w:r>
              <w:rPr>
                <w:color w:val="000000"/>
              </w:rPr>
              <w:t> </w:t>
            </w:r>
          </w:p>
        </w:tc>
        <w:tc>
          <w:tcPr>
            <w:tcW w:w="1062" w:type="dxa"/>
            <w:gridSpan w:val="2"/>
            <w:tcBorders>
              <w:top w:val="nil"/>
              <w:left w:val="nil"/>
              <w:bottom w:val="nil"/>
              <w:right w:val="nil"/>
            </w:tcBorders>
            <w:vAlign w:val="center"/>
          </w:tcPr>
          <w:p w:rsidR="0073298C" w:rsidRDefault="0073298C" w:rsidP="0073298C">
            <w:pPr>
              <w:spacing w:before="22" w:after="22"/>
              <w:ind w:left="22"/>
              <w:jc w:val="right"/>
              <w:rPr>
                <w:rFonts w:ascii="Arial" w:hAnsi="Arial" w:cs="Arial"/>
                <w:color w:val="000000"/>
                <w:sz w:val="16"/>
                <w:szCs w:val="16"/>
              </w:rPr>
            </w:pPr>
            <w:r>
              <w:rPr>
                <w:rFonts w:ascii="Arial" w:hAnsi="Arial" w:cs="Arial"/>
                <w:color w:val="000000"/>
                <w:sz w:val="16"/>
                <w:szCs w:val="16"/>
              </w:rPr>
              <w:t>4,706</w:t>
            </w:r>
          </w:p>
        </w:tc>
        <w:tc>
          <w:tcPr>
            <w:tcW w:w="163" w:type="dxa"/>
            <w:tcBorders>
              <w:top w:val="nil"/>
              <w:left w:val="nil"/>
              <w:bottom w:val="nil"/>
              <w:right w:val="nil"/>
            </w:tcBorders>
            <w:vAlign w:val="bottom"/>
          </w:tcPr>
          <w:p w:rsidR="0073298C" w:rsidRDefault="0073298C" w:rsidP="0073298C">
            <w:pPr>
              <w:spacing w:before="22" w:after="22"/>
              <w:ind w:left="22"/>
              <w:jc w:val="right"/>
              <w:rPr>
                <w:rFonts w:ascii="Arial" w:hAnsi="Arial" w:cs="Arial"/>
                <w:color w:val="000000"/>
                <w:sz w:val="16"/>
                <w:szCs w:val="16"/>
              </w:rPr>
            </w:pPr>
          </w:p>
          <w:p w:rsidR="0073298C" w:rsidRDefault="0073298C" w:rsidP="0073298C">
            <w:pPr>
              <w:rPr>
                <w:sz w:val="16"/>
                <w:szCs w:val="16"/>
              </w:rPr>
            </w:pPr>
            <w:r>
              <w:rPr>
                <w:sz w:val="16"/>
                <w:szCs w:val="16"/>
              </w:rPr>
              <w:t> </w:t>
            </w:r>
          </w:p>
        </w:tc>
        <w:tc>
          <w:tcPr>
            <w:tcW w:w="106" w:type="dxa"/>
            <w:tcBorders>
              <w:top w:val="nil"/>
              <w:left w:val="nil"/>
              <w:bottom w:val="nil"/>
              <w:right w:val="nil"/>
            </w:tcBorders>
            <w:vAlign w:val="bottom"/>
          </w:tcPr>
          <w:p w:rsidR="0073298C" w:rsidRDefault="0073298C" w:rsidP="0073298C">
            <w:pPr>
              <w:spacing w:before="22" w:after="22"/>
              <w:ind w:left="22" w:right="22"/>
              <w:rPr>
                <w:color w:val="000000"/>
              </w:rPr>
            </w:pPr>
            <w:r>
              <w:rPr>
                <w:color w:val="000000"/>
              </w:rPr>
              <w:t> </w:t>
            </w:r>
          </w:p>
        </w:tc>
        <w:tc>
          <w:tcPr>
            <w:tcW w:w="1062" w:type="dxa"/>
            <w:gridSpan w:val="2"/>
            <w:tcBorders>
              <w:top w:val="nil"/>
              <w:left w:val="nil"/>
              <w:bottom w:val="nil"/>
              <w:right w:val="nil"/>
            </w:tcBorders>
            <w:vAlign w:val="center"/>
          </w:tcPr>
          <w:p w:rsidR="0073298C" w:rsidRDefault="0073298C" w:rsidP="0073298C">
            <w:pPr>
              <w:spacing w:before="22" w:after="22"/>
              <w:ind w:left="22"/>
              <w:jc w:val="right"/>
              <w:rPr>
                <w:rFonts w:ascii="Arial" w:hAnsi="Arial" w:cs="Arial"/>
                <w:color w:val="000000"/>
                <w:sz w:val="16"/>
                <w:szCs w:val="16"/>
              </w:rPr>
            </w:pPr>
            <w:r>
              <w:rPr>
                <w:rFonts w:ascii="Arial" w:hAnsi="Arial" w:cs="Arial"/>
                <w:color w:val="000000"/>
                <w:sz w:val="16"/>
                <w:szCs w:val="16"/>
              </w:rPr>
              <w:t>4,793</w:t>
            </w:r>
          </w:p>
        </w:tc>
        <w:tc>
          <w:tcPr>
            <w:tcW w:w="163" w:type="dxa"/>
            <w:tcBorders>
              <w:top w:val="nil"/>
              <w:left w:val="nil"/>
              <w:bottom w:val="nil"/>
              <w:right w:val="nil"/>
            </w:tcBorders>
            <w:vAlign w:val="bottom"/>
          </w:tcPr>
          <w:p w:rsidR="0073298C" w:rsidRDefault="0073298C" w:rsidP="0073298C">
            <w:pPr>
              <w:spacing w:before="22" w:after="22"/>
              <w:ind w:left="22"/>
              <w:jc w:val="right"/>
              <w:rPr>
                <w:rFonts w:ascii="Arial" w:hAnsi="Arial" w:cs="Arial"/>
                <w:color w:val="000000"/>
                <w:sz w:val="16"/>
                <w:szCs w:val="16"/>
              </w:rPr>
            </w:pPr>
          </w:p>
          <w:p w:rsidR="0073298C" w:rsidRDefault="0073298C" w:rsidP="0073298C">
            <w:pPr>
              <w:rPr>
                <w:sz w:val="16"/>
                <w:szCs w:val="16"/>
              </w:rPr>
            </w:pPr>
            <w:r>
              <w:rPr>
                <w:sz w:val="16"/>
                <w:szCs w:val="16"/>
              </w:rPr>
              <w:t> </w:t>
            </w:r>
          </w:p>
        </w:tc>
        <w:tc>
          <w:tcPr>
            <w:tcW w:w="106" w:type="dxa"/>
            <w:tcBorders>
              <w:top w:val="nil"/>
              <w:left w:val="nil"/>
              <w:bottom w:val="nil"/>
              <w:right w:val="nil"/>
            </w:tcBorders>
            <w:vAlign w:val="bottom"/>
          </w:tcPr>
          <w:p w:rsidR="0073298C" w:rsidRDefault="0073298C" w:rsidP="0073298C">
            <w:pPr>
              <w:spacing w:before="22" w:after="22"/>
              <w:ind w:left="22" w:right="22"/>
              <w:rPr>
                <w:color w:val="000000"/>
              </w:rPr>
            </w:pPr>
            <w:r>
              <w:rPr>
                <w:color w:val="000000"/>
              </w:rPr>
              <w:t> </w:t>
            </w:r>
          </w:p>
        </w:tc>
        <w:tc>
          <w:tcPr>
            <w:tcW w:w="1062" w:type="dxa"/>
            <w:gridSpan w:val="2"/>
            <w:tcBorders>
              <w:top w:val="nil"/>
              <w:left w:val="nil"/>
              <w:bottom w:val="nil"/>
              <w:right w:val="nil"/>
            </w:tcBorders>
            <w:vAlign w:val="center"/>
          </w:tcPr>
          <w:p w:rsidR="0073298C" w:rsidRDefault="0073298C" w:rsidP="0073298C">
            <w:pPr>
              <w:spacing w:before="22" w:after="22"/>
              <w:ind w:left="22"/>
              <w:jc w:val="right"/>
              <w:rPr>
                <w:rFonts w:ascii="Arial" w:hAnsi="Arial" w:cs="Arial"/>
                <w:color w:val="000000"/>
                <w:sz w:val="16"/>
                <w:szCs w:val="16"/>
              </w:rPr>
            </w:pPr>
            <w:r>
              <w:rPr>
                <w:rFonts w:ascii="Arial" w:hAnsi="Arial" w:cs="Arial"/>
                <w:color w:val="000000"/>
                <w:sz w:val="16"/>
                <w:szCs w:val="16"/>
              </w:rPr>
              <w:t>4,173</w:t>
            </w:r>
          </w:p>
        </w:tc>
        <w:tc>
          <w:tcPr>
            <w:tcW w:w="163" w:type="dxa"/>
            <w:tcBorders>
              <w:top w:val="nil"/>
              <w:left w:val="nil"/>
              <w:bottom w:val="nil"/>
              <w:right w:val="nil"/>
            </w:tcBorders>
            <w:vAlign w:val="bottom"/>
          </w:tcPr>
          <w:p w:rsidR="0073298C" w:rsidRDefault="0073298C" w:rsidP="0073298C">
            <w:pPr>
              <w:spacing w:before="22" w:after="22"/>
              <w:ind w:left="22"/>
              <w:jc w:val="right"/>
              <w:rPr>
                <w:rFonts w:ascii="Arial" w:hAnsi="Arial" w:cs="Arial"/>
                <w:color w:val="000000"/>
                <w:sz w:val="16"/>
                <w:szCs w:val="16"/>
              </w:rPr>
            </w:pPr>
          </w:p>
          <w:p w:rsidR="0073298C" w:rsidRDefault="0073298C" w:rsidP="0073298C">
            <w:pPr>
              <w:rPr>
                <w:sz w:val="16"/>
                <w:szCs w:val="16"/>
              </w:rPr>
            </w:pPr>
            <w:r>
              <w:rPr>
                <w:sz w:val="16"/>
                <w:szCs w:val="16"/>
              </w:rPr>
              <w:t> </w:t>
            </w:r>
          </w:p>
        </w:tc>
        <w:tc>
          <w:tcPr>
            <w:tcW w:w="106" w:type="dxa"/>
            <w:tcBorders>
              <w:top w:val="nil"/>
              <w:left w:val="nil"/>
              <w:bottom w:val="nil"/>
              <w:right w:val="nil"/>
            </w:tcBorders>
            <w:vAlign w:val="bottom"/>
          </w:tcPr>
          <w:p w:rsidR="0073298C" w:rsidRDefault="0073298C" w:rsidP="0073298C">
            <w:pPr>
              <w:spacing w:before="22" w:after="22"/>
              <w:ind w:left="22" w:right="22"/>
              <w:rPr>
                <w:color w:val="000000"/>
              </w:rPr>
            </w:pPr>
            <w:r>
              <w:rPr>
                <w:color w:val="000000"/>
              </w:rPr>
              <w:t> </w:t>
            </w:r>
          </w:p>
        </w:tc>
        <w:tc>
          <w:tcPr>
            <w:tcW w:w="1062" w:type="dxa"/>
            <w:gridSpan w:val="2"/>
            <w:tcBorders>
              <w:top w:val="nil"/>
              <w:left w:val="nil"/>
              <w:bottom w:val="nil"/>
              <w:right w:val="nil"/>
            </w:tcBorders>
            <w:vAlign w:val="center"/>
          </w:tcPr>
          <w:p w:rsidR="0073298C" w:rsidRDefault="0073298C" w:rsidP="0073298C">
            <w:pPr>
              <w:spacing w:before="22" w:after="22"/>
              <w:ind w:left="22"/>
              <w:jc w:val="right"/>
              <w:rPr>
                <w:rFonts w:ascii="Arial" w:hAnsi="Arial" w:cs="Arial"/>
                <w:color w:val="000000"/>
                <w:sz w:val="16"/>
                <w:szCs w:val="16"/>
              </w:rPr>
            </w:pPr>
            <w:r>
              <w:rPr>
                <w:rFonts w:ascii="Arial" w:hAnsi="Arial" w:cs="Arial"/>
                <w:color w:val="000000"/>
                <w:sz w:val="16"/>
                <w:szCs w:val="16"/>
              </w:rPr>
              <w:t>4,017</w:t>
            </w:r>
          </w:p>
        </w:tc>
      </w:tr>
      <w:tr w:rsidR="0073298C" w:rsidTr="0073298C">
        <w:tblPrEx>
          <w:tblCellMar>
            <w:top w:w="0" w:type="dxa"/>
            <w:left w:w="0" w:type="dxa"/>
            <w:bottom w:w="0" w:type="dxa"/>
            <w:right w:w="0" w:type="dxa"/>
          </w:tblCellMar>
        </w:tblPrEx>
        <w:trPr>
          <w:gridAfter w:val="1"/>
          <w:wAfter w:w="169" w:type="dxa"/>
          <w:trHeight w:val="281"/>
        </w:trPr>
        <w:tc>
          <w:tcPr>
            <w:tcW w:w="4789" w:type="dxa"/>
            <w:tcBorders>
              <w:top w:val="nil"/>
              <w:left w:val="single" w:sz="6" w:space="0" w:color="00467E"/>
              <w:bottom w:val="nil"/>
              <w:right w:val="nil"/>
            </w:tcBorders>
            <w:shd w:val="clear" w:color="CFD4D8" w:fill="CFD4D8"/>
            <w:vAlign w:val="center"/>
          </w:tcPr>
          <w:p w:rsidR="0073298C" w:rsidRDefault="0073298C" w:rsidP="0073298C">
            <w:pPr>
              <w:spacing w:before="22" w:after="22"/>
              <w:ind w:left="22" w:right="22"/>
              <w:rPr>
                <w:rFonts w:ascii="Arial" w:hAnsi="Arial" w:cs="Arial"/>
                <w:color w:val="000000"/>
                <w:sz w:val="14"/>
                <w:szCs w:val="14"/>
                <w:vertAlign w:val="superscript"/>
              </w:rPr>
            </w:pPr>
            <w:r>
              <w:rPr>
                <w:rFonts w:ascii="Arial" w:hAnsi="Arial" w:cs="Arial"/>
                <w:color w:val="000000"/>
                <w:sz w:val="16"/>
                <w:szCs w:val="16"/>
              </w:rPr>
              <w:t>Average trailers</w:t>
            </w:r>
            <w:r>
              <w:rPr>
                <w:rFonts w:ascii="Arial" w:hAnsi="Arial" w:cs="Arial"/>
                <w:color w:val="000000"/>
                <w:sz w:val="14"/>
                <w:szCs w:val="14"/>
                <w:vertAlign w:val="superscript"/>
              </w:rPr>
              <w:t> (7)</w:t>
            </w:r>
          </w:p>
        </w:tc>
        <w:tc>
          <w:tcPr>
            <w:tcW w:w="1062" w:type="dxa"/>
            <w:gridSpan w:val="2"/>
            <w:tcBorders>
              <w:top w:val="nil"/>
              <w:left w:val="nil"/>
              <w:bottom w:val="nil"/>
              <w:right w:val="nil"/>
            </w:tcBorders>
            <w:shd w:val="clear" w:color="CFD4D8" w:fill="CFD4D8"/>
            <w:vAlign w:val="center"/>
          </w:tcPr>
          <w:p w:rsidR="0073298C" w:rsidRDefault="0073298C" w:rsidP="0073298C">
            <w:pPr>
              <w:spacing w:before="22" w:after="22"/>
              <w:ind w:left="22"/>
              <w:jc w:val="right"/>
              <w:rPr>
                <w:rFonts w:ascii="Arial" w:hAnsi="Arial" w:cs="Arial"/>
                <w:color w:val="000000"/>
                <w:sz w:val="16"/>
                <w:szCs w:val="16"/>
              </w:rPr>
            </w:pPr>
            <w:r>
              <w:rPr>
                <w:rFonts w:ascii="Arial" w:hAnsi="Arial" w:cs="Arial"/>
                <w:color w:val="000000"/>
                <w:sz w:val="16"/>
                <w:szCs w:val="16"/>
              </w:rPr>
              <w:t>31,967</w:t>
            </w:r>
          </w:p>
        </w:tc>
        <w:tc>
          <w:tcPr>
            <w:tcW w:w="163" w:type="dxa"/>
            <w:tcBorders>
              <w:top w:val="nil"/>
              <w:left w:val="nil"/>
              <w:bottom w:val="nil"/>
              <w:right w:val="nil"/>
            </w:tcBorders>
            <w:shd w:val="clear" w:color="CFD4D8" w:fill="CFD4D8"/>
            <w:vAlign w:val="bottom"/>
          </w:tcPr>
          <w:p w:rsidR="0073298C" w:rsidRDefault="0073298C" w:rsidP="0073298C">
            <w:pPr>
              <w:spacing w:before="22" w:after="22"/>
              <w:ind w:left="22"/>
              <w:jc w:val="right"/>
              <w:rPr>
                <w:rFonts w:ascii="Arial" w:hAnsi="Arial" w:cs="Arial"/>
                <w:color w:val="000000"/>
                <w:sz w:val="16"/>
                <w:szCs w:val="16"/>
              </w:rPr>
            </w:pPr>
          </w:p>
          <w:p w:rsidR="0073298C" w:rsidRDefault="0073298C" w:rsidP="0073298C">
            <w:pPr>
              <w:rPr>
                <w:sz w:val="16"/>
                <w:szCs w:val="16"/>
              </w:rPr>
            </w:pPr>
            <w:r>
              <w:rPr>
                <w:sz w:val="16"/>
                <w:szCs w:val="16"/>
              </w:rPr>
              <w:t> </w:t>
            </w:r>
          </w:p>
        </w:tc>
        <w:tc>
          <w:tcPr>
            <w:tcW w:w="106" w:type="dxa"/>
            <w:tcBorders>
              <w:top w:val="nil"/>
              <w:left w:val="nil"/>
              <w:bottom w:val="nil"/>
              <w:right w:val="nil"/>
            </w:tcBorders>
            <w:shd w:val="clear" w:color="CFD4D8" w:fill="CFD4D8"/>
            <w:vAlign w:val="bottom"/>
          </w:tcPr>
          <w:p w:rsidR="0073298C" w:rsidRDefault="0073298C" w:rsidP="0073298C">
            <w:pPr>
              <w:spacing w:before="22" w:after="22"/>
              <w:ind w:left="22" w:right="22"/>
              <w:rPr>
                <w:color w:val="000000"/>
              </w:rPr>
            </w:pPr>
            <w:r>
              <w:rPr>
                <w:color w:val="000000"/>
              </w:rPr>
              <w:t> </w:t>
            </w:r>
          </w:p>
        </w:tc>
        <w:tc>
          <w:tcPr>
            <w:tcW w:w="1062" w:type="dxa"/>
            <w:gridSpan w:val="2"/>
            <w:tcBorders>
              <w:top w:val="nil"/>
              <w:left w:val="nil"/>
              <w:bottom w:val="nil"/>
              <w:right w:val="nil"/>
            </w:tcBorders>
            <w:shd w:val="clear" w:color="CFD4D8" w:fill="CFD4D8"/>
            <w:vAlign w:val="center"/>
          </w:tcPr>
          <w:p w:rsidR="0073298C" w:rsidRDefault="0073298C" w:rsidP="0073298C">
            <w:pPr>
              <w:spacing w:before="22" w:after="22"/>
              <w:ind w:left="22"/>
              <w:jc w:val="right"/>
              <w:rPr>
                <w:rFonts w:ascii="Arial" w:hAnsi="Arial" w:cs="Arial"/>
                <w:color w:val="000000"/>
                <w:sz w:val="16"/>
                <w:szCs w:val="16"/>
              </w:rPr>
            </w:pPr>
            <w:r>
              <w:rPr>
                <w:rFonts w:ascii="Arial" w:hAnsi="Arial" w:cs="Arial"/>
                <w:color w:val="000000"/>
                <w:sz w:val="16"/>
                <w:szCs w:val="16"/>
              </w:rPr>
              <w:t>12,288</w:t>
            </w:r>
          </w:p>
        </w:tc>
        <w:tc>
          <w:tcPr>
            <w:tcW w:w="163" w:type="dxa"/>
            <w:tcBorders>
              <w:top w:val="nil"/>
              <w:left w:val="nil"/>
              <w:bottom w:val="nil"/>
              <w:right w:val="nil"/>
            </w:tcBorders>
            <w:shd w:val="clear" w:color="CFD4D8" w:fill="CFD4D8"/>
            <w:vAlign w:val="bottom"/>
          </w:tcPr>
          <w:p w:rsidR="0073298C" w:rsidRDefault="0073298C" w:rsidP="0073298C">
            <w:pPr>
              <w:spacing w:before="22" w:after="22"/>
              <w:ind w:left="22"/>
              <w:jc w:val="right"/>
              <w:rPr>
                <w:rFonts w:ascii="Arial" w:hAnsi="Arial" w:cs="Arial"/>
                <w:color w:val="000000"/>
                <w:sz w:val="16"/>
                <w:szCs w:val="16"/>
              </w:rPr>
            </w:pPr>
          </w:p>
          <w:p w:rsidR="0073298C" w:rsidRDefault="0073298C" w:rsidP="0073298C">
            <w:pPr>
              <w:rPr>
                <w:sz w:val="16"/>
                <w:szCs w:val="16"/>
              </w:rPr>
            </w:pPr>
            <w:r>
              <w:rPr>
                <w:sz w:val="16"/>
                <w:szCs w:val="16"/>
              </w:rPr>
              <w:t> </w:t>
            </w:r>
          </w:p>
        </w:tc>
        <w:tc>
          <w:tcPr>
            <w:tcW w:w="106" w:type="dxa"/>
            <w:tcBorders>
              <w:top w:val="nil"/>
              <w:left w:val="nil"/>
              <w:bottom w:val="nil"/>
              <w:right w:val="nil"/>
            </w:tcBorders>
            <w:shd w:val="clear" w:color="CFD4D8" w:fill="CFD4D8"/>
            <w:vAlign w:val="bottom"/>
          </w:tcPr>
          <w:p w:rsidR="0073298C" w:rsidRDefault="0073298C" w:rsidP="0073298C">
            <w:pPr>
              <w:spacing w:before="22" w:after="22"/>
              <w:ind w:left="22" w:right="22"/>
              <w:rPr>
                <w:color w:val="000000"/>
              </w:rPr>
            </w:pPr>
            <w:r>
              <w:rPr>
                <w:color w:val="000000"/>
              </w:rPr>
              <w:t> </w:t>
            </w:r>
          </w:p>
        </w:tc>
        <w:tc>
          <w:tcPr>
            <w:tcW w:w="1062" w:type="dxa"/>
            <w:gridSpan w:val="2"/>
            <w:tcBorders>
              <w:top w:val="nil"/>
              <w:left w:val="nil"/>
              <w:bottom w:val="nil"/>
              <w:right w:val="nil"/>
            </w:tcBorders>
            <w:shd w:val="clear" w:color="CFD4D8" w:fill="CFD4D8"/>
            <w:vAlign w:val="center"/>
          </w:tcPr>
          <w:p w:rsidR="0073298C" w:rsidRDefault="0073298C" w:rsidP="0073298C">
            <w:pPr>
              <w:spacing w:before="22" w:after="22"/>
              <w:ind w:left="22"/>
              <w:jc w:val="right"/>
              <w:rPr>
                <w:rFonts w:ascii="Arial" w:hAnsi="Arial" w:cs="Arial"/>
                <w:color w:val="000000"/>
                <w:sz w:val="16"/>
                <w:szCs w:val="16"/>
              </w:rPr>
            </w:pPr>
            <w:r>
              <w:rPr>
                <w:rFonts w:ascii="Arial" w:hAnsi="Arial" w:cs="Arial"/>
                <w:color w:val="000000"/>
                <w:sz w:val="16"/>
                <w:szCs w:val="16"/>
              </w:rPr>
              <w:t>11,789</w:t>
            </w:r>
          </w:p>
        </w:tc>
        <w:tc>
          <w:tcPr>
            <w:tcW w:w="163" w:type="dxa"/>
            <w:tcBorders>
              <w:top w:val="nil"/>
              <w:left w:val="nil"/>
              <w:bottom w:val="nil"/>
              <w:right w:val="nil"/>
            </w:tcBorders>
            <w:shd w:val="clear" w:color="CFD4D8" w:fill="CFD4D8"/>
            <w:vAlign w:val="bottom"/>
          </w:tcPr>
          <w:p w:rsidR="0073298C" w:rsidRDefault="0073298C" w:rsidP="0073298C">
            <w:pPr>
              <w:spacing w:before="22" w:after="22"/>
              <w:ind w:left="22"/>
              <w:jc w:val="right"/>
              <w:rPr>
                <w:rFonts w:ascii="Arial" w:hAnsi="Arial" w:cs="Arial"/>
                <w:color w:val="000000"/>
                <w:sz w:val="16"/>
                <w:szCs w:val="16"/>
              </w:rPr>
            </w:pPr>
          </w:p>
          <w:p w:rsidR="0073298C" w:rsidRDefault="0073298C" w:rsidP="0073298C">
            <w:pPr>
              <w:rPr>
                <w:sz w:val="16"/>
                <w:szCs w:val="16"/>
              </w:rPr>
            </w:pPr>
            <w:r>
              <w:rPr>
                <w:sz w:val="16"/>
                <w:szCs w:val="16"/>
              </w:rPr>
              <w:t> </w:t>
            </w:r>
          </w:p>
        </w:tc>
        <w:tc>
          <w:tcPr>
            <w:tcW w:w="106" w:type="dxa"/>
            <w:tcBorders>
              <w:top w:val="nil"/>
              <w:left w:val="nil"/>
              <w:bottom w:val="nil"/>
              <w:right w:val="nil"/>
            </w:tcBorders>
            <w:shd w:val="clear" w:color="CFD4D8" w:fill="CFD4D8"/>
            <w:vAlign w:val="bottom"/>
          </w:tcPr>
          <w:p w:rsidR="0073298C" w:rsidRDefault="0073298C" w:rsidP="0073298C">
            <w:pPr>
              <w:spacing w:before="22" w:after="22"/>
              <w:ind w:left="22" w:right="22"/>
              <w:rPr>
                <w:color w:val="000000"/>
              </w:rPr>
            </w:pPr>
            <w:r>
              <w:rPr>
                <w:color w:val="000000"/>
              </w:rPr>
              <w:t> </w:t>
            </w:r>
          </w:p>
        </w:tc>
        <w:tc>
          <w:tcPr>
            <w:tcW w:w="1062" w:type="dxa"/>
            <w:gridSpan w:val="2"/>
            <w:tcBorders>
              <w:top w:val="nil"/>
              <w:left w:val="nil"/>
              <w:bottom w:val="nil"/>
              <w:right w:val="nil"/>
            </w:tcBorders>
            <w:shd w:val="clear" w:color="CFD4D8" w:fill="CFD4D8"/>
            <w:vAlign w:val="center"/>
          </w:tcPr>
          <w:p w:rsidR="0073298C" w:rsidRDefault="0073298C" w:rsidP="0073298C">
            <w:pPr>
              <w:spacing w:before="22" w:after="22"/>
              <w:ind w:left="22"/>
              <w:jc w:val="right"/>
              <w:rPr>
                <w:rFonts w:ascii="Arial" w:hAnsi="Arial" w:cs="Arial"/>
                <w:color w:val="000000"/>
                <w:sz w:val="16"/>
                <w:szCs w:val="16"/>
              </w:rPr>
            </w:pPr>
            <w:r>
              <w:rPr>
                <w:rFonts w:ascii="Arial" w:hAnsi="Arial" w:cs="Arial"/>
                <w:color w:val="000000"/>
                <w:sz w:val="16"/>
                <w:szCs w:val="16"/>
              </w:rPr>
              <w:t>9,732</w:t>
            </w:r>
          </w:p>
        </w:tc>
        <w:tc>
          <w:tcPr>
            <w:tcW w:w="163" w:type="dxa"/>
            <w:tcBorders>
              <w:top w:val="nil"/>
              <w:left w:val="nil"/>
              <w:bottom w:val="nil"/>
              <w:right w:val="nil"/>
            </w:tcBorders>
            <w:shd w:val="clear" w:color="CFD4D8" w:fill="CFD4D8"/>
            <w:vAlign w:val="bottom"/>
          </w:tcPr>
          <w:p w:rsidR="0073298C" w:rsidRDefault="0073298C" w:rsidP="0073298C">
            <w:pPr>
              <w:spacing w:before="22" w:after="22"/>
              <w:ind w:left="22"/>
              <w:jc w:val="right"/>
              <w:rPr>
                <w:rFonts w:ascii="Arial" w:hAnsi="Arial" w:cs="Arial"/>
                <w:color w:val="000000"/>
                <w:sz w:val="16"/>
                <w:szCs w:val="16"/>
              </w:rPr>
            </w:pPr>
          </w:p>
          <w:p w:rsidR="0073298C" w:rsidRDefault="0073298C" w:rsidP="0073298C">
            <w:pPr>
              <w:rPr>
                <w:sz w:val="16"/>
                <w:szCs w:val="16"/>
              </w:rPr>
            </w:pPr>
            <w:r>
              <w:rPr>
                <w:sz w:val="16"/>
                <w:szCs w:val="16"/>
              </w:rPr>
              <w:t> </w:t>
            </w:r>
          </w:p>
        </w:tc>
        <w:tc>
          <w:tcPr>
            <w:tcW w:w="106" w:type="dxa"/>
            <w:tcBorders>
              <w:top w:val="nil"/>
              <w:left w:val="nil"/>
              <w:bottom w:val="nil"/>
              <w:right w:val="nil"/>
            </w:tcBorders>
            <w:shd w:val="clear" w:color="CFD4D8" w:fill="CFD4D8"/>
            <w:vAlign w:val="bottom"/>
          </w:tcPr>
          <w:p w:rsidR="0073298C" w:rsidRDefault="0073298C" w:rsidP="0073298C">
            <w:pPr>
              <w:spacing w:before="22" w:after="22"/>
              <w:ind w:left="22" w:right="22"/>
              <w:rPr>
                <w:color w:val="000000"/>
              </w:rPr>
            </w:pPr>
            <w:r>
              <w:rPr>
                <w:color w:val="000000"/>
              </w:rPr>
              <w:t> </w:t>
            </w:r>
          </w:p>
        </w:tc>
        <w:tc>
          <w:tcPr>
            <w:tcW w:w="1062" w:type="dxa"/>
            <w:gridSpan w:val="2"/>
            <w:tcBorders>
              <w:top w:val="nil"/>
              <w:left w:val="nil"/>
              <w:bottom w:val="nil"/>
              <w:right w:val="nil"/>
            </w:tcBorders>
            <w:shd w:val="clear" w:color="CFD4D8" w:fill="CFD4D8"/>
            <w:vAlign w:val="center"/>
          </w:tcPr>
          <w:p w:rsidR="0073298C" w:rsidRDefault="0073298C" w:rsidP="0073298C">
            <w:pPr>
              <w:spacing w:before="22" w:after="22"/>
              <w:ind w:left="22"/>
              <w:jc w:val="right"/>
              <w:rPr>
                <w:rFonts w:ascii="Arial" w:hAnsi="Arial" w:cs="Arial"/>
                <w:color w:val="000000"/>
                <w:sz w:val="16"/>
                <w:szCs w:val="16"/>
              </w:rPr>
            </w:pPr>
            <w:r>
              <w:rPr>
                <w:rFonts w:ascii="Arial" w:hAnsi="Arial" w:cs="Arial"/>
                <w:color w:val="000000"/>
                <w:sz w:val="16"/>
                <w:szCs w:val="16"/>
              </w:rPr>
              <w:t>9,405</w:t>
            </w:r>
          </w:p>
        </w:tc>
      </w:tr>
      <w:tr w:rsidR="0073298C" w:rsidTr="0073298C">
        <w:tblPrEx>
          <w:tblCellMar>
            <w:top w:w="0" w:type="dxa"/>
            <w:left w:w="0" w:type="dxa"/>
            <w:bottom w:w="0" w:type="dxa"/>
            <w:right w:w="0" w:type="dxa"/>
          </w:tblCellMar>
        </w:tblPrEx>
        <w:trPr>
          <w:gridAfter w:val="1"/>
          <w:wAfter w:w="169" w:type="dxa"/>
          <w:trHeight w:val="281"/>
        </w:trPr>
        <w:tc>
          <w:tcPr>
            <w:tcW w:w="4789" w:type="dxa"/>
            <w:tcBorders>
              <w:top w:val="nil"/>
              <w:left w:val="single" w:sz="6" w:space="0" w:color="00467E"/>
              <w:bottom w:val="single" w:sz="6" w:space="0" w:color="00467E"/>
              <w:right w:val="nil"/>
            </w:tcBorders>
            <w:vAlign w:val="center"/>
          </w:tcPr>
          <w:p w:rsidR="0073298C" w:rsidRDefault="0073298C" w:rsidP="0073298C">
            <w:pPr>
              <w:spacing w:before="22" w:after="22"/>
              <w:ind w:left="22" w:right="22"/>
              <w:rPr>
                <w:rFonts w:ascii="Arial" w:hAnsi="Arial" w:cs="Arial"/>
                <w:color w:val="000000"/>
                <w:sz w:val="16"/>
                <w:szCs w:val="16"/>
              </w:rPr>
            </w:pPr>
            <w:r>
              <w:rPr>
                <w:rFonts w:ascii="Arial" w:hAnsi="Arial" w:cs="Arial"/>
                <w:color w:val="000000"/>
                <w:sz w:val="16"/>
                <w:szCs w:val="16"/>
              </w:rPr>
              <w:t>Average containers</w:t>
            </w:r>
          </w:p>
        </w:tc>
        <w:tc>
          <w:tcPr>
            <w:tcW w:w="1062" w:type="dxa"/>
            <w:gridSpan w:val="2"/>
            <w:tcBorders>
              <w:top w:val="nil"/>
              <w:left w:val="nil"/>
              <w:bottom w:val="single" w:sz="6" w:space="0" w:color="00467E"/>
              <w:right w:val="nil"/>
            </w:tcBorders>
            <w:vAlign w:val="center"/>
          </w:tcPr>
          <w:p w:rsidR="0073298C" w:rsidRDefault="0073298C" w:rsidP="0073298C">
            <w:pPr>
              <w:spacing w:before="22" w:after="22"/>
              <w:ind w:left="22"/>
              <w:jc w:val="right"/>
              <w:rPr>
                <w:rFonts w:ascii="Arial" w:hAnsi="Arial" w:cs="Arial"/>
                <w:color w:val="000000"/>
                <w:sz w:val="16"/>
                <w:szCs w:val="16"/>
              </w:rPr>
            </w:pPr>
            <w:r>
              <w:rPr>
                <w:rFonts w:ascii="Arial" w:hAnsi="Arial" w:cs="Arial"/>
                <w:color w:val="000000"/>
                <w:sz w:val="16"/>
                <w:szCs w:val="16"/>
              </w:rPr>
              <w:t>9,122</w:t>
            </w:r>
          </w:p>
        </w:tc>
        <w:tc>
          <w:tcPr>
            <w:tcW w:w="163" w:type="dxa"/>
            <w:tcBorders>
              <w:top w:val="nil"/>
              <w:left w:val="nil"/>
              <w:bottom w:val="single" w:sz="6" w:space="0" w:color="00467E"/>
              <w:right w:val="nil"/>
            </w:tcBorders>
            <w:vAlign w:val="bottom"/>
          </w:tcPr>
          <w:p w:rsidR="0073298C" w:rsidRDefault="0073298C" w:rsidP="0073298C">
            <w:pPr>
              <w:spacing w:before="22" w:after="22"/>
              <w:ind w:left="22"/>
              <w:jc w:val="right"/>
              <w:rPr>
                <w:rFonts w:ascii="Arial" w:hAnsi="Arial" w:cs="Arial"/>
                <w:color w:val="000000"/>
                <w:sz w:val="16"/>
                <w:szCs w:val="16"/>
              </w:rPr>
            </w:pPr>
          </w:p>
          <w:p w:rsidR="0073298C" w:rsidRDefault="0073298C" w:rsidP="0073298C">
            <w:pPr>
              <w:rPr>
                <w:sz w:val="16"/>
                <w:szCs w:val="16"/>
              </w:rPr>
            </w:pPr>
            <w:r>
              <w:rPr>
                <w:sz w:val="16"/>
                <w:szCs w:val="16"/>
              </w:rPr>
              <w:t> </w:t>
            </w:r>
          </w:p>
        </w:tc>
        <w:tc>
          <w:tcPr>
            <w:tcW w:w="106" w:type="dxa"/>
            <w:tcBorders>
              <w:top w:val="nil"/>
              <w:left w:val="nil"/>
              <w:bottom w:val="single" w:sz="6" w:space="0" w:color="00467E"/>
              <w:right w:val="nil"/>
            </w:tcBorders>
            <w:vAlign w:val="bottom"/>
          </w:tcPr>
          <w:p w:rsidR="0073298C" w:rsidRDefault="0073298C" w:rsidP="0073298C">
            <w:pPr>
              <w:spacing w:before="22" w:after="22"/>
              <w:ind w:left="22" w:right="22"/>
              <w:rPr>
                <w:color w:val="000000"/>
              </w:rPr>
            </w:pPr>
            <w:r>
              <w:rPr>
                <w:color w:val="000000"/>
              </w:rPr>
              <w:t> </w:t>
            </w:r>
          </w:p>
        </w:tc>
        <w:tc>
          <w:tcPr>
            <w:tcW w:w="1062" w:type="dxa"/>
            <w:gridSpan w:val="2"/>
            <w:tcBorders>
              <w:top w:val="nil"/>
              <w:left w:val="nil"/>
              <w:bottom w:val="single" w:sz="6" w:space="0" w:color="00467E"/>
              <w:right w:val="nil"/>
            </w:tcBorders>
            <w:vAlign w:val="center"/>
          </w:tcPr>
          <w:p w:rsidR="0073298C" w:rsidRDefault="0073298C" w:rsidP="0073298C">
            <w:pPr>
              <w:spacing w:before="22" w:after="22"/>
              <w:ind w:left="22"/>
              <w:jc w:val="right"/>
              <w:rPr>
                <w:rFonts w:ascii="Arial" w:hAnsi="Arial" w:cs="Arial"/>
                <w:color w:val="000000"/>
                <w:sz w:val="16"/>
                <w:szCs w:val="16"/>
              </w:rPr>
            </w:pPr>
            <w:r>
              <w:rPr>
                <w:rFonts w:ascii="Arial" w:hAnsi="Arial" w:cs="Arial"/>
                <w:color w:val="000000"/>
                <w:sz w:val="16"/>
                <w:szCs w:val="16"/>
              </w:rPr>
              <w:t>—</w:t>
            </w:r>
          </w:p>
        </w:tc>
        <w:tc>
          <w:tcPr>
            <w:tcW w:w="163" w:type="dxa"/>
            <w:tcBorders>
              <w:top w:val="nil"/>
              <w:left w:val="nil"/>
              <w:bottom w:val="single" w:sz="6" w:space="0" w:color="00467E"/>
              <w:right w:val="nil"/>
            </w:tcBorders>
            <w:vAlign w:val="bottom"/>
          </w:tcPr>
          <w:p w:rsidR="0073298C" w:rsidRDefault="0073298C" w:rsidP="0073298C">
            <w:pPr>
              <w:spacing w:before="22" w:after="22"/>
              <w:ind w:left="22"/>
              <w:jc w:val="right"/>
              <w:rPr>
                <w:rFonts w:ascii="Arial" w:hAnsi="Arial" w:cs="Arial"/>
                <w:color w:val="000000"/>
                <w:sz w:val="16"/>
                <w:szCs w:val="16"/>
              </w:rPr>
            </w:pPr>
          </w:p>
          <w:p w:rsidR="0073298C" w:rsidRDefault="0073298C" w:rsidP="0073298C">
            <w:pPr>
              <w:rPr>
                <w:sz w:val="16"/>
                <w:szCs w:val="16"/>
              </w:rPr>
            </w:pPr>
            <w:r>
              <w:rPr>
                <w:sz w:val="16"/>
                <w:szCs w:val="16"/>
              </w:rPr>
              <w:t> </w:t>
            </w:r>
          </w:p>
        </w:tc>
        <w:tc>
          <w:tcPr>
            <w:tcW w:w="106" w:type="dxa"/>
            <w:tcBorders>
              <w:top w:val="nil"/>
              <w:left w:val="nil"/>
              <w:bottom w:val="single" w:sz="6" w:space="0" w:color="00467E"/>
              <w:right w:val="nil"/>
            </w:tcBorders>
            <w:vAlign w:val="bottom"/>
          </w:tcPr>
          <w:p w:rsidR="0073298C" w:rsidRDefault="0073298C" w:rsidP="0073298C">
            <w:pPr>
              <w:spacing w:before="22" w:after="22"/>
              <w:ind w:left="22" w:right="22"/>
              <w:rPr>
                <w:color w:val="000000"/>
              </w:rPr>
            </w:pPr>
            <w:r>
              <w:rPr>
                <w:color w:val="000000"/>
              </w:rPr>
              <w:t> </w:t>
            </w:r>
          </w:p>
        </w:tc>
        <w:tc>
          <w:tcPr>
            <w:tcW w:w="1062" w:type="dxa"/>
            <w:gridSpan w:val="2"/>
            <w:tcBorders>
              <w:top w:val="nil"/>
              <w:left w:val="nil"/>
              <w:bottom w:val="single" w:sz="6" w:space="0" w:color="00467E"/>
              <w:right w:val="nil"/>
            </w:tcBorders>
            <w:vAlign w:val="center"/>
          </w:tcPr>
          <w:p w:rsidR="0073298C" w:rsidRDefault="0073298C" w:rsidP="0073298C">
            <w:pPr>
              <w:spacing w:before="22" w:after="22"/>
              <w:ind w:left="22"/>
              <w:jc w:val="right"/>
              <w:rPr>
                <w:rFonts w:ascii="Arial" w:hAnsi="Arial" w:cs="Arial"/>
                <w:color w:val="000000"/>
                <w:sz w:val="16"/>
                <w:szCs w:val="16"/>
              </w:rPr>
            </w:pPr>
            <w:r>
              <w:rPr>
                <w:rFonts w:ascii="Arial" w:hAnsi="Arial" w:cs="Arial"/>
                <w:color w:val="000000"/>
                <w:sz w:val="16"/>
                <w:szCs w:val="16"/>
              </w:rPr>
              <w:t>—</w:t>
            </w:r>
          </w:p>
        </w:tc>
        <w:tc>
          <w:tcPr>
            <w:tcW w:w="163" w:type="dxa"/>
            <w:tcBorders>
              <w:top w:val="nil"/>
              <w:left w:val="nil"/>
              <w:bottom w:val="single" w:sz="6" w:space="0" w:color="00467E"/>
              <w:right w:val="nil"/>
            </w:tcBorders>
            <w:vAlign w:val="bottom"/>
          </w:tcPr>
          <w:p w:rsidR="0073298C" w:rsidRDefault="0073298C" w:rsidP="0073298C">
            <w:pPr>
              <w:spacing w:before="22" w:after="22"/>
              <w:ind w:left="22"/>
              <w:jc w:val="right"/>
              <w:rPr>
                <w:rFonts w:ascii="Arial" w:hAnsi="Arial" w:cs="Arial"/>
                <w:color w:val="000000"/>
                <w:sz w:val="16"/>
                <w:szCs w:val="16"/>
              </w:rPr>
            </w:pPr>
          </w:p>
          <w:p w:rsidR="0073298C" w:rsidRDefault="0073298C" w:rsidP="0073298C">
            <w:pPr>
              <w:rPr>
                <w:sz w:val="16"/>
                <w:szCs w:val="16"/>
              </w:rPr>
            </w:pPr>
            <w:r>
              <w:rPr>
                <w:sz w:val="16"/>
                <w:szCs w:val="16"/>
              </w:rPr>
              <w:t> </w:t>
            </w:r>
          </w:p>
        </w:tc>
        <w:tc>
          <w:tcPr>
            <w:tcW w:w="106" w:type="dxa"/>
            <w:tcBorders>
              <w:top w:val="nil"/>
              <w:left w:val="nil"/>
              <w:bottom w:val="single" w:sz="6" w:space="0" w:color="00467E"/>
              <w:right w:val="nil"/>
            </w:tcBorders>
            <w:vAlign w:val="bottom"/>
          </w:tcPr>
          <w:p w:rsidR="0073298C" w:rsidRDefault="0073298C" w:rsidP="0073298C">
            <w:pPr>
              <w:spacing w:before="22" w:after="22"/>
              <w:ind w:left="22" w:right="22"/>
              <w:rPr>
                <w:color w:val="000000"/>
              </w:rPr>
            </w:pPr>
            <w:r>
              <w:rPr>
                <w:color w:val="000000"/>
              </w:rPr>
              <w:t> </w:t>
            </w:r>
          </w:p>
        </w:tc>
        <w:tc>
          <w:tcPr>
            <w:tcW w:w="1062" w:type="dxa"/>
            <w:gridSpan w:val="2"/>
            <w:tcBorders>
              <w:top w:val="nil"/>
              <w:left w:val="nil"/>
              <w:bottom w:val="single" w:sz="6" w:space="0" w:color="00467E"/>
              <w:right w:val="nil"/>
            </w:tcBorders>
            <w:vAlign w:val="center"/>
          </w:tcPr>
          <w:p w:rsidR="0073298C" w:rsidRDefault="0073298C" w:rsidP="0073298C">
            <w:pPr>
              <w:spacing w:before="22" w:after="22"/>
              <w:ind w:left="22"/>
              <w:jc w:val="right"/>
              <w:rPr>
                <w:rFonts w:ascii="Arial" w:hAnsi="Arial" w:cs="Arial"/>
                <w:color w:val="000000"/>
                <w:sz w:val="16"/>
                <w:szCs w:val="16"/>
              </w:rPr>
            </w:pPr>
            <w:r>
              <w:rPr>
                <w:rFonts w:ascii="Arial" w:hAnsi="Arial" w:cs="Arial"/>
                <w:color w:val="000000"/>
                <w:sz w:val="16"/>
                <w:szCs w:val="16"/>
              </w:rPr>
              <w:t>—</w:t>
            </w:r>
          </w:p>
        </w:tc>
        <w:tc>
          <w:tcPr>
            <w:tcW w:w="163" w:type="dxa"/>
            <w:tcBorders>
              <w:top w:val="nil"/>
              <w:left w:val="nil"/>
              <w:bottom w:val="single" w:sz="6" w:space="0" w:color="00467E"/>
              <w:right w:val="nil"/>
            </w:tcBorders>
            <w:vAlign w:val="bottom"/>
          </w:tcPr>
          <w:p w:rsidR="0073298C" w:rsidRDefault="0073298C" w:rsidP="0073298C">
            <w:pPr>
              <w:spacing w:before="22" w:after="22"/>
              <w:ind w:left="22"/>
              <w:jc w:val="right"/>
              <w:rPr>
                <w:rFonts w:ascii="Arial" w:hAnsi="Arial" w:cs="Arial"/>
                <w:color w:val="000000"/>
                <w:sz w:val="16"/>
                <w:szCs w:val="16"/>
              </w:rPr>
            </w:pPr>
          </w:p>
          <w:p w:rsidR="0073298C" w:rsidRDefault="0073298C" w:rsidP="0073298C">
            <w:pPr>
              <w:rPr>
                <w:sz w:val="16"/>
                <w:szCs w:val="16"/>
              </w:rPr>
            </w:pPr>
            <w:r>
              <w:rPr>
                <w:sz w:val="16"/>
                <w:szCs w:val="16"/>
              </w:rPr>
              <w:t> </w:t>
            </w:r>
          </w:p>
        </w:tc>
        <w:tc>
          <w:tcPr>
            <w:tcW w:w="106" w:type="dxa"/>
            <w:tcBorders>
              <w:top w:val="nil"/>
              <w:left w:val="nil"/>
              <w:bottom w:val="single" w:sz="6" w:space="0" w:color="00467E"/>
              <w:right w:val="nil"/>
            </w:tcBorders>
            <w:vAlign w:val="bottom"/>
          </w:tcPr>
          <w:p w:rsidR="0073298C" w:rsidRDefault="0073298C" w:rsidP="0073298C">
            <w:pPr>
              <w:spacing w:before="22" w:after="22"/>
              <w:ind w:left="22" w:right="22"/>
              <w:rPr>
                <w:color w:val="000000"/>
              </w:rPr>
            </w:pPr>
            <w:r>
              <w:rPr>
                <w:color w:val="000000"/>
              </w:rPr>
              <w:t> </w:t>
            </w:r>
          </w:p>
        </w:tc>
        <w:tc>
          <w:tcPr>
            <w:tcW w:w="1062" w:type="dxa"/>
            <w:gridSpan w:val="2"/>
            <w:tcBorders>
              <w:top w:val="nil"/>
              <w:left w:val="nil"/>
              <w:bottom w:val="single" w:sz="6" w:space="0" w:color="00467E"/>
              <w:right w:val="nil"/>
            </w:tcBorders>
            <w:vAlign w:val="center"/>
          </w:tcPr>
          <w:p w:rsidR="0073298C" w:rsidRDefault="0073298C" w:rsidP="0073298C">
            <w:pPr>
              <w:spacing w:before="22" w:after="22"/>
              <w:ind w:left="22"/>
              <w:jc w:val="right"/>
              <w:rPr>
                <w:rFonts w:ascii="Arial" w:hAnsi="Arial" w:cs="Arial"/>
                <w:color w:val="000000"/>
                <w:sz w:val="16"/>
                <w:szCs w:val="16"/>
              </w:rPr>
            </w:pPr>
            <w:r>
              <w:rPr>
                <w:rFonts w:ascii="Arial" w:hAnsi="Arial" w:cs="Arial"/>
                <w:color w:val="000000"/>
                <w:sz w:val="16"/>
                <w:szCs w:val="16"/>
              </w:rPr>
              <w:t>—</w:t>
            </w:r>
          </w:p>
        </w:tc>
      </w:tr>
    </w:tbl>
    <w:p w:rsidR="00D92D97" w:rsidRDefault="00D92D97" w:rsidP="0073298C">
      <w:pPr>
        <w:spacing w:after="264"/>
        <w:jc w:val="both"/>
        <w:rPr>
          <w:rFonts w:ascii="Arial" w:hAnsi="Arial" w:cs="Arial"/>
          <w:color w:val="000000"/>
          <w:sz w:val="18"/>
          <w:szCs w:val="18"/>
        </w:rPr>
      </w:pPr>
    </w:p>
    <w:p w:rsidR="0073298C" w:rsidRDefault="0073298C" w:rsidP="0073298C">
      <w:pPr>
        <w:pStyle w:val="Heading2"/>
      </w:pPr>
      <w:bookmarkStart w:id="30" w:name="_Toc526330226"/>
      <w:r>
        <w:t>Consolidating Tables for Total Revenue and Operating Income</w:t>
      </w:r>
      <w:bookmarkEnd w:id="30"/>
    </w:p>
    <w:tbl>
      <w:tblPr>
        <w:tblW w:w="10808" w:type="dxa"/>
        <w:jc w:val="center"/>
        <w:tblLayout w:type="fixed"/>
        <w:tblCellMar>
          <w:left w:w="0" w:type="dxa"/>
          <w:right w:w="0" w:type="dxa"/>
        </w:tblCellMar>
        <w:tblLook w:val="0000"/>
      </w:tblPr>
      <w:tblGrid>
        <w:gridCol w:w="2353"/>
        <w:gridCol w:w="120"/>
        <w:gridCol w:w="1052"/>
        <w:gridCol w:w="105"/>
        <w:gridCol w:w="103"/>
        <w:gridCol w:w="1110"/>
        <w:gridCol w:w="242"/>
        <w:gridCol w:w="103"/>
        <w:gridCol w:w="120"/>
        <w:gridCol w:w="1052"/>
        <w:gridCol w:w="105"/>
        <w:gridCol w:w="103"/>
        <w:gridCol w:w="1132"/>
        <w:gridCol w:w="241"/>
        <w:gridCol w:w="103"/>
        <w:gridCol w:w="120"/>
        <w:gridCol w:w="1052"/>
        <w:gridCol w:w="105"/>
        <w:gridCol w:w="103"/>
        <w:gridCol w:w="1132"/>
        <w:gridCol w:w="252"/>
      </w:tblGrid>
      <w:tr w:rsidR="0073298C" w:rsidTr="0073298C">
        <w:tblPrEx>
          <w:tblCellMar>
            <w:top w:w="0" w:type="dxa"/>
            <w:left w:w="0" w:type="dxa"/>
            <w:bottom w:w="0" w:type="dxa"/>
            <w:right w:w="0" w:type="dxa"/>
          </w:tblCellMar>
        </w:tblPrEx>
        <w:trPr>
          <w:trHeight w:val="66"/>
          <w:jc w:val="center"/>
        </w:trPr>
        <w:tc>
          <w:tcPr>
            <w:tcW w:w="10808" w:type="dxa"/>
            <w:gridSpan w:val="21"/>
            <w:tcBorders>
              <w:top w:val="nil"/>
              <w:left w:val="nil"/>
              <w:bottom w:val="nil"/>
              <w:right w:val="nil"/>
            </w:tcBorders>
            <w:vAlign w:val="center"/>
          </w:tcPr>
          <w:p w:rsidR="0073298C" w:rsidRDefault="0073298C" w:rsidP="0073298C">
            <w:pPr>
              <w:rPr>
                <w:sz w:val="16"/>
                <w:szCs w:val="16"/>
              </w:rPr>
            </w:pPr>
            <w:r>
              <w:rPr>
                <w:sz w:val="16"/>
                <w:szCs w:val="16"/>
              </w:rPr>
              <w:t> </w:t>
            </w:r>
          </w:p>
        </w:tc>
      </w:tr>
      <w:tr w:rsidR="0073298C" w:rsidTr="0073298C">
        <w:tblPrEx>
          <w:tblCellMar>
            <w:top w:w="0" w:type="dxa"/>
            <w:left w:w="0" w:type="dxa"/>
            <w:bottom w:w="0" w:type="dxa"/>
            <w:right w:w="0" w:type="dxa"/>
          </w:tblCellMar>
        </w:tblPrEx>
        <w:trPr>
          <w:trHeight w:val="66"/>
          <w:jc w:val="center"/>
        </w:trPr>
        <w:tc>
          <w:tcPr>
            <w:tcW w:w="2353" w:type="dxa"/>
            <w:tcBorders>
              <w:top w:val="nil"/>
              <w:left w:val="nil"/>
              <w:bottom w:val="nil"/>
              <w:right w:val="nil"/>
            </w:tcBorders>
            <w:vAlign w:val="center"/>
          </w:tcPr>
          <w:p w:rsidR="0073298C" w:rsidRDefault="0073298C" w:rsidP="0073298C">
            <w:pPr>
              <w:rPr>
                <w:sz w:val="16"/>
                <w:szCs w:val="16"/>
              </w:rPr>
            </w:pPr>
            <w:r>
              <w:rPr>
                <w:sz w:val="16"/>
                <w:szCs w:val="16"/>
              </w:rPr>
              <w:t> </w:t>
            </w:r>
          </w:p>
        </w:tc>
        <w:tc>
          <w:tcPr>
            <w:tcW w:w="120" w:type="dxa"/>
            <w:tcBorders>
              <w:top w:val="nil"/>
              <w:left w:val="nil"/>
              <w:bottom w:val="nil"/>
              <w:right w:val="nil"/>
            </w:tcBorders>
            <w:vAlign w:val="center"/>
          </w:tcPr>
          <w:p w:rsidR="0073298C" w:rsidRDefault="0073298C" w:rsidP="0073298C">
            <w:pPr>
              <w:rPr>
                <w:sz w:val="16"/>
                <w:szCs w:val="16"/>
              </w:rPr>
            </w:pPr>
            <w:r>
              <w:rPr>
                <w:sz w:val="16"/>
                <w:szCs w:val="16"/>
              </w:rPr>
              <w:t> </w:t>
            </w:r>
          </w:p>
        </w:tc>
        <w:tc>
          <w:tcPr>
            <w:tcW w:w="1052" w:type="dxa"/>
            <w:tcBorders>
              <w:top w:val="nil"/>
              <w:left w:val="nil"/>
              <w:bottom w:val="nil"/>
              <w:right w:val="nil"/>
            </w:tcBorders>
            <w:vAlign w:val="center"/>
          </w:tcPr>
          <w:p w:rsidR="0073298C" w:rsidRDefault="0073298C" w:rsidP="0073298C">
            <w:pPr>
              <w:rPr>
                <w:sz w:val="16"/>
                <w:szCs w:val="16"/>
              </w:rPr>
            </w:pPr>
            <w:r>
              <w:rPr>
                <w:sz w:val="16"/>
                <w:szCs w:val="16"/>
              </w:rPr>
              <w:t> </w:t>
            </w:r>
          </w:p>
        </w:tc>
        <w:tc>
          <w:tcPr>
            <w:tcW w:w="105" w:type="dxa"/>
            <w:tcBorders>
              <w:top w:val="nil"/>
              <w:left w:val="nil"/>
              <w:bottom w:val="nil"/>
              <w:right w:val="nil"/>
            </w:tcBorders>
            <w:vAlign w:val="center"/>
          </w:tcPr>
          <w:p w:rsidR="0073298C" w:rsidRDefault="0073298C" w:rsidP="0073298C">
            <w:pPr>
              <w:rPr>
                <w:sz w:val="16"/>
                <w:szCs w:val="16"/>
              </w:rPr>
            </w:pPr>
            <w:r>
              <w:rPr>
                <w:sz w:val="16"/>
                <w:szCs w:val="16"/>
              </w:rPr>
              <w:t> </w:t>
            </w:r>
          </w:p>
        </w:tc>
        <w:tc>
          <w:tcPr>
            <w:tcW w:w="103" w:type="dxa"/>
            <w:tcBorders>
              <w:top w:val="nil"/>
              <w:left w:val="nil"/>
              <w:bottom w:val="nil"/>
              <w:right w:val="nil"/>
            </w:tcBorders>
            <w:vAlign w:val="center"/>
          </w:tcPr>
          <w:p w:rsidR="0073298C" w:rsidRDefault="0073298C" w:rsidP="0073298C">
            <w:pPr>
              <w:rPr>
                <w:sz w:val="16"/>
                <w:szCs w:val="16"/>
              </w:rPr>
            </w:pPr>
            <w:r>
              <w:rPr>
                <w:sz w:val="16"/>
                <w:szCs w:val="16"/>
              </w:rPr>
              <w:t> </w:t>
            </w:r>
          </w:p>
        </w:tc>
        <w:tc>
          <w:tcPr>
            <w:tcW w:w="1110" w:type="dxa"/>
            <w:tcBorders>
              <w:top w:val="nil"/>
              <w:left w:val="nil"/>
              <w:bottom w:val="nil"/>
              <w:right w:val="nil"/>
            </w:tcBorders>
            <w:vAlign w:val="center"/>
          </w:tcPr>
          <w:p w:rsidR="0073298C" w:rsidRDefault="0073298C" w:rsidP="0073298C">
            <w:pPr>
              <w:rPr>
                <w:sz w:val="16"/>
                <w:szCs w:val="16"/>
              </w:rPr>
            </w:pPr>
            <w:r>
              <w:rPr>
                <w:sz w:val="16"/>
                <w:szCs w:val="16"/>
              </w:rPr>
              <w:t> </w:t>
            </w:r>
          </w:p>
        </w:tc>
        <w:tc>
          <w:tcPr>
            <w:tcW w:w="242" w:type="dxa"/>
            <w:tcBorders>
              <w:top w:val="nil"/>
              <w:left w:val="nil"/>
              <w:bottom w:val="nil"/>
              <w:right w:val="nil"/>
            </w:tcBorders>
            <w:vAlign w:val="center"/>
          </w:tcPr>
          <w:p w:rsidR="0073298C" w:rsidRDefault="0073298C" w:rsidP="0073298C">
            <w:pPr>
              <w:rPr>
                <w:sz w:val="16"/>
                <w:szCs w:val="16"/>
              </w:rPr>
            </w:pPr>
            <w:r>
              <w:rPr>
                <w:sz w:val="16"/>
                <w:szCs w:val="16"/>
              </w:rPr>
              <w:t> </w:t>
            </w:r>
          </w:p>
        </w:tc>
        <w:tc>
          <w:tcPr>
            <w:tcW w:w="103" w:type="dxa"/>
            <w:tcBorders>
              <w:top w:val="nil"/>
              <w:left w:val="nil"/>
              <w:bottom w:val="nil"/>
              <w:right w:val="nil"/>
            </w:tcBorders>
            <w:vAlign w:val="center"/>
          </w:tcPr>
          <w:p w:rsidR="0073298C" w:rsidRDefault="0073298C" w:rsidP="0073298C">
            <w:pPr>
              <w:rPr>
                <w:sz w:val="16"/>
                <w:szCs w:val="16"/>
              </w:rPr>
            </w:pPr>
            <w:r>
              <w:rPr>
                <w:sz w:val="16"/>
                <w:szCs w:val="16"/>
              </w:rPr>
              <w:t> </w:t>
            </w:r>
          </w:p>
        </w:tc>
        <w:tc>
          <w:tcPr>
            <w:tcW w:w="120" w:type="dxa"/>
            <w:tcBorders>
              <w:top w:val="nil"/>
              <w:left w:val="nil"/>
              <w:bottom w:val="nil"/>
              <w:right w:val="nil"/>
            </w:tcBorders>
            <w:vAlign w:val="center"/>
          </w:tcPr>
          <w:p w:rsidR="0073298C" w:rsidRDefault="0073298C" w:rsidP="0073298C">
            <w:pPr>
              <w:rPr>
                <w:sz w:val="16"/>
                <w:szCs w:val="16"/>
              </w:rPr>
            </w:pPr>
            <w:r>
              <w:rPr>
                <w:sz w:val="16"/>
                <w:szCs w:val="16"/>
              </w:rPr>
              <w:t> </w:t>
            </w:r>
          </w:p>
        </w:tc>
        <w:tc>
          <w:tcPr>
            <w:tcW w:w="1052" w:type="dxa"/>
            <w:tcBorders>
              <w:top w:val="nil"/>
              <w:left w:val="nil"/>
              <w:bottom w:val="nil"/>
              <w:right w:val="nil"/>
            </w:tcBorders>
            <w:vAlign w:val="center"/>
          </w:tcPr>
          <w:p w:rsidR="0073298C" w:rsidRDefault="0073298C" w:rsidP="0073298C">
            <w:pPr>
              <w:rPr>
                <w:sz w:val="16"/>
                <w:szCs w:val="16"/>
              </w:rPr>
            </w:pPr>
            <w:r>
              <w:rPr>
                <w:sz w:val="16"/>
                <w:szCs w:val="16"/>
              </w:rPr>
              <w:t> </w:t>
            </w:r>
          </w:p>
        </w:tc>
        <w:tc>
          <w:tcPr>
            <w:tcW w:w="105" w:type="dxa"/>
            <w:tcBorders>
              <w:top w:val="nil"/>
              <w:left w:val="nil"/>
              <w:bottom w:val="nil"/>
              <w:right w:val="nil"/>
            </w:tcBorders>
            <w:vAlign w:val="center"/>
          </w:tcPr>
          <w:p w:rsidR="0073298C" w:rsidRDefault="0073298C" w:rsidP="0073298C">
            <w:pPr>
              <w:rPr>
                <w:sz w:val="16"/>
                <w:szCs w:val="16"/>
              </w:rPr>
            </w:pPr>
            <w:r>
              <w:rPr>
                <w:sz w:val="16"/>
                <w:szCs w:val="16"/>
              </w:rPr>
              <w:t> </w:t>
            </w:r>
          </w:p>
        </w:tc>
        <w:tc>
          <w:tcPr>
            <w:tcW w:w="103" w:type="dxa"/>
            <w:tcBorders>
              <w:top w:val="nil"/>
              <w:left w:val="nil"/>
              <w:bottom w:val="nil"/>
              <w:right w:val="nil"/>
            </w:tcBorders>
            <w:vAlign w:val="center"/>
          </w:tcPr>
          <w:p w:rsidR="0073298C" w:rsidRDefault="0073298C" w:rsidP="0073298C">
            <w:pPr>
              <w:rPr>
                <w:sz w:val="16"/>
                <w:szCs w:val="16"/>
              </w:rPr>
            </w:pPr>
            <w:r>
              <w:rPr>
                <w:sz w:val="16"/>
                <w:szCs w:val="16"/>
              </w:rPr>
              <w:t> </w:t>
            </w:r>
          </w:p>
        </w:tc>
        <w:tc>
          <w:tcPr>
            <w:tcW w:w="1132" w:type="dxa"/>
            <w:tcBorders>
              <w:top w:val="nil"/>
              <w:left w:val="nil"/>
              <w:bottom w:val="nil"/>
              <w:right w:val="nil"/>
            </w:tcBorders>
            <w:vAlign w:val="center"/>
          </w:tcPr>
          <w:p w:rsidR="0073298C" w:rsidRDefault="0073298C" w:rsidP="0073298C">
            <w:pPr>
              <w:rPr>
                <w:sz w:val="16"/>
                <w:szCs w:val="16"/>
              </w:rPr>
            </w:pPr>
            <w:r>
              <w:rPr>
                <w:sz w:val="16"/>
                <w:szCs w:val="16"/>
              </w:rPr>
              <w:t> </w:t>
            </w:r>
          </w:p>
        </w:tc>
        <w:tc>
          <w:tcPr>
            <w:tcW w:w="241" w:type="dxa"/>
            <w:tcBorders>
              <w:top w:val="nil"/>
              <w:left w:val="nil"/>
              <w:bottom w:val="nil"/>
              <w:right w:val="nil"/>
            </w:tcBorders>
            <w:vAlign w:val="center"/>
          </w:tcPr>
          <w:p w:rsidR="0073298C" w:rsidRDefault="0073298C" w:rsidP="0073298C">
            <w:pPr>
              <w:rPr>
                <w:sz w:val="16"/>
                <w:szCs w:val="16"/>
              </w:rPr>
            </w:pPr>
            <w:r>
              <w:rPr>
                <w:sz w:val="16"/>
                <w:szCs w:val="16"/>
              </w:rPr>
              <w:t> </w:t>
            </w:r>
          </w:p>
        </w:tc>
        <w:tc>
          <w:tcPr>
            <w:tcW w:w="103" w:type="dxa"/>
            <w:tcBorders>
              <w:top w:val="nil"/>
              <w:left w:val="nil"/>
              <w:bottom w:val="nil"/>
              <w:right w:val="nil"/>
            </w:tcBorders>
            <w:vAlign w:val="center"/>
          </w:tcPr>
          <w:p w:rsidR="0073298C" w:rsidRDefault="0073298C" w:rsidP="0073298C">
            <w:pPr>
              <w:rPr>
                <w:sz w:val="16"/>
                <w:szCs w:val="16"/>
              </w:rPr>
            </w:pPr>
            <w:r>
              <w:rPr>
                <w:sz w:val="16"/>
                <w:szCs w:val="16"/>
              </w:rPr>
              <w:t> </w:t>
            </w:r>
          </w:p>
        </w:tc>
        <w:tc>
          <w:tcPr>
            <w:tcW w:w="120" w:type="dxa"/>
            <w:tcBorders>
              <w:top w:val="nil"/>
              <w:left w:val="nil"/>
              <w:bottom w:val="nil"/>
              <w:right w:val="nil"/>
            </w:tcBorders>
            <w:vAlign w:val="center"/>
          </w:tcPr>
          <w:p w:rsidR="0073298C" w:rsidRDefault="0073298C" w:rsidP="0073298C">
            <w:pPr>
              <w:rPr>
                <w:sz w:val="16"/>
                <w:szCs w:val="16"/>
              </w:rPr>
            </w:pPr>
            <w:r>
              <w:rPr>
                <w:sz w:val="16"/>
                <w:szCs w:val="16"/>
              </w:rPr>
              <w:t> </w:t>
            </w:r>
          </w:p>
        </w:tc>
        <w:tc>
          <w:tcPr>
            <w:tcW w:w="1052" w:type="dxa"/>
            <w:tcBorders>
              <w:top w:val="nil"/>
              <w:left w:val="nil"/>
              <w:bottom w:val="nil"/>
              <w:right w:val="nil"/>
            </w:tcBorders>
            <w:vAlign w:val="center"/>
          </w:tcPr>
          <w:p w:rsidR="0073298C" w:rsidRDefault="0073298C" w:rsidP="0073298C">
            <w:pPr>
              <w:rPr>
                <w:sz w:val="16"/>
                <w:szCs w:val="16"/>
              </w:rPr>
            </w:pPr>
            <w:r>
              <w:rPr>
                <w:sz w:val="16"/>
                <w:szCs w:val="16"/>
              </w:rPr>
              <w:t> </w:t>
            </w:r>
          </w:p>
        </w:tc>
        <w:tc>
          <w:tcPr>
            <w:tcW w:w="105" w:type="dxa"/>
            <w:tcBorders>
              <w:top w:val="nil"/>
              <w:left w:val="nil"/>
              <w:bottom w:val="nil"/>
              <w:right w:val="nil"/>
            </w:tcBorders>
            <w:vAlign w:val="center"/>
          </w:tcPr>
          <w:p w:rsidR="0073298C" w:rsidRDefault="0073298C" w:rsidP="0073298C">
            <w:pPr>
              <w:rPr>
                <w:sz w:val="16"/>
                <w:szCs w:val="16"/>
              </w:rPr>
            </w:pPr>
            <w:r>
              <w:rPr>
                <w:sz w:val="16"/>
                <w:szCs w:val="16"/>
              </w:rPr>
              <w:t> </w:t>
            </w:r>
          </w:p>
        </w:tc>
        <w:tc>
          <w:tcPr>
            <w:tcW w:w="103" w:type="dxa"/>
            <w:tcBorders>
              <w:top w:val="nil"/>
              <w:left w:val="nil"/>
              <w:bottom w:val="nil"/>
              <w:right w:val="nil"/>
            </w:tcBorders>
            <w:vAlign w:val="center"/>
          </w:tcPr>
          <w:p w:rsidR="0073298C" w:rsidRDefault="0073298C" w:rsidP="0073298C">
            <w:pPr>
              <w:rPr>
                <w:sz w:val="16"/>
                <w:szCs w:val="16"/>
              </w:rPr>
            </w:pPr>
            <w:r>
              <w:rPr>
                <w:sz w:val="16"/>
                <w:szCs w:val="16"/>
              </w:rPr>
              <w:t> </w:t>
            </w:r>
          </w:p>
        </w:tc>
        <w:tc>
          <w:tcPr>
            <w:tcW w:w="1132" w:type="dxa"/>
            <w:tcBorders>
              <w:top w:val="nil"/>
              <w:left w:val="nil"/>
              <w:bottom w:val="nil"/>
              <w:right w:val="nil"/>
            </w:tcBorders>
            <w:vAlign w:val="center"/>
          </w:tcPr>
          <w:p w:rsidR="0073298C" w:rsidRDefault="0073298C" w:rsidP="0073298C">
            <w:pPr>
              <w:rPr>
                <w:sz w:val="16"/>
                <w:szCs w:val="16"/>
              </w:rPr>
            </w:pPr>
            <w:r>
              <w:rPr>
                <w:sz w:val="16"/>
                <w:szCs w:val="16"/>
              </w:rPr>
              <w:t> </w:t>
            </w:r>
          </w:p>
        </w:tc>
        <w:tc>
          <w:tcPr>
            <w:tcW w:w="252" w:type="dxa"/>
            <w:tcBorders>
              <w:top w:val="nil"/>
              <w:left w:val="nil"/>
              <w:bottom w:val="nil"/>
              <w:right w:val="nil"/>
            </w:tcBorders>
            <w:vAlign w:val="center"/>
          </w:tcPr>
          <w:p w:rsidR="0073298C" w:rsidRDefault="0073298C" w:rsidP="0073298C">
            <w:pPr>
              <w:rPr>
                <w:sz w:val="16"/>
                <w:szCs w:val="16"/>
              </w:rPr>
            </w:pPr>
            <w:r>
              <w:rPr>
                <w:sz w:val="16"/>
                <w:szCs w:val="16"/>
              </w:rPr>
              <w:t> </w:t>
            </w:r>
          </w:p>
        </w:tc>
      </w:tr>
      <w:tr w:rsidR="0073298C" w:rsidTr="0073298C">
        <w:tblPrEx>
          <w:tblCellMar>
            <w:top w:w="0" w:type="dxa"/>
            <w:left w:w="0" w:type="dxa"/>
            <w:bottom w:w="0" w:type="dxa"/>
            <w:right w:w="0" w:type="dxa"/>
          </w:tblCellMar>
        </w:tblPrEx>
        <w:trPr>
          <w:trHeight w:val="298"/>
          <w:jc w:val="center"/>
        </w:trPr>
        <w:tc>
          <w:tcPr>
            <w:tcW w:w="2353" w:type="dxa"/>
            <w:tcBorders>
              <w:top w:val="single" w:sz="6" w:space="0" w:color="00467E"/>
              <w:left w:val="single" w:sz="6" w:space="0" w:color="00467E"/>
              <w:bottom w:val="nil"/>
              <w:right w:val="nil"/>
            </w:tcBorders>
            <w:vAlign w:val="bottom"/>
          </w:tcPr>
          <w:p w:rsidR="0073298C" w:rsidRDefault="0073298C" w:rsidP="0073298C">
            <w:pPr>
              <w:spacing w:before="22" w:after="22"/>
              <w:ind w:left="22" w:right="22"/>
              <w:rPr>
                <w:color w:val="000000"/>
              </w:rPr>
            </w:pPr>
            <w:r>
              <w:rPr>
                <w:color w:val="000000"/>
              </w:rPr>
              <w:t> </w:t>
            </w:r>
          </w:p>
        </w:tc>
        <w:tc>
          <w:tcPr>
            <w:tcW w:w="2732" w:type="dxa"/>
            <w:gridSpan w:val="6"/>
            <w:tcBorders>
              <w:top w:val="single" w:sz="6" w:space="0" w:color="00467E"/>
              <w:left w:val="nil"/>
              <w:bottom w:val="single" w:sz="6" w:space="0" w:color="000000"/>
              <w:right w:val="nil"/>
            </w:tcBorders>
            <w:vAlign w:val="center"/>
          </w:tcPr>
          <w:p w:rsidR="0073298C" w:rsidRDefault="0073298C" w:rsidP="0073298C">
            <w:pPr>
              <w:spacing w:before="22" w:after="22"/>
              <w:ind w:left="22"/>
              <w:jc w:val="center"/>
              <w:rPr>
                <w:rFonts w:ascii="Arial" w:hAnsi="Arial" w:cs="Arial"/>
                <w:b/>
                <w:bCs w:val="0"/>
                <w:color w:val="000000"/>
                <w:sz w:val="14"/>
                <w:szCs w:val="14"/>
              </w:rPr>
            </w:pPr>
            <w:r>
              <w:rPr>
                <w:rFonts w:ascii="Arial" w:hAnsi="Arial" w:cs="Arial"/>
                <w:b/>
                <w:bCs w:val="0"/>
                <w:color w:val="000000"/>
                <w:sz w:val="14"/>
                <w:szCs w:val="14"/>
              </w:rPr>
              <w:t>2017</w:t>
            </w:r>
          </w:p>
        </w:tc>
        <w:tc>
          <w:tcPr>
            <w:tcW w:w="103" w:type="dxa"/>
            <w:tcBorders>
              <w:top w:val="single" w:sz="6" w:space="0" w:color="00467E"/>
              <w:left w:val="nil"/>
              <w:bottom w:val="nil"/>
              <w:right w:val="nil"/>
            </w:tcBorders>
            <w:vAlign w:val="bottom"/>
          </w:tcPr>
          <w:p w:rsidR="0073298C" w:rsidRDefault="0073298C" w:rsidP="0073298C">
            <w:pPr>
              <w:spacing w:before="22" w:after="22"/>
              <w:ind w:left="22" w:right="22"/>
              <w:rPr>
                <w:color w:val="000000"/>
              </w:rPr>
            </w:pPr>
            <w:r>
              <w:rPr>
                <w:color w:val="000000"/>
              </w:rPr>
              <w:t> </w:t>
            </w:r>
          </w:p>
        </w:tc>
        <w:tc>
          <w:tcPr>
            <w:tcW w:w="2753" w:type="dxa"/>
            <w:gridSpan w:val="6"/>
            <w:tcBorders>
              <w:top w:val="single" w:sz="6" w:space="0" w:color="00467E"/>
              <w:left w:val="nil"/>
              <w:bottom w:val="single" w:sz="6" w:space="0" w:color="000000"/>
              <w:right w:val="nil"/>
            </w:tcBorders>
            <w:vAlign w:val="center"/>
          </w:tcPr>
          <w:p w:rsidR="0073298C" w:rsidRDefault="0073298C" w:rsidP="0073298C">
            <w:pPr>
              <w:spacing w:before="22" w:after="22"/>
              <w:ind w:left="22"/>
              <w:jc w:val="center"/>
              <w:rPr>
                <w:rFonts w:ascii="Arial" w:hAnsi="Arial" w:cs="Arial"/>
                <w:b/>
                <w:bCs w:val="0"/>
                <w:color w:val="000000"/>
                <w:sz w:val="14"/>
                <w:szCs w:val="14"/>
              </w:rPr>
            </w:pPr>
            <w:r>
              <w:rPr>
                <w:rFonts w:ascii="Arial" w:hAnsi="Arial" w:cs="Arial"/>
                <w:b/>
                <w:bCs w:val="0"/>
                <w:color w:val="000000"/>
                <w:sz w:val="14"/>
                <w:szCs w:val="14"/>
              </w:rPr>
              <w:t>2016</w:t>
            </w:r>
          </w:p>
        </w:tc>
        <w:tc>
          <w:tcPr>
            <w:tcW w:w="103" w:type="dxa"/>
            <w:tcBorders>
              <w:top w:val="single" w:sz="6" w:space="0" w:color="00467E"/>
              <w:left w:val="nil"/>
              <w:bottom w:val="nil"/>
              <w:right w:val="nil"/>
            </w:tcBorders>
            <w:vAlign w:val="bottom"/>
          </w:tcPr>
          <w:p w:rsidR="0073298C" w:rsidRDefault="0073298C" w:rsidP="0073298C">
            <w:pPr>
              <w:spacing w:before="22" w:after="22"/>
              <w:ind w:left="22" w:right="22"/>
              <w:rPr>
                <w:color w:val="000000"/>
              </w:rPr>
            </w:pPr>
            <w:r>
              <w:rPr>
                <w:color w:val="000000"/>
              </w:rPr>
              <w:t> </w:t>
            </w:r>
          </w:p>
        </w:tc>
        <w:tc>
          <w:tcPr>
            <w:tcW w:w="2764" w:type="dxa"/>
            <w:gridSpan w:val="6"/>
            <w:tcBorders>
              <w:top w:val="single" w:sz="6" w:space="0" w:color="00467E"/>
              <w:left w:val="nil"/>
              <w:bottom w:val="single" w:sz="6" w:space="0" w:color="000000"/>
              <w:right w:val="single" w:sz="6" w:space="0" w:color="00467E"/>
            </w:tcBorders>
            <w:vAlign w:val="center"/>
          </w:tcPr>
          <w:p w:rsidR="0073298C" w:rsidRDefault="0073298C" w:rsidP="0073298C">
            <w:pPr>
              <w:spacing w:before="22" w:after="22"/>
              <w:ind w:left="22"/>
              <w:jc w:val="center"/>
              <w:rPr>
                <w:rFonts w:ascii="Arial" w:hAnsi="Arial" w:cs="Arial"/>
                <w:b/>
                <w:bCs w:val="0"/>
                <w:color w:val="000000"/>
                <w:sz w:val="14"/>
                <w:szCs w:val="14"/>
              </w:rPr>
            </w:pPr>
            <w:r>
              <w:rPr>
                <w:rFonts w:ascii="Arial" w:hAnsi="Arial" w:cs="Arial"/>
                <w:b/>
                <w:bCs w:val="0"/>
                <w:color w:val="000000"/>
                <w:sz w:val="14"/>
                <w:szCs w:val="14"/>
              </w:rPr>
              <w:t>2015</w:t>
            </w:r>
          </w:p>
        </w:tc>
      </w:tr>
      <w:tr w:rsidR="0073298C" w:rsidTr="0073298C">
        <w:tblPrEx>
          <w:tblCellMar>
            <w:top w:w="0" w:type="dxa"/>
            <w:left w:w="0" w:type="dxa"/>
            <w:bottom w:w="0" w:type="dxa"/>
            <w:right w:w="0" w:type="dxa"/>
          </w:tblCellMar>
        </w:tblPrEx>
        <w:trPr>
          <w:trHeight w:val="256"/>
          <w:jc w:val="center"/>
        </w:trPr>
        <w:tc>
          <w:tcPr>
            <w:tcW w:w="2353" w:type="dxa"/>
            <w:tcBorders>
              <w:top w:val="nil"/>
              <w:left w:val="single" w:sz="6" w:space="0" w:color="00467E"/>
              <w:bottom w:val="nil"/>
              <w:right w:val="nil"/>
            </w:tcBorders>
            <w:vAlign w:val="center"/>
          </w:tcPr>
          <w:p w:rsidR="0073298C" w:rsidRDefault="0073298C" w:rsidP="0073298C">
            <w:pPr>
              <w:spacing w:before="22" w:after="22"/>
              <w:ind w:left="22" w:right="22"/>
              <w:rPr>
                <w:rFonts w:ascii="Arial" w:hAnsi="Arial" w:cs="Arial"/>
                <w:b/>
                <w:bCs w:val="0"/>
                <w:i/>
                <w:iCs/>
                <w:color w:val="9D1B11"/>
                <w:sz w:val="18"/>
                <w:szCs w:val="18"/>
              </w:rPr>
            </w:pPr>
            <w:r>
              <w:rPr>
                <w:rFonts w:ascii="Arial" w:hAnsi="Arial" w:cs="Arial"/>
                <w:b/>
                <w:bCs w:val="0"/>
                <w:i/>
                <w:iCs/>
                <w:color w:val="9D1B11"/>
                <w:sz w:val="18"/>
                <w:szCs w:val="18"/>
              </w:rPr>
              <w:t>Total revenue:</w:t>
            </w:r>
          </w:p>
        </w:tc>
        <w:tc>
          <w:tcPr>
            <w:tcW w:w="8455" w:type="dxa"/>
            <w:gridSpan w:val="20"/>
            <w:tcBorders>
              <w:top w:val="single" w:sz="6" w:space="0" w:color="000000"/>
              <w:left w:val="nil"/>
              <w:bottom w:val="nil"/>
              <w:right w:val="single" w:sz="6" w:space="0" w:color="00467E"/>
            </w:tcBorders>
            <w:vAlign w:val="center"/>
          </w:tcPr>
          <w:p w:rsidR="0073298C" w:rsidRDefault="0073298C" w:rsidP="0073298C">
            <w:pPr>
              <w:spacing w:before="22" w:after="22"/>
              <w:ind w:left="22"/>
              <w:jc w:val="center"/>
              <w:rPr>
                <w:rFonts w:ascii="Arial" w:hAnsi="Arial" w:cs="Arial"/>
                <w:b/>
                <w:bCs w:val="0"/>
                <w:color w:val="000000"/>
                <w:sz w:val="14"/>
                <w:szCs w:val="14"/>
              </w:rPr>
            </w:pPr>
            <w:r>
              <w:rPr>
                <w:rFonts w:ascii="Arial" w:hAnsi="Arial" w:cs="Arial"/>
                <w:b/>
                <w:bCs w:val="0"/>
                <w:color w:val="000000"/>
                <w:sz w:val="14"/>
                <w:szCs w:val="14"/>
              </w:rPr>
              <w:t>(Dollars in thousands)</w:t>
            </w:r>
          </w:p>
        </w:tc>
      </w:tr>
      <w:tr w:rsidR="0073298C" w:rsidTr="0073298C">
        <w:tblPrEx>
          <w:tblCellMar>
            <w:top w:w="0" w:type="dxa"/>
            <w:left w:w="0" w:type="dxa"/>
            <w:bottom w:w="0" w:type="dxa"/>
            <w:right w:w="0" w:type="dxa"/>
          </w:tblCellMar>
        </w:tblPrEx>
        <w:trPr>
          <w:trHeight w:val="281"/>
          <w:jc w:val="center"/>
        </w:trPr>
        <w:tc>
          <w:tcPr>
            <w:tcW w:w="2353" w:type="dxa"/>
            <w:tcBorders>
              <w:top w:val="nil"/>
              <w:left w:val="single" w:sz="6" w:space="0" w:color="00467E"/>
              <w:bottom w:val="nil"/>
              <w:right w:val="nil"/>
            </w:tcBorders>
            <w:shd w:val="clear" w:color="CFD4D8" w:fill="CFD4D8"/>
            <w:vAlign w:val="center"/>
          </w:tcPr>
          <w:p w:rsidR="0073298C" w:rsidRDefault="0073298C" w:rsidP="0073298C">
            <w:pPr>
              <w:spacing w:before="22" w:after="22"/>
              <w:ind w:left="22" w:right="22"/>
              <w:rPr>
                <w:rFonts w:ascii="Arial" w:hAnsi="Arial" w:cs="Arial"/>
                <w:color w:val="000000"/>
                <w:sz w:val="18"/>
                <w:szCs w:val="18"/>
              </w:rPr>
            </w:pPr>
            <w:r>
              <w:rPr>
                <w:rFonts w:ascii="Arial" w:hAnsi="Arial" w:cs="Arial"/>
                <w:color w:val="000000"/>
                <w:sz w:val="18"/>
                <w:szCs w:val="18"/>
              </w:rPr>
              <w:t>Knight – Trucking</w:t>
            </w:r>
          </w:p>
        </w:tc>
        <w:tc>
          <w:tcPr>
            <w:tcW w:w="120" w:type="dxa"/>
            <w:tcBorders>
              <w:top w:val="nil"/>
              <w:left w:val="nil"/>
              <w:bottom w:val="nil"/>
              <w:right w:val="nil"/>
            </w:tcBorders>
            <w:shd w:val="clear" w:color="CFD4D8" w:fill="CFD4D8"/>
            <w:vAlign w:val="center"/>
          </w:tcPr>
          <w:p w:rsidR="0073298C" w:rsidRDefault="0073298C" w:rsidP="0073298C">
            <w:pPr>
              <w:spacing w:before="22" w:after="22"/>
              <w:ind w:left="22"/>
              <w:rPr>
                <w:rFonts w:ascii="Arial" w:hAnsi="Arial" w:cs="Arial"/>
                <w:color w:val="000000"/>
                <w:sz w:val="18"/>
                <w:szCs w:val="18"/>
              </w:rPr>
            </w:pPr>
            <w:r>
              <w:rPr>
                <w:rFonts w:ascii="Arial" w:hAnsi="Arial" w:cs="Arial"/>
                <w:color w:val="000000"/>
                <w:sz w:val="18"/>
                <w:szCs w:val="18"/>
              </w:rPr>
              <w:t>$</w:t>
            </w:r>
          </w:p>
        </w:tc>
        <w:tc>
          <w:tcPr>
            <w:tcW w:w="1052" w:type="dxa"/>
            <w:tcBorders>
              <w:top w:val="nil"/>
              <w:left w:val="nil"/>
              <w:bottom w:val="nil"/>
              <w:right w:val="nil"/>
            </w:tcBorders>
            <w:shd w:val="clear" w:color="CFD4D8" w:fill="CFD4D8"/>
            <w:vAlign w:val="center"/>
          </w:tcPr>
          <w:p w:rsidR="0073298C" w:rsidRDefault="0073298C" w:rsidP="0073298C">
            <w:pPr>
              <w:spacing w:before="22" w:after="22"/>
              <w:jc w:val="right"/>
              <w:rPr>
                <w:rFonts w:ascii="Arial" w:hAnsi="Arial" w:cs="Arial"/>
                <w:color w:val="000000"/>
                <w:sz w:val="18"/>
                <w:szCs w:val="18"/>
              </w:rPr>
            </w:pPr>
            <w:r>
              <w:rPr>
                <w:rFonts w:ascii="Arial" w:hAnsi="Arial" w:cs="Arial"/>
                <w:color w:val="000000"/>
                <w:sz w:val="18"/>
                <w:szCs w:val="18"/>
              </w:rPr>
              <w:t>906,484</w:t>
            </w:r>
          </w:p>
        </w:tc>
        <w:tc>
          <w:tcPr>
            <w:tcW w:w="105" w:type="dxa"/>
            <w:tcBorders>
              <w:top w:val="nil"/>
              <w:left w:val="nil"/>
              <w:bottom w:val="nil"/>
              <w:right w:val="nil"/>
            </w:tcBorders>
            <w:shd w:val="clear" w:color="CFD4D8" w:fill="CFD4D8"/>
            <w:vAlign w:val="bottom"/>
          </w:tcPr>
          <w:p w:rsidR="0073298C" w:rsidRDefault="0073298C" w:rsidP="0073298C">
            <w:pPr>
              <w:spacing w:before="22" w:after="22"/>
              <w:jc w:val="right"/>
              <w:rPr>
                <w:rFonts w:ascii="Arial" w:hAnsi="Arial" w:cs="Arial"/>
                <w:color w:val="000000"/>
                <w:sz w:val="18"/>
                <w:szCs w:val="18"/>
              </w:rPr>
            </w:pPr>
          </w:p>
          <w:p w:rsidR="0073298C" w:rsidRDefault="0073298C" w:rsidP="0073298C">
            <w:pPr>
              <w:rPr>
                <w:sz w:val="16"/>
                <w:szCs w:val="16"/>
              </w:rPr>
            </w:pPr>
            <w:r>
              <w:rPr>
                <w:sz w:val="16"/>
                <w:szCs w:val="16"/>
              </w:rPr>
              <w:t> </w:t>
            </w:r>
          </w:p>
        </w:tc>
        <w:tc>
          <w:tcPr>
            <w:tcW w:w="103" w:type="dxa"/>
            <w:tcBorders>
              <w:top w:val="nil"/>
              <w:left w:val="nil"/>
              <w:bottom w:val="nil"/>
              <w:right w:val="nil"/>
            </w:tcBorders>
            <w:shd w:val="clear" w:color="CFD4D8" w:fill="CFD4D8"/>
            <w:vAlign w:val="bottom"/>
          </w:tcPr>
          <w:p w:rsidR="0073298C" w:rsidRDefault="0073298C" w:rsidP="0073298C">
            <w:pPr>
              <w:spacing w:before="22" w:after="22"/>
              <w:ind w:left="22" w:right="22"/>
              <w:rPr>
                <w:color w:val="000000"/>
              </w:rPr>
            </w:pPr>
            <w:r>
              <w:rPr>
                <w:color w:val="000000"/>
              </w:rPr>
              <w:t> </w:t>
            </w:r>
          </w:p>
        </w:tc>
        <w:tc>
          <w:tcPr>
            <w:tcW w:w="1110" w:type="dxa"/>
            <w:tcBorders>
              <w:top w:val="nil"/>
              <w:left w:val="nil"/>
              <w:bottom w:val="nil"/>
              <w:right w:val="nil"/>
            </w:tcBorders>
            <w:shd w:val="clear" w:color="CFD4D8" w:fill="CFD4D8"/>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37.4</w:t>
            </w:r>
          </w:p>
        </w:tc>
        <w:tc>
          <w:tcPr>
            <w:tcW w:w="242" w:type="dxa"/>
            <w:tcBorders>
              <w:top w:val="nil"/>
              <w:left w:val="nil"/>
              <w:bottom w:val="nil"/>
              <w:right w:val="nil"/>
            </w:tcBorders>
            <w:shd w:val="clear" w:color="CFD4D8" w:fill="CFD4D8"/>
            <w:vAlign w:val="center"/>
          </w:tcPr>
          <w:p w:rsidR="0073298C" w:rsidRDefault="0073298C" w:rsidP="0073298C">
            <w:pPr>
              <w:spacing w:before="22" w:after="22"/>
              <w:ind w:right="22"/>
              <w:rPr>
                <w:rFonts w:ascii="Arial" w:hAnsi="Arial" w:cs="Arial"/>
                <w:color w:val="000000"/>
                <w:sz w:val="18"/>
                <w:szCs w:val="18"/>
              </w:rPr>
            </w:pPr>
            <w:r>
              <w:rPr>
                <w:rFonts w:ascii="Arial" w:hAnsi="Arial" w:cs="Arial"/>
                <w:color w:val="000000"/>
                <w:sz w:val="18"/>
                <w:szCs w:val="18"/>
              </w:rPr>
              <w:t> %</w:t>
            </w:r>
          </w:p>
        </w:tc>
        <w:tc>
          <w:tcPr>
            <w:tcW w:w="103" w:type="dxa"/>
            <w:tcBorders>
              <w:top w:val="nil"/>
              <w:left w:val="nil"/>
              <w:bottom w:val="nil"/>
              <w:right w:val="nil"/>
            </w:tcBorders>
            <w:shd w:val="clear" w:color="CFD4D8" w:fill="CFD4D8"/>
            <w:vAlign w:val="bottom"/>
          </w:tcPr>
          <w:p w:rsidR="0073298C" w:rsidRDefault="0073298C" w:rsidP="0073298C">
            <w:pPr>
              <w:spacing w:before="22" w:after="22"/>
              <w:ind w:left="22" w:right="22"/>
              <w:rPr>
                <w:color w:val="000000"/>
              </w:rPr>
            </w:pPr>
            <w:r>
              <w:rPr>
                <w:color w:val="000000"/>
              </w:rPr>
              <w:t> </w:t>
            </w:r>
          </w:p>
        </w:tc>
        <w:tc>
          <w:tcPr>
            <w:tcW w:w="120" w:type="dxa"/>
            <w:tcBorders>
              <w:top w:val="nil"/>
              <w:left w:val="nil"/>
              <w:bottom w:val="nil"/>
              <w:right w:val="nil"/>
            </w:tcBorders>
            <w:shd w:val="clear" w:color="CFD4D8" w:fill="CFD4D8"/>
            <w:vAlign w:val="center"/>
          </w:tcPr>
          <w:p w:rsidR="0073298C" w:rsidRDefault="0073298C" w:rsidP="0073298C">
            <w:pPr>
              <w:spacing w:before="22" w:after="22"/>
              <w:ind w:left="22"/>
              <w:rPr>
                <w:rFonts w:ascii="Arial" w:hAnsi="Arial" w:cs="Arial"/>
                <w:color w:val="000000"/>
                <w:sz w:val="18"/>
                <w:szCs w:val="18"/>
              </w:rPr>
            </w:pPr>
            <w:r>
              <w:rPr>
                <w:rFonts w:ascii="Arial" w:hAnsi="Arial" w:cs="Arial"/>
                <w:color w:val="000000"/>
                <w:sz w:val="18"/>
                <w:szCs w:val="18"/>
              </w:rPr>
              <w:t>$</w:t>
            </w:r>
          </w:p>
        </w:tc>
        <w:tc>
          <w:tcPr>
            <w:tcW w:w="1052" w:type="dxa"/>
            <w:tcBorders>
              <w:top w:val="nil"/>
              <w:left w:val="nil"/>
              <w:bottom w:val="nil"/>
              <w:right w:val="nil"/>
            </w:tcBorders>
            <w:shd w:val="clear" w:color="CFD4D8" w:fill="CFD4D8"/>
            <w:vAlign w:val="center"/>
          </w:tcPr>
          <w:p w:rsidR="0073298C" w:rsidRDefault="0073298C" w:rsidP="0073298C">
            <w:pPr>
              <w:spacing w:before="22" w:after="22"/>
              <w:jc w:val="right"/>
              <w:rPr>
                <w:rFonts w:ascii="Arial" w:hAnsi="Arial" w:cs="Arial"/>
                <w:color w:val="000000"/>
                <w:sz w:val="18"/>
                <w:szCs w:val="18"/>
              </w:rPr>
            </w:pPr>
            <w:r>
              <w:rPr>
                <w:rFonts w:ascii="Arial" w:hAnsi="Arial" w:cs="Arial"/>
                <w:color w:val="000000"/>
                <w:sz w:val="18"/>
                <w:szCs w:val="18"/>
              </w:rPr>
              <w:t>900,368</w:t>
            </w:r>
          </w:p>
        </w:tc>
        <w:tc>
          <w:tcPr>
            <w:tcW w:w="105" w:type="dxa"/>
            <w:tcBorders>
              <w:top w:val="nil"/>
              <w:left w:val="nil"/>
              <w:bottom w:val="nil"/>
              <w:right w:val="nil"/>
            </w:tcBorders>
            <w:shd w:val="clear" w:color="CFD4D8" w:fill="CFD4D8"/>
            <w:vAlign w:val="bottom"/>
          </w:tcPr>
          <w:p w:rsidR="0073298C" w:rsidRDefault="0073298C" w:rsidP="0073298C">
            <w:pPr>
              <w:spacing w:before="22" w:after="22"/>
              <w:jc w:val="right"/>
              <w:rPr>
                <w:rFonts w:ascii="Arial" w:hAnsi="Arial" w:cs="Arial"/>
                <w:color w:val="000000"/>
                <w:sz w:val="18"/>
                <w:szCs w:val="18"/>
              </w:rPr>
            </w:pPr>
          </w:p>
          <w:p w:rsidR="0073298C" w:rsidRDefault="0073298C" w:rsidP="0073298C">
            <w:pPr>
              <w:rPr>
                <w:sz w:val="16"/>
                <w:szCs w:val="16"/>
              </w:rPr>
            </w:pPr>
            <w:r>
              <w:rPr>
                <w:sz w:val="16"/>
                <w:szCs w:val="16"/>
              </w:rPr>
              <w:t> </w:t>
            </w:r>
          </w:p>
        </w:tc>
        <w:tc>
          <w:tcPr>
            <w:tcW w:w="103" w:type="dxa"/>
            <w:tcBorders>
              <w:top w:val="nil"/>
              <w:left w:val="nil"/>
              <w:bottom w:val="nil"/>
              <w:right w:val="nil"/>
            </w:tcBorders>
            <w:shd w:val="clear" w:color="CFD4D8" w:fill="CFD4D8"/>
            <w:vAlign w:val="bottom"/>
          </w:tcPr>
          <w:p w:rsidR="0073298C" w:rsidRDefault="0073298C" w:rsidP="0073298C">
            <w:pPr>
              <w:spacing w:before="22" w:after="22"/>
              <w:ind w:left="22" w:right="22"/>
              <w:rPr>
                <w:color w:val="000000"/>
              </w:rPr>
            </w:pPr>
            <w:r>
              <w:rPr>
                <w:color w:val="000000"/>
              </w:rPr>
              <w:t> </w:t>
            </w:r>
          </w:p>
        </w:tc>
        <w:tc>
          <w:tcPr>
            <w:tcW w:w="1132" w:type="dxa"/>
            <w:tcBorders>
              <w:top w:val="nil"/>
              <w:left w:val="nil"/>
              <w:bottom w:val="nil"/>
              <w:right w:val="nil"/>
            </w:tcBorders>
            <w:shd w:val="clear" w:color="CFD4D8" w:fill="CFD4D8"/>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80.5</w:t>
            </w:r>
          </w:p>
        </w:tc>
        <w:tc>
          <w:tcPr>
            <w:tcW w:w="241" w:type="dxa"/>
            <w:tcBorders>
              <w:top w:val="nil"/>
              <w:left w:val="nil"/>
              <w:bottom w:val="nil"/>
              <w:right w:val="nil"/>
            </w:tcBorders>
            <w:shd w:val="clear" w:color="CFD4D8" w:fill="CFD4D8"/>
            <w:vAlign w:val="center"/>
          </w:tcPr>
          <w:p w:rsidR="0073298C" w:rsidRDefault="0073298C" w:rsidP="0073298C">
            <w:pPr>
              <w:spacing w:before="22" w:after="22"/>
              <w:ind w:right="22"/>
              <w:rPr>
                <w:rFonts w:ascii="Arial" w:hAnsi="Arial" w:cs="Arial"/>
                <w:color w:val="000000"/>
                <w:sz w:val="18"/>
                <w:szCs w:val="18"/>
              </w:rPr>
            </w:pPr>
            <w:r>
              <w:rPr>
                <w:rFonts w:ascii="Arial" w:hAnsi="Arial" w:cs="Arial"/>
                <w:color w:val="000000"/>
                <w:sz w:val="18"/>
                <w:szCs w:val="18"/>
              </w:rPr>
              <w:t> %</w:t>
            </w:r>
          </w:p>
        </w:tc>
        <w:tc>
          <w:tcPr>
            <w:tcW w:w="103" w:type="dxa"/>
            <w:tcBorders>
              <w:top w:val="nil"/>
              <w:left w:val="nil"/>
              <w:bottom w:val="nil"/>
              <w:right w:val="nil"/>
            </w:tcBorders>
            <w:shd w:val="clear" w:color="CFD4D8" w:fill="CFD4D8"/>
            <w:vAlign w:val="bottom"/>
          </w:tcPr>
          <w:p w:rsidR="0073298C" w:rsidRDefault="0073298C" w:rsidP="0073298C">
            <w:pPr>
              <w:spacing w:before="22" w:after="22"/>
              <w:ind w:left="22" w:right="22"/>
              <w:rPr>
                <w:color w:val="000000"/>
              </w:rPr>
            </w:pPr>
            <w:r>
              <w:rPr>
                <w:color w:val="000000"/>
              </w:rPr>
              <w:t> </w:t>
            </w:r>
          </w:p>
        </w:tc>
        <w:tc>
          <w:tcPr>
            <w:tcW w:w="120" w:type="dxa"/>
            <w:tcBorders>
              <w:top w:val="nil"/>
              <w:left w:val="nil"/>
              <w:bottom w:val="nil"/>
              <w:right w:val="nil"/>
            </w:tcBorders>
            <w:shd w:val="clear" w:color="CFD4D8" w:fill="CFD4D8"/>
            <w:vAlign w:val="center"/>
          </w:tcPr>
          <w:p w:rsidR="0073298C" w:rsidRDefault="0073298C" w:rsidP="0073298C">
            <w:pPr>
              <w:spacing w:before="22" w:after="22"/>
              <w:ind w:left="22"/>
              <w:rPr>
                <w:rFonts w:ascii="Arial" w:hAnsi="Arial" w:cs="Arial"/>
                <w:color w:val="000000"/>
                <w:sz w:val="18"/>
                <w:szCs w:val="18"/>
              </w:rPr>
            </w:pPr>
            <w:r>
              <w:rPr>
                <w:rFonts w:ascii="Arial" w:hAnsi="Arial" w:cs="Arial"/>
                <w:color w:val="000000"/>
                <w:sz w:val="18"/>
                <w:szCs w:val="18"/>
              </w:rPr>
              <w:t>$</w:t>
            </w:r>
          </w:p>
        </w:tc>
        <w:tc>
          <w:tcPr>
            <w:tcW w:w="1052" w:type="dxa"/>
            <w:tcBorders>
              <w:top w:val="nil"/>
              <w:left w:val="nil"/>
              <w:bottom w:val="nil"/>
              <w:right w:val="nil"/>
            </w:tcBorders>
            <w:shd w:val="clear" w:color="CFD4D8" w:fill="CFD4D8"/>
            <w:vAlign w:val="center"/>
          </w:tcPr>
          <w:p w:rsidR="0073298C" w:rsidRDefault="0073298C" w:rsidP="0073298C">
            <w:pPr>
              <w:spacing w:before="22" w:after="22"/>
              <w:jc w:val="right"/>
              <w:rPr>
                <w:rFonts w:ascii="Arial" w:hAnsi="Arial" w:cs="Arial"/>
                <w:color w:val="000000"/>
                <w:sz w:val="18"/>
                <w:szCs w:val="18"/>
              </w:rPr>
            </w:pPr>
            <w:r>
              <w:rPr>
                <w:rFonts w:ascii="Arial" w:hAnsi="Arial" w:cs="Arial"/>
                <w:color w:val="000000"/>
                <w:sz w:val="18"/>
                <w:szCs w:val="18"/>
              </w:rPr>
              <w:t>952,098</w:t>
            </w:r>
          </w:p>
        </w:tc>
        <w:tc>
          <w:tcPr>
            <w:tcW w:w="105" w:type="dxa"/>
            <w:tcBorders>
              <w:top w:val="nil"/>
              <w:left w:val="nil"/>
              <w:bottom w:val="nil"/>
              <w:right w:val="nil"/>
            </w:tcBorders>
            <w:shd w:val="clear" w:color="CFD4D8" w:fill="CFD4D8"/>
            <w:vAlign w:val="bottom"/>
          </w:tcPr>
          <w:p w:rsidR="0073298C" w:rsidRDefault="0073298C" w:rsidP="0073298C">
            <w:pPr>
              <w:spacing w:before="22" w:after="22"/>
              <w:jc w:val="right"/>
              <w:rPr>
                <w:rFonts w:ascii="Arial" w:hAnsi="Arial" w:cs="Arial"/>
                <w:color w:val="000000"/>
                <w:sz w:val="18"/>
                <w:szCs w:val="18"/>
              </w:rPr>
            </w:pPr>
          </w:p>
          <w:p w:rsidR="0073298C" w:rsidRDefault="0073298C" w:rsidP="0073298C">
            <w:pPr>
              <w:rPr>
                <w:sz w:val="16"/>
                <w:szCs w:val="16"/>
              </w:rPr>
            </w:pPr>
            <w:r>
              <w:rPr>
                <w:sz w:val="16"/>
                <w:szCs w:val="16"/>
              </w:rPr>
              <w:t> </w:t>
            </w:r>
          </w:p>
        </w:tc>
        <w:tc>
          <w:tcPr>
            <w:tcW w:w="103" w:type="dxa"/>
            <w:tcBorders>
              <w:top w:val="nil"/>
              <w:left w:val="nil"/>
              <w:bottom w:val="nil"/>
              <w:right w:val="nil"/>
            </w:tcBorders>
            <w:shd w:val="clear" w:color="CFD4D8" w:fill="CFD4D8"/>
            <w:vAlign w:val="bottom"/>
          </w:tcPr>
          <w:p w:rsidR="0073298C" w:rsidRDefault="0073298C" w:rsidP="0073298C">
            <w:pPr>
              <w:spacing w:before="22" w:after="22"/>
              <w:ind w:left="22" w:right="22"/>
              <w:rPr>
                <w:color w:val="000000"/>
              </w:rPr>
            </w:pPr>
            <w:r>
              <w:rPr>
                <w:color w:val="000000"/>
              </w:rPr>
              <w:t> </w:t>
            </w:r>
          </w:p>
        </w:tc>
        <w:tc>
          <w:tcPr>
            <w:tcW w:w="1132" w:type="dxa"/>
            <w:tcBorders>
              <w:top w:val="nil"/>
              <w:left w:val="nil"/>
              <w:bottom w:val="nil"/>
              <w:right w:val="nil"/>
            </w:tcBorders>
            <w:shd w:val="clear" w:color="CFD4D8" w:fill="CFD4D8"/>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80.5</w:t>
            </w:r>
          </w:p>
        </w:tc>
        <w:tc>
          <w:tcPr>
            <w:tcW w:w="252" w:type="dxa"/>
            <w:tcBorders>
              <w:top w:val="nil"/>
              <w:left w:val="nil"/>
              <w:bottom w:val="nil"/>
              <w:right w:val="single" w:sz="6" w:space="0" w:color="00467E"/>
            </w:tcBorders>
            <w:shd w:val="clear" w:color="CFD4D8" w:fill="CFD4D8"/>
            <w:vAlign w:val="center"/>
          </w:tcPr>
          <w:p w:rsidR="0073298C" w:rsidRDefault="0073298C" w:rsidP="0073298C">
            <w:pPr>
              <w:spacing w:before="22" w:after="22"/>
              <w:ind w:right="22"/>
              <w:rPr>
                <w:rFonts w:ascii="Arial" w:hAnsi="Arial" w:cs="Arial"/>
                <w:color w:val="000000"/>
                <w:sz w:val="18"/>
                <w:szCs w:val="18"/>
              </w:rPr>
            </w:pPr>
            <w:r>
              <w:rPr>
                <w:rFonts w:ascii="Arial" w:hAnsi="Arial" w:cs="Arial"/>
                <w:color w:val="000000"/>
                <w:sz w:val="18"/>
                <w:szCs w:val="18"/>
              </w:rPr>
              <w:t> %</w:t>
            </w:r>
          </w:p>
        </w:tc>
      </w:tr>
      <w:tr w:rsidR="0073298C" w:rsidTr="0073298C">
        <w:tblPrEx>
          <w:tblCellMar>
            <w:top w:w="0" w:type="dxa"/>
            <w:left w:w="0" w:type="dxa"/>
            <w:bottom w:w="0" w:type="dxa"/>
            <w:right w:w="0" w:type="dxa"/>
          </w:tblCellMar>
        </w:tblPrEx>
        <w:trPr>
          <w:trHeight w:val="281"/>
          <w:jc w:val="center"/>
        </w:trPr>
        <w:tc>
          <w:tcPr>
            <w:tcW w:w="2353" w:type="dxa"/>
            <w:tcBorders>
              <w:top w:val="nil"/>
              <w:left w:val="single" w:sz="6" w:space="0" w:color="00467E"/>
              <w:bottom w:val="nil"/>
              <w:right w:val="nil"/>
            </w:tcBorders>
            <w:vAlign w:val="center"/>
          </w:tcPr>
          <w:p w:rsidR="0073298C" w:rsidRDefault="0073298C" w:rsidP="0073298C">
            <w:pPr>
              <w:spacing w:before="22" w:after="22"/>
              <w:ind w:left="22" w:right="22"/>
              <w:rPr>
                <w:rFonts w:ascii="Arial" w:hAnsi="Arial" w:cs="Arial"/>
                <w:color w:val="000000"/>
                <w:sz w:val="18"/>
                <w:szCs w:val="18"/>
              </w:rPr>
            </w:pPr>
            <w:r>
              <w:rPr>
                <w:rFonts w:ascii="Arial" w:hAnsi="Arial" w:cs="Arial"/>
                <w:color w:val="000000"/>
                <w:sz w:val="18"/>
                <w:szCs w:val="18"/>
              </w:rPr>
              <w:t>Knight – Logistics</w:t>
            </w:r>
          </w:p>
        </w:tc>
        <w:tc>
          <w:tcPr>
            <w:tcW w:w="120" w:type="dxa"/>
            <w:tcBorders>
              <w:top w:val="nil"/>
              <w:left w:val="nil"/>
              <w:bottom w:val="nil"/>
              <w:right w:val="nil"/>
            </w:tcBorders>
            <w:vAlign w:val="center"/>
          </w:tcPr>
          <w:p w:rsidR="0073298C" w:rsidRDefault="0073298C" w:rsidP="0073298C">
            <w:pPr>
              <w:spacing w:before="22" w:after="22"/>
              <w:ind w:left="22"/>
              <w:rPr>
                <w:rFonts w:ascii="Arial" w:hAnsi="Arial" w:cs="Arial"/>
                <w:color w:val="000000"/>
                <w:sz w:val="18"/>
                <w:szCs w:val="18"/>
              </w:rPr>
            </w:pPr>
            <w:r>
              <w:rPr>
                <w:rFonts w:ascii="Arial" w:hAnsi="Arial" w:cs="Arial"/>
                <w:color w:val="000000"/>
                <w:sz w:val="18"/>
                <w:szCs w:val="18"/>
              </w:rPr>
              <w:t>$</w:t>
            </w:r>
          </w:p>
        </w:tc>
        <w:tc>
          <w:tcPr>
            <w:tcW w:w="1052" w:type="dxa"/>
            <w:tcBorders>
              <w:top w:val="nil"/>
              <w:left w:val="nil"/>
              <w:bottom w:val="nil"/>
              <w:right w:val="nil"/>
            </w:tcBorders>
            <w:vAlign w:val="center"/>
          </w:tcPr>
          <w:p w:rsidR="0073298C" w:rsidRDefault="0073298C" w:rsidP="0073298C">
            <w:pPr>
              <w:spacing w:before="22" w:after="22"/>
              <w:jc w:val="right"/>
              <w:rPr>
                <w:rFonts w:ascii="Arial" w:hAnsi="Arial" w:cs="Arial"/>
                <w:color w:val="000000"/>
                <w:sz w:val="18"/>
                <w:szCs w:val="18"/>
              </w:rPr>
            </w:pPr>
            <w:r>
              <w:rPr>
                <w:rFonts w:ascii="Arial" w:hAnsi="Arial" w:cs="Arial"/>
                <w:color w:val="000000"/>
                <w:sz w:val="18"/>
                <w:szCs w:val="18"/>
              </w:rPr>
              <w:t>234,155</w:t>
            </w:r>
          </w:p>
        </w:tc>
        <w:tc>
          <w:tcPr>
            <w:tcW w:w="105" w:type="dxa"/>
            <w:tcBorders>
              <w:top w:val="nil"/>
              <w:left w:val="nil"/>
              <w:bottom w:val="nil"/>
              <w:right w:val="nil"/>
            </w:tcBorders>
            <w:vAlign w:val="bottom"/>
          </w:tcPr>
          <w:p w:rsidR="0073298C" w:rsidRDefault="0073298C" w:rsidP="0073298C">
            <w:pPr>
              <w:spacing w:before="22" w:after="22"/>
              <w:jc w:val="right"/>
              <w:rPr>
                <w:rFonts w:ascii="Arial" w:hAnsi="Arial" w:cs="Arial"/>
                <w:color w:val="000000"/>
                <w:sz w:val="18"/>
                <w:szCs w:val="18"/>
              </w:rPr>
            </w:pPr>
          </w:p>
          <w:p w:rsidR="0073298C" w:rsidRDefault="0073298C" w:rsidP="0073298C">
            <w:pPr>
              <w:rPr>
                <w:sz w:val="16"/>
                <w:szCs w:val="16"/>
              </w:rPr>
            </w:pPr>
            <w:r>
              <w:rPr>
                <w:sz w:val="16"/>
                <w:szCs w:val="16"/>
              </w:rPr>
              <w:t> </w:t>
            </w:r>
          </w:p>
        </w:tc>
        <w:tc>
          <w:tcPr>
            <w:tcW w:w="103" w:type="dxa"/>
            <w:tcBorders>
              <w:top w:val="nil"/>
              <w:left w:val="nil"/>
              <w:bottom w:val="nil"/>
              <w:right w:val="nil"/>
            </w:tcBorders>
            <w:vAlign w:val="bottom"/>
          </w:tcPr>
          <w:p w:rsidR="0073298C" w:rsidRDefault="0073298C" w:rsidP="0073298C">
            <w:pPr>
              <w:spacing w:before="22" w:after="22"/>
              <w:ind w:left="22" w:right="22"/>
              <w:rPr>
                <w:color w:val="000000"/>
              </w:rPr>
            </w:pPr>
            <w:r>
              <w:rPr>
                <w:color w:val="000000"/>
              </w:rPr>
              <w:t> </w:t>
            </w:r>
          </w:p>
        </w:tc>
        <w:tc>
          <w:tcPr>
            <w:tcW w:w="1110" w:type="dxa"/>
            <w:tcBorders>
              <w:top w:val="nil"/>
              <w:left w:val="nil"/>
              <w:bottom w:val="nil"/>
              <w:right w:val="nil"/>
            </w:tcBorders>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9.7</w:t>
            </w:r>
          </w:p>
        </w:tc>
        <w:tc>
          <w:tcPr>
            <w:tcW w:w="242" w:type="dxa"/>
            <w:tcBorders>
              <w:top w:val="nil"/>
              <w:left w:val="nil"/>
              <w:bottom w:val="nil"/>
              <w:right w:val="nil"/>
            </w:tcBorders>
            <w:vAlign w:val="center"/>
          </w:tcPr>
          <w:p w:rsidR="0073298C" w:rsidRDefault="0073298C" w:rsidP="0073298C">
            <w:pPr>
              <w:spacing w:before="22" w:after="22"/>
              <w:ind w:right="22"/>
              <w:rPr>
                <w:rFonts w:ascii="Arial" w:hAnsi="Arial" w:cs="Arial"/>
                <w:color w:val="000000"/>
                <w:sz w:val="18"/>
                <w:szCs w:val="18"/>
              </w:rPr>
            </w:pPr>
            <w:r>
              <w:rPr>
                <w:rFonts w:ascii="Arial" w:hAnsi="Arial" w:cs="Arial"/>
                <w:color w:val="000000"/>
                <w:sz w:val="18"/>
                <w:szCs w:val="18"/>
              </w:rPr>
              <w:t> %</w:t>
            </w:r>
          </w:p>
        </w:tc>
        <w:tc>
          <w:tcPr>
            <w:tcW w:w="103" w:type="dxa"/>
            <w:tcBorders>
              <w:top w:val="nil"/>
              <w:left w:val="nil"/>
              <w:bottom w:val="nil"/>
              <w:right w:val="nil"/>
            </w:tcBorders>
            <w:vAlign w:val="bottom"/>
          </w:tcPr>
          <w:p w:rsidR="0073298C" w:rsidRDefault="0073298C" w:rsidP="0073298C">
            <w:pPr>
              <w:spacing w:before="22" w:after="22"/>
              <w:ind w:left="22" w:right="22"/>
              <w:rPr>
                <w:color w:val="000000"/>
              </w:rPr>
            </w:pPr>
            <w:r>
              <w:rPr>
                <w:color w:val="000000"/>
              </w:rPr>
              <w:t> </w:t>
            </w:r>
          </w:p>
        </w:tc>
        <w:tc>
          <w:tcPr>
            <w:tcW w:w="120" w:type="dxa"/>
            <w:tcBorders>
              <w:top w:val="nil"/>
              <w:left w:val="nil"/>
              <w:bottom w:val="nil"/>
              <w:right w:val="nil"/>
            </w:tcBorders>
            <w:vAlign w:val="center"/>
          </w:tcPr>
          <w:p w:rsidR="0073298C" w:rsidRDefault="0073298C" w:rsidP="0073298C">
            <w:pPr>
              <w:spacing w:before="22" w:after="22"/>
              <w:ind w:left="22"/>
              <w:rPr>
                <w:rFonts w:ascii="Arial" w:hAnsi="Arial" w:cs="Arial"/>
                <w:color w:val="000000"/>
                <w:sz w:val="18"/>
                <w:szCs w:val="18"/>
              </w:rPr>
            </w:pPr>
            <w:r>
              <w:rPr>
                <w:rFonts w:ascii="Arial" w:hAnsi="Arial" w:cs="Arial"/>
                <w:color w:val="000000"/>
                <w:sz w:val="18"/>
                <w:szCs w:val="18"/>
              </w:rPr>
              <w:t>$</w:t>
            </w:r>
          </w:p>
        </w:tc>
        <w:tc>
          <w:tcPr>
            <w:tcW w:w="1052" w:type="dxa"/>
            <w:tcBorders>
              <w:top w:val="nil"/>
              <w:left w:val="nil"/>
              <w:bottom w:val="nil"/>
              <w:right w:val="nil"/>
            </w:tcBorders>
            <w:vAlign w:val="center"/>
          </w:tcPr>
          <w:p w:rsidR="0073298C" w:rsidRDefault="0073298C" w:rsidP="0073298C">
            <w:pPr>
              <w:spacing w:before="22" w:after="22"/>
              <w:jc w:val="right"/>
              <w:rPr>
                <w:rFonts w:ascii="Arial" w:hAnsi="Arial" w:cs="Arial"/>
                <w:color w:val="000000"/>
                <w:sz w:val="18"/>
                <w:szCs w:val="18"/>
              </w:rPr>
            </w:pPr>
            <w:r>
              <w:rPr>
                <w:rFonts w:ascii="Arial" w:hAnsi="Arial" w:cs="Arial"/>
                <w:color w:val="000000"/>
                <w:sz w:val="18"/>
                <w:szCs w:val="18"/>
              </w:rPr>
              <w:t>226,912</w:t>
            </w:r>
          </w:p>
        </w:tc>
        <w:tc>
          <w:tcPr>
            <w:tcW w:w="105" w:type="dxa"/>
            <w:tcBorders>
              <w:top w:val="nil"/>
              <w:left w:val="nil"/>
              <w:bottom w:val="nil"/>
              <w:right w:val="nil"/>
            </w:tcBorders>
            <w:vAlign w:val="bottom"/>
          </w:tcPr>
          <w:p w:rsidR="0073298C" w:rsidRDefault="0073298C" w:rsidP="0073298C">
            <w:pPr>
              <w:spacing w:before="22" w:after="22"/>
              <w:jc w:val="right"/>
              <w:rPr>
                <w:rFonts w:ascii="Arial" w:hAnsi="Arial" w:cs="Arial"/>
                <w:color w:val="000000"/>
                <w:sz w:val="18"/>
                <w:szCs w:val="18"/>
              </w:rPr>
            </w:pPr>
          </w:p>
          <w:p w:rsidR="0073298C" w:rsidRDefault="0073298C" w:rsidP="0073298C">
            <w:pPr>
              <w:rPr>
                <w:sz w:val="16"/>
                <w:szCs w:val="16"/>
              </w:rPr>
            </w:pPr>
            <w:r>
              <w:rPr>
                <w:sz w:val="16"/>
                <w:szCs w:val="16"/>
              </w:rPr>
              <w:t> </w:t>
            </w:r>
          </w:p>
        </w:tc>
        <w:tc>
          <w:tcPr>
            <w:tcW w:w="103" w:type="dxa"/>
            <w:tcBorders>
              <w:top w:val="nil"/>
              <w:left w:val="nil"/>
              <w:bottom w:val="nil"/>
              <w:right w:val="nil"/>
            </w:tcBorders>
            <w:vAlign w:val="bottom"/>
          </w:tcPr>
          <w:p w:rsidR="0073298C" w:rsidRDefault="0073298C" w:rsidP="0073298C">
            <w:pPr>
              <w:spacing w:before="22" w:after="22"/>
              <w:ind w:left="22" w:right="22"/>
              <w:rPr>
                <w:color w:val="000000"/>
              </w:rPr>
            </w:pPr>
            <w:r>
              <w:rPr>
                <w:color w:val="000000"/>
              </w:rPr>
              <w:t> </w:t>
            </w:r>
          </w:p>
        </w:tc>
        <w:tc>
          <w:tcPr>
            <w:tcW w:w="1132" w:type="dxa"/>
            <w:tcBorders>
              <w:top w:val="nil"/>
              <w:left w:val="nil"/>
              <w:bottom w:val="nil"/>
              <w:right w:val="nil"/>
            </w:tcBorders>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20.3</w:t>
            </w:r>
          </w:p>
        </w:tc>
        <w:tc>
          <w:tcPr>
            <w:tcW w:w="241" w:type="dxa"/>
            <w:tcBorders>
              <w:top w:val="nil"/>
              <w:left w:val="nil"/>
              <w:bottom w:val="nil"/>
              <w:right w:val="nil"/>
            </w:tcBorders>
            <w:vAlign w:val="center"/>
          </w:tcPr>
          <w:p w:rsidR="0073298C" w:rsidRDefault="0073298C" w:rsidP="0073298C">
            <w:pPr>
              <w:spacing w:before="22" w:after="22"/>
              <w:ind w:right="22"/>
              <w:rPr>
                <w:rFonts w:ascii="Arial" w:hAnsi="Arial" w:cs="Arial"/>
                <w:color w:val="000000"/>
                <w:sz w:val="18"/>
                <w:szCs w:val="18"/>
              </w:rPr>
            </w:pPr>
            <w:r>
              <w:rPr>
                <w:rFonts w:ascii="Arial" w:hAnsi="Arial" w:cs="Arial"/>
                <w:color w:val="000000"/>
                <w:sz w:val="18"/>
                <w:szCs w:val="18"/>
              </w:rPr>
              <w:t> %</w:t>
            </w:r>
          </w:p>
        </w:tc>
        <w:tc>
          <w:tcPr>
            <w:tcW w:w="103" w:type="dxa"/>
            <w:tcBorders>
              <w:top w:val="nil"/>
              <w:left w:val="nil"/>
              <w:bottom w:val="nil"/>
              <w:right w:val="nil"/>
            </w:tcBorders>
            <w:vAlign w:val="bottom"/>
          </w:tcPr>
          <w:p w:rsidR="0073298C" w:rsidRDefault="0073298C" w:rsidP="0073298C">
            <w:pPr>
              <w:spacing w:before="22" w:after="22"/>
              <w:ind w:left="22" w:right="22"/>
              <w:rPr>
                <w:color w:val="000000"/>
              </w:rPr>
            </w:pPr>
            <w:r>
              <w:rPr>
                <w:color w:val="000000"/>
              </w:rPr>
              <w:t> </w:t>
            </w:r>
          </w:p>
        </w:tc>
        <w:tc>
          <w:tcPr>
            <w:tcW w:w="120" w:type="dxa"/>
            <w:tcBorders>
              <w:top w:val="nil"/>
              <w:left w:val="nil"/>
              <w:bottom w:val="nil"/>
              <w:right w:val="nil"/>
            </w:tcBorders>
            <w:vAlign w:val="center"/>
          </w:tcPr>
          <w:p w:rsidR="0073298C" w:rsidRDefault="0073298C" w:rsidP="0073298C">
            <w:pPr>
              <w:spacing w:before="22" w:after="22"/>
              <w:ind w:left="22"/>
              <w:rPr>
                <w:rFonts w:ascii="Arial" w:hAnsi="Arial" w:cs="Arial"/>
                <w:color w:val="000000"/>
                <w:sz w:val="18"/>
                <w:szCs w:val="18"/>
              </w:rPr>
            </w:pPr>
            <w:r>
              <w:rPr>
                <w:rFonts w:ascii="Arial" w:hAnsi="Arial" w:cs="Arial"/>
                <w:color w:val="000000"/>
                <w:sz w:val="18"/>
                <w:szCs w:val="18"/>
              </w:rPr>
              <w:t>$</w:t>
            </w:r>
          </w:p>
        </w:tc>
        <w:tc>
          <w:tcPr>
            <w:tcW w:w="1052" w:type="dxa"/>
            <w:tcBorders>
              <w:top w:val="nil"/>
              <w:left w:val="nil"/>
              <w:bottom w:val="nil"/>
              <w:right w:val="nil"/>
            </w:tcBorders>
            <w:vAlign w:val="center"/>
          </w:tcPr>
          <w:p w:rsidR="0073298C" w:rsidRDefault="0073298C" w:rsidP="0073298C">
            <w:pPr>
              <w:spacing w:before="22" w:after="22"/>
              <w:jc w:val="right"/>
              <w:rPr>
                <w:rFonts w:ascii="Arial" w:hAnsi="Arial" w:cs="Arial"/>
                <w:color w:val="000000"/>
                <w:sz w:val="18"/>
                <w:szCs w:val="18"/>
              </w:rPr>
            </w:pPr>
            <w:r>
              <w:rPr>
                <w:rFonts w:ascii="Arial" w:hAnsi="Arial" w:cs="Arial"/>
                <w:color w:val="000000"/>
                <w:sz w:val="18"/>
                <w:szCs w:val="18"/>
              </w:rPr>
              <w:t>249,365</w:t>
            </w:r>
          </w:p>
        </w:tc>
        <w:tc>
          <w:tcPr>
            <w:tcW w:w="105" w:type="dxa"/>
            <w:tcBorders>
              <w:top w:val="nil"/>
              <w:left w:val="nil"/>
              <w:bottom w:val="nil"/>
              <w:right w:val="nil"/>
            </w:tcBorders>
            <w:vAlign w:val="bottom"/>
          </w:tcPr>
          <w:p w:rsidR="0073298C" w:rsidRDefault="0073298C" w:rsidP="0073298C">
            <w:pPr>
              <w:spacing w:before="22" w:after="22"/>
              <w:jc w:val="right"/>
              <w:rPr>
                <w:rFonts w:ascii="Arial" w:hAnsi="Arial" w:cs="Arial"/>
                <w:color w:val="000000"/>
                <w:sz w:val="18"/>
                <w:szCs w:val="18"/>
              </w:rPr>
            </w:pPr>
          </w:p>
          <w:p w:rsidR="0073298C" w:rsidRDefault="0073298C" w:rsidP="0073298C">
            <w:pPr>
              <w:rPr>
                <w:sz w:val="16"/>
                <w:szCs w:val="16"/>
              </w:rPr>
            </w:pPr>
            <w:r>
              <w:rPr>
                <w:sz w:val="16"/>
                <w:szCs w:val="16"/>
              </w:rPr>
              <w:t> </w:t>
            </w:r>
          </w:p>
        </w:tc>
        <w:tc>
          <w:tcPr>
            <w:tcW w:w="103" w:type="dxa"/>
            <w:tcBorders>
              <w:top w:val="nil"/>
              <w:left w:val="nil"/>
              <w:bottom w:val="nil"/>
              <w:right w:val="nil"/>
            </w:tcBorders>
            <w:vAlign w:val="bottom"/>
          </w:tcPr>
          <w:p w:rsidR="0073298C" w:rsidRDefault="0073298C" w:rsidP="0073298C">
            <w:pPr>
              <w:spacing w:before="22" w:after="22"/>
              <w:ind w:left="22" w:right="22"/>
              <w:rPr>
                <w:color w:val="000000"/>
              </w:rPr>
            </w:pPr>
            <w:r>
              <w:rPr>
                <w:color w:val="000000"/>
              </w:rPr>
              <w:t> </w:t>
            </w:r>
          </w:p>
        </w:tc>
        <w:tc>
          <w:tcPr>
            <w:tcW w:w="1132" w:type="dxa"/>
            <w:tcBorders>
              <w:top w:val="nil"/>
              <w:left w:val="nil"/>
              <w:bottom w:val="nil"/>
              <w:right w:val="nil"/>
            </w:tcBorders>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21.1</w:t>
            </w:r>
          </w:p>
        </w:tc>
        <w:tc>
          <w:tcPr>
            <w:tcW w:w="252" w:type="dxa"/>
            <w:tcBorders>
              <w:top w:val="nil"/>
              <w:left w:val="nil"/>
              <w:bottom w:val="nil"/>
              <w:right w:val="single" w:sz="6" w:space="0" w:color="00467E"/>
            </w:tcBorders>
            <w:vAlign w:val="center"/>
          </w:tcPr>
          <w:p w:rsidR="0073298C" w:rsidRDefault="0073298C" w:rsidP="0073298C">
            <w:pPr>
              <w:spacing w:before="22" w:after="22"/>
              <w:ind w:right="22"/>
              <w:rPr>
                <w:rFonts w:ascii="Arial" w:hAnsi="Arial" w:cs="Arial"/>
                <w:color w:val="000000"/>
                <w:sz w:val="18"/>
                <w:szCs w:val="18"/>
              </w:rPr>
            </w:pPr>
            <w:r>
              <w:rPr>
                <w:rFonts w:ascii="Arial" w:hAnsi="Arial" w:cs="Arial"/>
                <w:color w:val="000000"/>
                <w:sz w:val="18"/>
                <w:szCs w:val="18"/>
              </w:rPr>
              <w:t> %</w:t>
            </w:r>
          </w:p>
        </w:tc>
      </w:tr>
      <w:tr w:rsidR="0073298C" w:rsidTr="0073298C">
        <w:tblPrEx>
          <w:tblCellMar>
            <w:top w:w="0" w:type="dxa"/>
            <w:left w:w="0" w:type="dxa"/>
            <w:bottom w:w="0" w:type="dxa"/>
            <w:right w:w="0" w:type="dxa"/>
          </w:tblCellMar>
        </w:tblPrEx>
        <w:trPr>
          <w:trHeight w:val="281"/>
          <w:jc w:val="center"/>
        </w:trPr>
        <w:tc>
          <w:tcPr>
            <w:tcW w:w="2353" w:type="dxa"/>
            <w:tcBorders>
              <w:top w:val="nil"/>
              <w:left w:val="single" w:sz="6" w:space="0" w:color="00467E"/>
              <w:bottom w:val="nil"/>
              <w:right w:val="nil"/>
            </w:tcBorders>
            <w:shd w:val="clear" w:color="CFD4D8" w:fill="CFD4D8"/>
            <w:vAlign w:val="center"/>
          </w:tcPr>
          <w:p w:rsidR="0073298C" w:rsidRDefault="0073298C" w:rsidP="0073298C">
            <w:pPr>
              <w:spacing w:before="22" w:after="22"/>
              <w:ind w:left="22" w:right="22"/>
              <w:rPr>
                <w:rFonts w:ascii="Arial" w:hAnsi="Arial" w:cs="Arial"/>
                <w:color w:val="000000"/>
                <w:sz w:val="18"/>
                <w:szCs w:val="18"/>
              </w:rPr>
            </w:pPr>
            <w:r>
              <w:rPr>
                <w:rFonts w:ascii="Arial" w:hAnsi="Arial" w:cs="Arial"/>
                <w:color w:val="000000"/>
                <w:sz w:val="18"/>
                <w:szCs w:val="18"/>
              </w:rPr>
              <w:t>Swift – Truckload</w:t>
            </w:r>
          </w:p>
        </w:tc>
        <w:tc>
          <w:tcPr>
            <w:tcW w:w="120" w:type="dxa"/>
            <w:tcBorders>
              <w:top w:val="nil"/>
              <w:left w:val="nil"/>
              <w:bottom w:val="nil"/>
              <w:right w:val="nil"/>
            </w:tcBorders>
            <w:shd w:val="clear" w:color="CFD4D8" w:fill="CFD4D8"/>
            <w:vAlign w:val="center"/>
          </w:tcPr>
          <w:p w:rsidR="0073298C" w:rsidRDefault="0073298C" w:rsidP="0073298C">
            <w:pPr>
              <w:spacing w:before="22" w:after="22"/>
              <w:ind w:left="22"/>
              <w:rPr>
                <w:rFonts w:ascii="Arial" w:hAnsi="Arial" w:cs="Arial"/>
                <w:color w:val="000000"/>
                <w:sz w:val="18"/>
                <w:szCs w:val="18"/>
              </w:rPr>
            </w:pPr>
            <w:r>
              <w:rPr>
                <w:rFonts w:ascii="Arial" w:hAnsi="Arial" w:cs="Arial"/>
                <w:color w:val="000000"/>
                <w:sz w:val="18"/>
                <w:szCs w:val="18"/>
              </w:rPr>
              <w:t>$</w:t>
            </w:r>
          </w:p>
        </w:tc>
        <w:tc>
          <w:tcPr>
            <w:tcW w:w="1052" w:type="dxa"/>
            <w:tcBorders>
              <w:top w:val="nil"/>
              <w:left w:val="nil"/>
              <w:bottom w:val="nil"/>
              <w:right w:val="nil"/>
            </w:tcBorders>
            <w:shd w:val="clear" w:color="CFD4D8" w:fill="CFD4D8"/>
            <w:vAlign w:val="center"/>
          </w:tcPr>
          <w:p w:rsidR="0073298C" w:rsidRDefault="0073298C" w:rsidP="0073298C">
            <w:pPr>
              <w:spacing w:before="22" w:after="22"/>
              <w:jc w:val="right"/>
              <w:rPr>
                <w:rFonts w:ascii="Arial" w:hAnsi="Arial" w:cs="Arial"/>
                <w:color w:val="000000"/>
                <w:sz w:val="18"/>
                <w:szCs w:val="18"/>
              </w:rPr>
            </w:pPr>
            <w:r>
              <w:rPr>
                <w:rFonts w:ascii="Arial" w:hAnsi="Arial" w:cs="Arial"/>
                <w:color w:val="000000"/>
                <w:sz w:val="18"/>
                <w:szCs w:val="18"/>
              </w:rPr>
              <w:t>609,112</w:t>
            </w:r>
          </w:p>
        </w:tc>
        <w:tc>
          <w:tcPr>
            <w:tcW w:w="105" w:type="dxa"/>
            <w:tcBorders>
              <w:top w:val="nil"/>
              <w:left w:val="nil"/>
              <w:bottom w:val="nil"/>
              <w:right w:val="nil"/>
            </w:tcBorders>
            <w:shd w:val="clear" w:color="CFD4D8" w:fill="CFD4D8"/>
            <w:vAlign w:val="bottom"/>
          </w:tcPr>
          <w:p w:rsidR="0073298C" w:rsidRDefault="0073298C" w:rsidP="0073298C">
            <w:pPr>
              <w:spacing w:before="22" w:after="22"/>
              <w:jc w:val="right"/>
              <w:rPr>
                <w:rFonts w:ascii="Arial" w:hAnsi="Arial" w:cs="Arial"/>
                <w:color w:val="000000"/>
                <w:sz w:val="18"/>
                <w:szCs w:val="18"/>
              </w:rPr>
            </w:pPr>
          </w:p>
          <w:p w:rsidR="0073298C" w:rsidRDefault="0073298C" w:rsidP="0073298C">
            <w:pPr>
              <w:rPr>
                <w:sz w:val="16"/>
                <w:szCs w:val="16"/>
              </w:rPr>
            </w:pPr>
            <w:r>
              <w:rPr>
                <w:sz w:val="16"/>
                <w:szCs w:val="16"/>
              </w:rPr>
              <w:t> </w:t>
            </w:r>
          </w:p>
        </w:tc>
        <w:tc>
          <w:tcPr>
            <w:tcW w:w="103" w:type="dxa"/>
            <w:tcBorders>
              <w:top w:val="nil"/>
              <w:left w:val="nil"/>
              <w:bottom w:val="nil"/>
              <w:right w:val="nil"/>
            </w:tcBorders>
            <w:shd w:val="clear" w:color="CFD4D8" w:fill="CFD4D8"/>
            <w:vAlign w:val="bottom"/>
          </w:tcPr>
          <w:p w:rsidR="0073298C" w:rsidRDefault="0073298C" w:rsidP="0073298C">
            <w:pPr>
              <w:spacing w:before="22" w:after="22"/>
              <w:ind w:left="22" w:right="22"/>
              <w:rPr>
                <w:color w:val="000000"/>
              </w:rPr>
            </w:pPr>
            <w:r>
              <w:rPr>
                <w:color w:val="000000"/>
              </w:rPr>
              <w:t> </w:t>
            </w:r>
          </w:p>
        </w:tc>
        <w:tc>
          <w:tcPr>
            <w:tcW w:w="1110" w:type="dxa"/>
            <w:tcBorders>
              <w:top w:val="nil"/>
              <w:left w:val="nil"/>
              <w:bottom w:val="nil"/>
              <w:right w:val="nil"/>
            </w:tcBorders>
            <w:shd w:val="clear" w:color="CFD4D8" w:fill="CFD4D8"/>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25.1</w:t>
            </w:r>
          </w:p>
        </w:tc>
        <w:tc>
          <w:tcPr>
            <w:tcW w:w="242" w:type="dxa"/>
            <w:tcBorders>
              <w:top w:val="nil"/>
              <w:left w:val="nil"/>
              <w:bottom w:val="nil"/>
              <w:right w:val="nil"/>
            </w:tcBorders>
            <w:shd w:val="clear" w:color="CFD4D8" w:fill="CFD4D8"/>
            <w:vAlign w:val="center"/>
          </w:tcPr>
          <w:p w:rsidR="0073298C" w:rsidRDefault="0073298C" w:rsidP="0073298C">
            <w:pPr>
              <w:spacing w:before="22" w:after="22"/>
              <w:ind w:right="22"/>
              <w:rPr>
                <w:rFonts w:ascii="Arial" w:hAnsi="Arial" w:cs="Arial"/>
                <w:color w:val="000000"/>
                <w:sz w:val="18"/>
                <w:szCs w:val="18"/>
              </w:rPr>
            </w:pPr>
            <w:r>
              <w:rPr>
                <w:rFonts w:ascii="Arial" w:hAnsi="Arial" w:cs="Arial"/>
                <w:color w:val="000000"/>
                <w:sz w:val="18"/>
                <w:szCs w:val="18"/>
              </w:rPr>
              <w:t> %</w:t>
            </w:r>
          </w:p>
        </w:tc>
        <w:tc>
          <w:tcPr>
            <w:tcW w:w="103" w:type="dxa"/>
            <w:tcBorders>
              <w:top w:val="nil"/>
              <w:left w:val="nil"/>
              <w:bottom w:val="nil"/>
              <w:right w:val="nil"/>
            </w:tcBorders>
            <w:shd w:val="clear" w:color="CFD4D8" w:fill="CFD4D8"/>
            <w:vAlign w:val="bottom"/>
          </w:tcPr>
          <w:p w:rsidR="0073298C" w:rsidRDefault="0073298C" w:rsidP="0073298C">
            <w:pPr>
              <w:spacing w:before="22" w:after="22"/>
              <w:ind w:left="22" w:right="22"/>
              <w:rPr>
                <w:color w:val="000000"/>
              </w:rPr>
            </w:pPr>
            <w:r>
              <w:rPr>
                <w:color w:val="000000"/>
              </w:rPr>
              <w:t> </w:t>
            </w:r>
          </w:p>
        </w:tc>
        <w:tc>
          <w:tcPr>
            <w:tcW w:w="120" w:type="dxa"/>
            <w:tcBorders>
              <w:top w:val="nil"/>
              <w:left w:val="nil"/>
              <w:bottom w:val="nil"/>
              <w:right w:val="nil"/>
            </w:tcBorders>
            <w:shd w:val="clear" w:color="CFD4D8" w:fill="CFD4D8"/>
            <w:vAlign w:val="center"/>
          </w:tcPr>
          <w:p w:rsidR="0073298C" w:rsidRDefault="0073298C" w:rsidP="0073298C">
            <w:pPr>
              <w:spacing w:before="22" w:after="22"/>
              <w:ind w:left="22"/>
              <w:rPr>
                <w:rFonts w:ascii="Arial" w:hAnsi="Arial" w:cs="Arial"/>
                <w:color w:val="000000"/>
                <w:sz w:val="18"/>
                <w:szCs w:val="18"/>
              </w:rPr>
            </w:pPr>
            <w:r>
              <w:rPr>
                <w:rFonts w:ascii="Arial" w:hAnsi="Arial" w:cs="Arial"/>
                <w:color w:val="000000"/>
                <w:sz w:val="18"/>
                <w:szCs w:val="18"/>
              </w:rPr>
              <w:t>$</w:t>
            </w:r>
          </w:p>
        </w:tc>
        <w:tc>
          <w:tcPr>
            <w:tcW w:w="1052" w:type="dxa"/>
            <w:tcBorders>
              <w:top w:val="nil"/>
              <w:left w:val="nil"/>
              <w:bottom w:val="nil"/>
              <w:right w:val="nil"/>
            </w:tcBorders>
            <w:shd w:val="clear" w:color="CFD4D8" w:fill="CFD4D8"/>
            <w:vAlign w:val="center"/>
          </w:tcPr>
          <w:p w:rsidR="0073298C" w:rsidRDefault="0073298C" w:rsidP="0073298C">
            <w:pPr>
              <w:spacing w:before="22" w:after="22"/>
              <w:jc w:val="right"/>
              <w:rPr>
                <w:rFonts w:ascii="Arial" w:hAnsi="Arial" w:cs="Arial"/>
                <w:color w:val="000000"/>
                <w:sz w:val="18"/>
                <w:szCs w:val="18"/>
              </w:rPr>
            </w:pPr>
            <w:r>
              <w:rPr>
                <w:rFonts w:ascii="Arial" w:hAnsi="Arial" w:cs="Arial"/>
                <w:color w:val="000000"/>
                <w:sz w:val="18"/>
                <w:szCs w:val="18"/>
              </w:rPr>
              <w:t>—</w:t>
            </w:r>
          </w:p>
        </w:tc>
        <w:tc>
          <w:tcPr>
            <w:tcW w:w="105" w:type="dxa"/>
            <w:tcBorders>
              <w:top w:val="nil"/>
              <w:left w:val="nil"/>
              <w:bottom w:val="nil"/>
              <w:right w:val="nil"/>
            </w:tcBorders>
            <w:shd w:val="clear" w:color="CFD4D8" w:fill="CFD4D8"/>
            <w:vAlign w:val="bottom"/>
          </w:tcPr>
          <w:p w:rsidR="0073298C" w:rsidRDefault="0073298C" w:rsidP="0073298C">
            <w:pPr>
              <w:spacing w:before="22" w:after="22"/>
              <w:jc w:val="right"/>
              <w:rPr>
                <w:rFonts w:ascii="Arial" w:hAnsi="Arial" w:cs="Arial"/>
                <w:color w:val="000000"/>
                <w:sz w:val="18"/>
                <w:szCs w:val="18"/>
              </w:rPr>
            </w:pPr>
          </w:p>
          <w:p w:rsidR="0073298C" w:rsidRDefault="0073298C" w:rsidP="0073298C">
            <w:pPr>
              <w:rPr>
                <w:sz w:val="16"/>
                <w:szCs w:val="16"/>
              </w:rPr>
            </w:pPr>
            <w:r>
              <w:rPr>
                <w:sz w:val="16"/>
                <w:szCs w:val="16"/>
              </w:rPr>
              <w:t> </w:t>
            </w:r>
          </w:p>
        </w:tc>
        <w:tc>
          <w:tcPr>
            <w:tcW w:w="103" w:type="dxa"/>
            <w:tcBorders>
              <w:top w:val="nil"/>
              <w:left w:val="nil"/>
              <w:bottom w:val="nil"/>
              <w:right w:val="nil"/>
            </w:tcBorders>
            <w:shd w:val="clear" w:color="CFD4D8" w:fill="CFD4D8"/>
            <w:vAlign w:val="bottom"/>
          </w:tcPr>
          <w:p w:rsidR="0073298C" w:rsidRDefault="0073298C" w:rsidP="0073298C">
            <w:pPr>
              <w:spacing w:before="22" w:after="22"/>
              <w:ind w:left="22" w:right="22"/>
              <w:rPr>
                <w:color w:val="000000"/>
              </w:rPr>
            </w:pPr>
            <w:r>
              <w:rPr>
                <w:color w:val="000000"/>
              </w:rPr>
              <w:t> </w:t>
            </w:r>
          </w:p>
        </w:tc>
        <w:tc>
          <w:tcPr>
            <w:tcW w:w="1132" w:type="dxa"/>
            <w:tcBorders>
              <w:top w:val="nil"/>
              <w:left w:val="nil"/>
              <w:bottom w:val="nil"/>
              <w:right w:val="nil"/>
            </w:tcBorders>
            <w:shd w:val="clear" w:color="CFD4D8" w:fill="CFD4D8"/>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w:t>
            </w:r>
          </w:p>
        </w:tc>
        <w:tc>
          <w:tcPr>
            <w:tcW w:w="241" w:type="dxa"/>
            <w:tcBorders>
              <w:top w:val="nil"/>
              <w:left w:val="nil"/>
              <w:bottom w:val="nil"/>
              <w:right w:val="nil"/>
            </w:tcBorders>
            <w:shd w:val="clear" w:color="CFD4D8" w:fill="CFD4D8"/>
            <w:vAlign w:val="center"/>
          </w:tcPr>
          <w:p w:rsidR="0073298C" w:rsidRDefault="0073298C" w:rsidP="0073298C">
            <w:pPr>
              <w:spacing w:before="22" w:after="22"/>
              <w:ind w:right="22"/>
              <w:rPr>
                <w:rFonts w:ascii="Arial" w:hAnsi="Arial" w:cs="Arial"/>
                <w:color w:val="000000"/>
                <w:sz w:val="18"/>
                <w:szCs w:val="18"/>
              </w:rPr>
            </w:pPr>
            <w:r>
              <w:rPr>
                <w:rFonts w:ascii="Arial" w:hAnsi="Arial" w:cs="Arial"/>
                <w:color w:val="000000"/>
                <w:sz w:val="18"/>
                <w:szCs w:val="18"/>
              </w:rPr>
              <w:t> %</w:t>
            </w:r>
          </w:p>
        </w:tc>
        <w:tc>
          <w:tcPr>
            <w:tcW w:w="103" w:type="dxa"/>
            <w:tcBorders>
              <w:top w:val="nil"/>
              <w:left w:val="nil"/>
              <w:bottom w:val="nil"/>
              <w:right w:val="nil"/>
            </w:tcBorders>
            <w:shd w:val="clear" w:color="CFD4D8" w:fill="CFD4D8"/>
            <w:vAlign w:val="bottom"/>
          </w:tcPr>
          <w:p w:rsidR="0073298C" w:rsidRDefault="0073298C" w:rsidP="0073298C">
            <w:pPr>
              <w:spacing w:before="22" w:after="22"/>
              <w:ind w:left="22" w:right="22"/>
              <w:rPr>
                <w:color w:val="000000"/>
              </w:rPr>
            </w:pPr>
            <w:r>
              <w:rPr>
                <w:color w:val="000000"/>
              </w:rPr>
              <w:t> </w:t>
            </w:r>
          </w:p>
        </w:tc>
        <w:tc>
          <w:tcPr>
            <w:tcW w:w="120" w:type="dxa"/>
            <w:tcBorders>
              <w:top w:val="nil"/>
              <w:left w:val="nil"/>
              <w:bottom w:val="nil"/>
              <w:right w:val="nil"/>
            </w:tcBorders>
            <w:shd w:val="clear" w:color="CFD4D8" w:fill="CFD4D8"/>
            <w:vAlign w:val="center"/>
          </w:tcPr>
          <w:p w:rsidR="0073298C" w:rsidRDefault="0073298C" w:rsidP="0073298C">
            <w:pPr>
              <w:spacing w:before="22" w:after="22"/>
              <w:ind w:left="22"/>
              <w:rPr>
                <w:rFonts w:ascii="Arial" w:hAnsi="Arial" w:cs="Arial"/>
                <w:color w:val="000000"/>
                <w:sz w:val="18"/>
                <w:szCs w:val="18"/>
              </w:rPr>
            </w:pPr>
            <w:r>
              <w:rPr>
                <w:rFonts w:ascii="Arial" w:hAnsi="Arial" w:cs="Arial"/>
                <w:color w:val="000000"/>
                <w:sz w:val="18"/>
                <w:szCs w:val="18"/>
              </w:rPr>
              <w:t>$</w:t>
            </w:r>
          </w:p>
        </w:tc>
        <w:tc>
          <w:tcPr>
            <w:tcW w:w="1052" w:type="dxa"/>
            <w:tcBorders>
              <w:top w:val="nil"/>
              <w:left w:val="nil"/>
              <w:bottom w:val="nil"/>
              <w:right w:val="nil"/>
            </w:tcBorders>
            <w:shd w:val="clear" w:color="CFD4D8" w:fill="CFD4D8"/>
            <w:vAlign w:val="center"/>
          </w:tcPr>
          <w:p w:rsidR="0073298C" w:rsidRDefault="0073298C" w:rsidP="0073298C">
            <w:pPr>
              <w:spacing w:before="22" w:after="22"/>
              <w:jc w:val="right"/>
              <w:rPr>
                <w:rFonts w:ascii="Arial" w:hAnsi="Arial" w:cs="Arial"/>
                <w:color w:val="000000"/>
                <w:sz w:val="18"/>
                <w:szCs w:val="18"/>
              </w:rPr>
            </w:pPr>
            <w:r>
              <w:rPr>
                <w:rFonts w:ascii="Arial" w:hAnsi="Arial" w:cs="Arial"/>
                <w:color w:val="000000"/>
                <w:sz w:val="18"/>
                <w:szCs w:val="18"/>
              </w:rPr>
              <w:t>—</w:t>
            </w:r>
          </w:p>
        </w:tc>
        <w:tc>
          <w:tcPr>
            <w:tcW w:w="105" w:type="dxa"/>
            <w:tcBorders>
              <w:top w:val="nil"/>
              <w:left w:val="nil"/>
              <w:bottom w:val="nil"/>
              <w:right w:val="nil"/>
            </w:tcBorders>
            <w:shd w:val="clear" w:color="CFD4D8" w:fill="CFD4D8"/>
            <w:vAlign w:val="bottom"/>
          </w:tcPr>
          <w:p w:rsidR="0073298C" w:rsidRDefault="0073298C" w:rsidP="0073298C">
            <w:pPr>
              <w:spacing w:before="22" w:after="22"/>
              <w:jc w:val="right"/>
              <w:rPr>
                <w:rFonts w:ascii="Arial" w:hAnsi="Arial" w:cs="Arial"/>
                <w:color w:val="000000"/>
                <w:sz w:val="18"/>
                <w:szCs w:val="18"/>
              </w:rPr>
            </w:pPr>
          </w:p>
          <w:p w:rsidR="0073298C" w:rsidRDefault="0073298C" w:rsidP="0073298C">
            <w:pPr>
              <w:rPr>
                <w:sz w:val="16"/>
                <w:szCs w:val="16"/>
              </w:rPr>
            </w:pPr>
            <w:r>
              <w:rPr>
                <w:sz w:val="16"/>
                <w:szCs w:val="16"/>
              </w:rPr>
              <w:t> </w:t>
            </w:r>
          </w:p>
        </w:tc>
        <w:tc>
          <w:tcPr>
            <w:tcW w:w="103" w:type="dxa"/>
            <w:tcBorders>
              <w:top w:val="nil"/>
              <w:left w:val="nil"/>
              <w:bottom w:val="nil"/>
              <w:right w:val="nil"/>
            </w:tcBorders>
            <w:shd w:val="clear" w:color="CFD4D8" w:fill="CFD4D8"/>
            <w:vAlign w:val="bottom"/>
          </w:tcPr>
          <w:p w:rsidR="0073298C" w:rsidRDefault="0073298C" w:rsidP="0073298C">
            <w:pPr>
              <w:spacing w:before="22" w:after="22"/>
              <w:ind w:left="22" w:right="22"/>
              <w:rPr>
                <w:color w:val="000000"/>
              </w:rPr>
            </w:pPr>
            <w:r>
              <w:rPr>
                <w:color w:val="000000"/>
              </w:rPr>
              <w:t> </w:t>
            </w:r>
          </w:p>
        </w:tc>
        <w:tc>
          <w:tcPr>
            <w:tcW w:w="1132" w:type="dxa"/>
            <w:tcBorders>
              <w:top w:val="nil"/>
              <w:left w:val="nil"/>
              <w:bottom w:val="nil"/>
              <w:right w:val="nil"/>
            </w:tcBorders>
            <w:shd w:val="clear" w:color="CFD4D8" w:fill="CFD4D8"/>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w:t>
            </w:r>
          </w:p>
        </w:tc>
        <w:tc>
          <w:tcPr>
            <w:tcW w:w="252" w:type="dxa"/>
            <w:tcBorders>
              <w:top w:val="nil"/>
              <w:left w:val="nil"/>
              <w:bottom w:val="nil"/>
              <w:right w:val="single" w:sz="6" w:space="0" w:color="00467E"/>
            </w:tcBorders>
            <w:shd w:val="clear" w:color="CFD4D8" w:fill="CFD4D8"/>
            <w:vAlign w:val="center"/>
          </w:tcPr>
          <w:p w:rsidR="0073298C" w:rsidRDefault="0073298C" w:rsidP="0073298C">
            <w:pPr>
              <w:spacing w:before="22" w:after="22"/>
              <w:ind w:right="22"/>
              <w:rPr>
                <w:rFonts w:ascii="Arial" w:hAnsi="Arial" w:cs="Arial"/>
                <w:color w:val="000000"/>
                <w:sz w:val="18"/>
                <w:szCs w:val="18"/>
              </w:rPr>
            </w:pPr>
            <w:r>
              <w:rPr>
                <w:rFonts w:ascii="Arial" w:hAnsi="Arial" w:cs="Arial"/>
                <w:color w:val="000000"/>
                <w:sz w:val="18"/>
                <w:szCs w:val="18"/>
              </w:rPr>
              <w:t> %</w:t>
            </w:r>
          </w:p>
        </w:tc>
      </w:tr>
      <w:tr w:rsidR="0073298C" w:rsidTr="0073298C">
        <w:tblPrEx>
          <w:tblCellMar>
            <w:top w:w="0" w:type="dxa"/>
            <w:left w:w="0" w:type="dxa"/>
            <w:bottom w:w="0" w:type="dxa"/>
            <w:right w:w="0" w:type="dxa"/>
          </w:tblCellMar>
        </w:tblPrEx>
        <w:trPr>
          <w:trHeight w:val="281"/>
          <w:jc w:val="center"/>
        </w:trPr>
        <w:tc>
          <w:tcPr>
            <w:tcW w:w="2353" w:type="dxa"/>
            <w:tcBorders>
              <w:top w:val="nil"/>
              <w:left w:val="single" w:sz="6" w:space="0" w:color="00467E"/>
              <w:bottom w:val="nil"/>
              <w:right w:val="nil"/>
            </w:tcBorders>
            <w:vAlign w:val="center"/>
          </w:tcPr>
          <w:p w:rsidR="0073298C" w:rsidRDefault="0073298C" w:rsidP="0073298C">
            <w:pPr>
              <w:spacing w:before="22" w:after="22"/>
              <w:ind w:left="22" w:right="22"/>
              <w:rPr>
                <w:rFonts w:ascii="Arial" w:hAnsi="Arial" w:cs="Arial"/>
                <w:color w:val="000000"/>
                <w:sz w:val="18"/>
                <w:szCs w:val="18"/>
              </w:rPr>
            </w:pPr>
            <w:r>
              <w:rPr>
                <w:rFonts w:ascii="Arial" w:hAnsi="Arial" w:cs="Arial"/>
                <w:color w:val="000000"/>
                <w:sz w:val="18"/>
                <w:szCs w:val="18"/>
              </w:rPr>
              <w:t>Swift – Dedicated</w:t>
            </w:r>
          </w:p>
        </w:tc>
        <w:tc>
          <w:tcPr>
            <w:tcW w:w="120" w:type="dxa"/>
            <w:tcBorders>
              <w:top w:val="nil"/>
              <w:left w:val="nil"/>
              <w:bottom w:val="nil"/>
              <w:right w:val="nil"/>
            </w:tcBorders>
            <w:vAlign w:val="center"/>
          </w:tcPr>
          <w:p w:rsidR="0073298C" w:rsidRDefault="0073298C" w:rsidP="0073298C">
            <w:pPr>
              <w:spacing w:before="22" w:after="22"/>
              <w:ind w:left="22"/>
              <w:rPr>
                <w:rFonts w:ascii="Arial" w:hAnsi="Arial" w:cs="Arial"/>
                <w:color w:val="000000"/>
                <w:sz w:val="18"/>
                <w:szCs w:val="18"/>
              </w:rPr>
            </w:pPr>
            <w:r>
              <w:rPr>
                <w:rFonts w:ascii="Arial" w:hAnsi="Arial" w:cs="Arial"/>
                <w:color w:val="000000"/>
                <w:sz w:val="18"/>
                <w:szCs w:val="18"/>
              </w:rPr>
              <w:t>$</w:t>
            </w:r>
          </w:p>
        </w:tc>
        <w:tc>
          <w:tcPr>
            <w:tcW w:w="1052" w:type="dxa"/>
            <w:tcBorders>
              <w:top w:val="nil"/>
              <w:left w:val="nil"/>
              <w:bottom w:val="nil"/>
              <w:right w:val="nil"/>
            </w:tcBorders>
            <w:vAlign w:val="center"/>
          </w:tcPr>
          <w:p w:rsidR="0073298C" w:rsidRDefault="0073298C" w:rsidP="0073298C">
            <w:pPr>
              <w:spacing w:before="22" w:after="22"/>
              <w:jc w:val="right"/>
              <w:rPr>
                <w:rFonts w:ascii="Arial" w:hAnsi="Arial" w:cs="Arial"/>
                <w:color w:val="000000"/>
                <w:sz w:val="18"/>
                <w:szCs w:val="18"/>
              </w:rPr>
            </w:pPr>
            <w:r>
              <w:rPr>
                <w:rFonts w:ascii="Arial" w:hAnsi="Arial" w:cs="Arial"/>
                <w:color w:val="000000"/>
                <w:sz w:val="18"/>
                <w:szCs w:val="18"/>
              </w:rPr>
              <w:t>200,628</w:t>
            </w:r>
          </w:p>
        </w:tc>
        <w:tc>
          <w:tcPr>
            <w:tcW w:w="105" w:type="dxa"/>
            <w:tcBorders>
              <w:top w:val="nil"/>
              <w:left w:val="nil"/>
              <w:bottom w:val="nil"/>
              <w:right w:val="nil"/>
            </w:tcBorders>
            <w:vAlign w:val="bottom"/>
          </w:tcPr>
          <w:p w:rsidR="0073298C" w:rsidRDefault="0073298C" w:rsidP="0073298C">
            <w:pPr>
              <w:spacing w:before="22" w:after="22"/>
              <w:jc w:val="right"/>
              <w:rPr>
                <w:rFonts w:ascii="Arial" w:hAnsi="Arial" w:cs="Arial"/>
                <w:color w:val="000000"/>
                <w:sz w:val="18"/>
                <w:szCs w:val="18"/>
              </w:rPr>
            </w:pPr>
          </w:p>
          <w:p w:rsidR="0073298C" w:rsidRDefault="0073298C" w:rsidP="0073298C">
            <w:pPr>
              <w:rPr>
                <w:sz w:val="16"/>
                <w:szCs w:val="16"/>
              </w:rPr>
            </w:pPr>
            <w:r>
              <w:rPr>
                <w:sz w:val="16"/>
                <w:szCs w:val="16"/>
              </w:rPr>
              <w:t> </w:t>
            </w:r>
          </w:p>
        </w:tc>
        <w:tc>
          <w:tcPr>
            <w:tcW w:w="103" w:type="dxa"/>
            <w:tcBorders>
              <w:top w:val="nil"/>
              <w:left w:val="nil"/>
              <w:bottom w:val="nil"/>
              <w:right w:val="nil"/>
            </w:tcBorders>
            <w:vAlign w:val="bottom"/>
          </w:tcPr>
          <w:p w:rsidR="0073298C" w:rsidRDefault="0073298C" w:rsidP="0073298C">
            <w:pPr>
              <w:spacing w:before="22" w:after="22"/>
              <w:ind w:left="22" w:right="22"/>
              <w:rPr>
                <w:color w:val="000000"/>
              </w:rPr>
            </w:pPr>
            <w:r>
              <w:rPr>
                <w:color w:val="000000"/>
              </w:rPr>
              <w:t> </w:t>
            </w:r>
          </w:p>
        </w:tc>
        <w:tc>
          <w:tcPr>
            <w:tcW w:w="1110" w:type="dxa"/>
            <w:tcBorders>
              <w:top w:val="nil"/>
              <w:left w:val="nil"/>
              <w:bottom w:val="nil"/>
              <w:right w:val="nil"/>
            </w:tcBorders>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8.3</w:t>
            </w:r>
          </w:p>
        </w:tc>
        <w:tc>
          <w:tcPr>
            <w:tcW w:w="242" w:type="dxa"/>
            <w:tcBorders>
              <w:top w:val="nil"/>
              <w:left w:val="nil"/>
              <w:bottom w:val="nil"/>
              <w:right w:val="nil"/>
            </w:tcBorders>
            <w:vAlign w:val="center"/>
          </w:tcPr>
          <w:p w:rsidR="0073298C" w:rsidRDefault="0073298C" w:rsidP="0073298C">
            <w:pPr>
              <w:spacing w:before="22" w:after="22"/>
              <w:ind w:right="22"/>
              <w:rPr>
                <w:rFonts w:ascii="Arial" w:hAnsi="Arial" w:cs="Arial"/>
                <w:color w:val="000000"/>
                <w:sz w:val="18"/>
                <w:szCs w:val="18"/>
              </w:rPr>
            </w:pPr>
            <w:r>
              <w:rPr>
                <w:rFonts w:ascii="Arial" w:hAnsi="Arial" w:cs="Arial"/>
                <w:color w:val="000000"/>
                <w:sz w:val="18"/>
                <w:szCs w:val="18"/>
              </w:rPr>
              <w:t> %</w:t>
            </w:r>
          </w:p>
        </w:tc>
        <w:tc>
          <w:tcPr>
            <w:tcW w:w="103" w:type="dxa"/>
            <w:tcBorders>
              <w:top w:val="nil"/>
              <w:left w:val="nil"/>
              <w:bottom w:val="nil"/>
              <w:right w:val="nil"/>
            </w:tcBorders>
            <w:vAlign w:val="bottom"/>
          </w:tcPr>
          <w:p w:rsidR="0073298C" w:rsidRDefault="0073298C" w:rsidP="0073298C">
            <w:pPr>
              <w:spacing w:before="22" w:after="22"/>
              <w:ind w:left="22" w:right="22"/>
              <w:rPr>
                <w:color w:val="000000"/>
              </w:rPr>
            </w:pPr>
            <w:r>
              <w:rPr>
                <w:color w:val="000000"/>
              </w:rPr>
              <w:t> </w:t>
            </w:r>
          </w:p>
        </w:tc>
        <w:tc>
          <w:tcPr>
            <w:tcW w:w="120" w:type="dxa"/>
            <w:tcBorders>
              <w:top w:val="nil"/>
              <w:left w:val="nil"/>
              <w:bottom w:val="nil"/>
              <w:right w:val="nil"/>
            </w:tcBorders>
            <w:vAlign w:val="center"/>
          </w:tcPr>
          <w:p w:rsidR="0073298C" w:rsidRDefault="0073298C" w:rsidP="0073298C">
            <w:pPr>
              <w:spacing w:before="22" w:after="22"/>
              <w:ind w:left="22"/>
              <w:rPr>
                <w:rFonts w:ascii="Arial" w:hAnsi="Arial" w:cs="Arial"/>
                <w:color w:val="000000"/>
                <w:sz w:val="18"/>
                <w:szCs w:val="18"/>
              </w:rPr>
            </w:pPr>
            <w:r>
              <w:rPr>
                <w:rFonts w:ascii="Arial" w:hAnsi="Arial" w:cs="Arial"/>
                <w:color w:val="000000"/>
                <w:sz w:val="18"/>
                <w:szCs w:val="18"/>
              </w:rPr>
              <w:t>$</w:t>
            </w:r>
          </w:p>
        </w:tc>
        <w:tc>
          <w:tcPr>
            <w:tcW w:w="1052" w:type="dxa"/>
            <w:tcBorders>
              <w:top w:val="nil"/>
              <w:left w:val="nil"/>
              <w:bottom w:val="nil"/>
              <w:right w:val="nil"/>
            </w:tcBorders>
            <w:vAlign w:val="center"/>
          </w:tcPr>
          <w:p w:rsidR="0073298C" w:rsidRDefault="0073298C" w:rsidP="0073298C">
            <w:pPr>
              <w:spacing w:before="22" w:after="22"/>
              <w:jc w:val="right"/>
              <w:rPr>
                <w:rFonts w:ascii="Arial" w:hAnsi="Arial" w:cs="Arial"/>
                <w:color w:val="000000"/>
                <w:sz w:val="18"/>
                <w:szCs w:val="18"/>
              </w:rPr>
            </w:pPr>
            <w:r>
              <w:rPr>
                <w:rFonts w:ascii="Arial" w:hAnsi="Arial" w:cs="Arial"/>
                <w:color w:val="000000"/>
                <w:sz w:val="18"/>
                <w:szCs w:val="18"/>
              </w:rPr>
              <w:t>—</w:t>
            </w:r>
          </w:p>
        </w:tc>
        <w:tc>
          <w:tcPr>
            <w:tcW w:w="105" w:type="dxa"/>
            <w:tcBorders>
              <w:top w:val="nil"/>
              <w:left w:val="nil"/>
              <w:bottom w:val="nil"/>
              <w:right w:val="nil"/>
            </w:tcBorders>
            <w:vAlign w:val="bottom"/>
          </w:tcPr>
          <w:p w:rsidR="0073298C" w:rsidRDefault="0073298C" w:rsidP="0073298C">
            <w:pPr>
              <w:spacing w:before="22" w:after="22"/>
              <w:jc w:val="right"/>
              <w:rPr>
                <w:rFonts w:ascii="Arial" w:hAnsi="Arial" w:cs="Arial"/>
                <w:color w:val="000000"/>
                <w:sz w:val="18"/>
                <w:szCs w:val="18"/>
              </w:rPr>
            </w:pPr>
          </w:p>
          <w:p w:rsidR="0073298C" w:rsidRDefault="0073298C" w:rsidP="0073298C">
            <w:pPr>
              <w:rPr>
                <w:sz w:val="16"/>
                <w:szCs w:val="16"/>
              </w:rPr>
            </w:pPr>
            <w:r>
              <w:rPr>
                <w:sz w:val="16"/>
                <w:szCs w:val="16"/>
              </w:rPr>
              <w:t> </w:t>
            </w:r>
          </w:p>
        </w:tc>
        <w:tc>
          <w:tcPr>
            <w:tcW w:w="103" w:type="dxa"/>
            <w:tcBorders>
              <w:top w:val="nil"/>
              <w:left w:val="nil"/>
              <w:bottom w:val="nil"/>
              <w:right w:val="nil"/>
            </w:tcBorders>
            <w:vAlign w:val="bottom"/>
          </w:tcPr>
          <w:p w:rsidR="0073298C" w:rsidRDefault="0073298C" w:rsidP="0073298C">
            <w:pPr>
              <w:spacing w:before="22" w:after="22"/>
              <w:ind w:left="22" w:right="22"/>
              <w:rPr>
                <w:color w:val="000000"/>
              </w:rPr>
            </w:pPr>
            <w:r>
              <w:rPr>
                <w:color w:val="000000"/>
              </w:rPr>
              <w:t> </w:t>
            </w:r>
          </w:p>
        </w:tc>
        <w:tc>
          <w:tcPr>
            <w:tcW w:w="1132" w:type="dxa"/>
            <w:tcBorders>
              <w:top w:val="nil"/>
              <w:left w:val="nil"/>
              <w:bottom w:val="nil"/>
              <w:right w:val="nil"/>
            </w:tcBorders>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w:t>
            </w:r>
          </w:p>
        </w:tc>
        <w:tc>
          <w:tcPr>
            <w:tcW w:w="241" w:type="dxa"/>
            <w:tcBorders>
              <w:top w:val="nil"/>
              <w:left w:val="nil"/>
              <w:bottom w:val="nil"/>
              <w:right w:val="nil"/>
            </w:tcBorders>
            <w:vAlign w:val="center"/>
          </w:tcPr>
          <w:p w:rsidR="0073298C" w:rsidRDefault="0073298C" w:rsidP="0073298C">
            <w:pPr>
              <w:spacing w:before="22" w:after="22"/>
              <w:ind w:right="22"/>
              <w:rPr>
                <w:rFonts w:ascii="Arial" w:hAnsi="Arial" w:cs="Arial"/>
                <w:color w:val="000000"/>
                <w:sz w:val="18"/>
                <w:szCs w:val="18"/>
              </w:rPr>
            </w:pPr>
            <w:r>
              <w:rPr>
                <w:rFonts w:ascii="Arial" w:hAnsi="Arial" w:cs="Arial"/>
                <w:color w:val="000000"/>
                <w:sz w:val="18"/>
                <w:szCs w:val="18"/>
              </w:rPr>
              <w:t> %</w:t>
            </w:r>
          </w:p>
        </w:tc>
        <w:tc>
          <w:tcPr>
            <w:tcW w:w="103" w:type="dxa"/>
            <w:tcBorders>
              <w:top w:val="nil"/>
              <w:left w:val="nil"/>
              <w:bottom w:val="nil"/>
              <w:right w:val="nil"/>
            </w:tcBorders>
            <w:vAlign w:val="bottom"/>
          </w:tcPr>
          <w:p w:rsidR="0073298C" w:rsidRDefault="0073298C" w:rsidP="0073298C">
            <w:pPr>
              <w:spacing w:before="22" w:after="22"/>
              <w:ind w:left="22" w:right="22"/>
              <w:rPr>
                <w:color w:val="000000"/>
              </w:rPr>
            </w:pPr>
            <w:r>
              <w:rPr>
                <w:color w:val="000000"/>
              </w:rPr>
              <w:t> </w:t>
            </w:r>
          </w:p>
        </w:tc>
        <w:tc>
          <w:tcPr>
            <w:tcW w:w="120" w:type="dxa"/>
            <w:tcBorders>
              <w:top w:val="nil"/>
              <w:left w:val="nil"/>
              <w:bottom w:val="nil"/>
              <w:right w:val="nil"/>
            </w:tcBorders>
            <w:vAlign w:val="center"/>
          </w:tcPr>
          <w:p w:rsidR="0073298C" w:rsidRDefault="0073298C" w:rsidP="0073298C">
            <w:pPr>
              <w:spacing w:before="22" w:after="22"/>
              <w:ind w:left="22"/>
              <w:rPr>
                <w:rFonts w:ascii="Arial" w:hAnsi="Arial" w:cs="Arial"/>
                <w:color w:val="000000"/>
                <w:sz w:val="18"/>
                <w:szCs w:val="18"/>
              </w:rPr>
            </w:pPr>
            <w:r>
              <w:rPr>
                <w:rFonts w:ascii="Arial" w:hAnsi="Arial" w:cs="Arial"/>
                <w:color w:val="000000"/>
                <w:sz w:val="18"/>
                <w:szCs w:val="18"/>
              </w:rPr>
              <w:t>$</w:t>
            </w:r>
          </w:p>
        </w:tc>
        <w:tc>
          <w:tcPr>
            <w:tcW w:w="1052" w:type="dxa"/>
            <w:tcBorders>
              <w:top w:val="nil"/>
              <w:left w:val="nil"/>
              <w:bottom w:val="nil"/>
              <w:right w:val="nil"/>
            </w:tcBorders>
            <w:vAlign w:val="center"/>
          </w:tcPr>
          <w:p w:rsidR="0073298C" w:rsidRDefault="0073298C" w:rsidP="0073298C">
            <w:pPr>
              <w:spacing w:before="22" w:after="22"/>
              <w:jc w:val="right"/>
              <w:rPr>
                <w:rFonts w:ascii="Arial" w:hAnsi="Arial" w:cs="Arial"/>
                <w:color w:val="000000"/>
                <w:sz w:val="18"/>
                <w:szCs w:val="18"/>
              </w:rPr>
            </w:pPr>
            <w:r>
              <w:rPr>
                <w:rFonts w:ascii="Arial" w:hAnsi="Arial" w:cs="Arial"/>
                <w:color w:val="000000"/>
                <w:sz w:val="18"/>
                <w:szCs w:val="18"/>
              </w:rPr>
              <w:t>—</w:t>
            </w:r>
          </w:p>
        </w:tc>
        <w:tc>
          <w:tcPr>
            <w:tcW w:w="105" w:type="dxa"/>
            <w:tcBorders>
              <w:top w:val="nil"/>
              <w:left w:val="nil"/>
              <w:bottom w:val="nil"/>
              <w:right w:val="nil"/>
            </w:tcBorders>
            <w:vAlign w:val="bottom"/>
          </w:tcPr>
          <w:p w:rsidR="0073298C" w:rsidRDefault="0073298C" w:rsidP="0073298C">
            <w:pPr>
              <w:spacing w:before="22" w:after="22"/>
              <w:jc w:val="right"/>
              <w:rPr>
                <w:rFonts w:ascii="Arial" w:hAnsi="Arial" w:cs="Arial"/>
                <w:color w:val="000000"/>
                <w:sz w:val="18"/>
                <w:szCs w:val="18"/>
              </w:rPr>
            </w:pPr>
          </w:p>
          <w:p w:rsidR="0073298C" w:rsidRDefault="0073298C" w:rsidP="0073298C">
            <w:pPr>
              <w:rPr>
                <w:sz w:val="16"/>
                <w:szCs w:val="16"/>
              </w:rPr>
            </w:pPr>
            <w:r>
              <w:rPr>
                <w:sz w:val="16"/>
                <w:szCs w:val="16"/>
              </w:rPr>
              <w:t> </w:t>
            </w:r>
          </w:p>
        </w:tc>
        <w:tc>
          <w:tcPr>
            <w:tcW w:w="103" w:type="dxa"/>
            <w:tcBorders>
              <w:top w:val="nil"/>
              <w:left w:val="nil"/>
              <w:bottom w:val="nil"/>
              <w:right w:val="nil"/>
            </w:tcBorders>
            <w:vAlign w:val="bottom"/>
          </w:tcPr>
          <w:p w:rsidR="0073298C" w:rsidRDefault="0073298C" w:rsidP="0073298C">
            <w:pPr>
              <w:spacing w:before="22" w:after="22"/>
              <w:ind w:left="22" w:right="22"/>
              <w:rPr>
                <w:color w:val="000000"/>
              </w:rPr>
            </w:pPr>
            <w:r>
              <w:rPr>
                <w:color w:val="000000"/>
              </w:rPr>
              <w:t> </w:t>
            </w:r>
          </w:p>
        </w:tc>
        <w:tc>
          <w:tcPr>
            <w:tcW w:w="1132" w:type="dxa"/>
            <w:tcBorders>
              <w:top w:val="nil"/>
              <w:left w:val="nil"/>
              <w:bottom w:val="nil"/>
              <w:right w:val="nil"/>
            </w:tcBorders>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w:t>
            </w:r>
          </w:p>
        </w:tc>
        <w:tc>
          <w:tcPr>
            <w:tcW w:w="252" w:type="dxa"/>
            <w:tcBorders>
              <w:top w:val="nil"/>
              <w:left w:val="nil"/>
              <w:bottom w:val="nil"/>
              <w:right w:val="single" w:sz="6" w:space="0" w:color="00467E"/>
            </w:tcBorders>
            <w:vAlign w:val="center"/>
          </w:tcPr>
          <w:p w:rsidR="0073298C" w:rsidRDefault="0073298C" w:rsidP="0073298C">
            <w:pPr>
              <w:spacing w:before="22" w:after="22"/>
              <w:ind w:right="22"/>
              <w:rPr>
                <w:rFonts w:ascii="Arial" w:hAnsi="Arial" w:cs="Arial"/>
                <w:color w:val="000000"/>
                <w:sz w:val="18"/>
                <w:szCs w:val="18"/>
              </w:rPr>
            </w:pPr>
            <w:r>
              <w:rPr>
                <w:rFonts w:ascii="Arial" w:hAnsi="Arial" w:cs="Arial"/>
                <w:color w:val="000000"/>
                <w:sz w:val="18"/>
                <w:szCs w:val="18"/>
              </w:rPr>
              <w:t> %</w:t>
            </w:r>
          </w:p>
        </w:tc>
      </w:tr>
      <w:tr w:rsidR="0073298C" w:rsidTr="0073298C">
        <w:tblPrEx>
          <w:tblCellMar>
            <w:top w:w="0" w:type="dxa"/>
            <w:left w:w="0" w:type="dxa"/>
            <w:bottom w:w="0" w:type="dxa"/>
            <w:right w:w="0" w:type="dxa"/>
          </w:tblCellMar>
        </w:tblPrEx>
        <w:trPr>
          <w:trHeight w:val="281"/>
          <w:jc w:val="center"/>
        </w:trPr>
        <w:tc>
          <w:tcPr>
            <w:tcW w:w="2353" w:type="dxa"/>
            <w:tcBorders>
              <w:top w:val="nil"/>
              <w:left w:val="single" w:sz="6" w:space="0" w:color="00467E"/>
              <w:bottom w:val="nil"/>
              <w:right w:val="nil"/>
            </w:tcBorders>
            <w:shd w:val="clear" w:color="CFD4D8" w:fill="CFD4D8"/>
            <w:vAlign w:val="center"/>
          </w:tcPr>
          <w:p w:rsidR="0073298C" w:rsidRDefault="0073298C" w:rsidP="0073298C">
            <w:pPr>
              <w:spacing w:before="22" w:after="22"/>
              <w:ind w:left="22" w:right="22"/>
              <w:rPr>
                <w:rFonts w:ascii="Arial" w:hAnsi="Arial" w:cs="Arial"/>
                <w:color w:val="000000"/>
                <w:sz w:val="18"/>
                <w:szCs w:val="18"/>
              </w:rPr>
            </w:pPr>
            <w:r>
              <w:rPr>
                <w:rFonts w:ascii="Arial" w:hAnsi="Arial" w:cs="Arial"/>
                <w:color w:val="000000"/>
                <w:sz w:val="18"/>
                <w:szCs w:val="18"/>
              </w:rPr>
              <w:t>Swift – Refrigerated</w:t>
            </w:r>
          </w:p>
        </w:tc>
        <w:tc>
          <w:tcPr>
            <w:tcW w:w="120" w:type="dxa"/>
            <w:tcBorders>
              <w:top w:val="nil"/>
              <w:left w:val="nil"/>
              <w:bottom w:val="nil"/>
              <w:right w:val="nil"/>
            </w:tcBorders>
            <w:shd w:val="clear" w:color="CFD4D8" w:fill="CFD4D8"/>
            <w:vAlign w:val="center"/>
          </w:tcPr>
          <w:p w:rsidR="0073298C" w:rsidRDefault="0073298C" w:rsidP="0073298C">
            <w:pPr>
              <w:spacing w:before="22" w:after="22"/>
              <w:ind w:left="22"/>
              <w:rPr>
                <w:rFonts w:ascii="Arial" w:hAnsi="Arial" w:cs="Arial"/>
                <w:color w:val="000000"/>
                <w:sz w:val="18"/>
                <w:szCs w:val="18"/>
              </w:rPr>
            </w:pPr>
            <w:r>
              <w:rPr>
                <w:rFonts w:ascii="Arial" w:hAnsi="Arial" w:cs="Arial"/>
                <w:color w:val="000000"/>
                <w:sz w:val="18"/>
                <w:szCs w:val="18"/>
              </w:rPr>
              <w:t>$</w:t>
            </w:r>
          </w:p>
        </w:tc>
        <w:tc>
          <w:tcPr>
            <w:tcW w:w="1052" w:type="dxa"/>
            <w:tcBorders>
              <w:top w:val="nil"/>
              <w:left w:val="nil"/>
              <w:bottom w:val="nil"/>
              <w:right w:val="nil"/>
            </w:tcBorders>
            <w:shd w:val="clear" w:color="CFD4D8" w:fill="CFD4D8"/>
            <w:vAlign w:val="center"/>
          </w:tcPr>
          <w:p w:rsidR="0073298C" w:rsidRDefault="0073298C" w:rsidP="0073298C">
            <w:pPr>
              <w:spacing w:before="22" w:after="22"/>
              <w:jc w:val="right"/>
              <w:rPr>
                <w:rFonts w:ascii="Arial" w:hAnsi="Arial" w:cs="Arial"/>
                <w:color w:val="000000"/>
                <w:sz w:val="18"/>
                <w:szCs w:val="18"/>
              </w:rPr>
            </w:pPr>
            <w:r>
              <w:rPr>
                <w:rFonts w:ascii="Arial" w:hAnsi="Arial" w:cs="Arial"/>
                <w:color w:val="000000"/>
                <w:sz w:val="18"/>
                <w:szCs w:val="18"/>
              </w:rPr>
              <w:t>254,102</w:t>
            </w:r>
          </w:p>
        </w:tc>
        <w:tc>
          <w:tcPr>
            <w:tcW w:w="105" w:type="dxa"/>
            <w:tcBorders>
              <w:top w:val="nil"/>
              <w:left w:val="nil"/>
              <w:bottom w:val="nil"/>
              <w:right w:val="nil"/>
            </w:tcBorders>
            <w:shd w:val="clear" w:color="CFD4D8" w:fill="CFD4D8"/>
            <w:vAlign w:val="bottom"/>
          </w:tcPr>
          <w:p w:rsidR="0073298C" w:rsidRDefault="0073298C" w:rsidP="0073298C">
            <w:pPr>
              <w:spacing w:before="22" w:after="22"/>
              <w:jc w:val="right"/>
              <w:rPr>
                <w:rFonts w:ascii="Arial" w:hAnsi="Arial" w:cs="Arial"/>
                <w:color w:val="000000"/>
                <w:sz w:val="18"/>
                <w:szCs w:val="18"/>
              </w:rPr>
            </w:pPr>
          </w:p>
          <w:p w:rsidR="0073298C" w:rsidRDefault="0073298C" w:rsidP="0073298C">
            <w:pPr>
              <w:rPr>
                <w:sz w:val="16"/>
                <w:szCs w:val="16"/>
              </w:rPr>
            </w:pPr>
            <w:r>
              <w:rPr>
                <w:sz w:val="16"/>
                <w:szCs w:val="16"/>
              </w:rPr>
              <w:t> </w:t>
            </w:r>
          </w:p>
        </w:tc>
        <w:tc>
          <w:tcPr>
            <w:tcW w:w="103" w:type="dxa"/>
            <w:tcBorders>
              <w:top w:val="nil"/>
              <w:left w:val="nil"/>
              <w:bottom w:val="nil"/>
              <w:right w:val="nil"/>
            </w:tcBorders>
            <w:shd w:val="clear" w:color="CFD4D8" w:fill="CFD4D8"/>
            <w:vAlign w:val="bottom"/>
          </w:tcPr>
          <w:p w:rsidR="0073298C" w:rsidRDefault="0073298C" w:rsidP="0073298C">
            <w:pPr>
              <w:spacing w:before="22" w:after="22"/>
              <w:ind w:left="22" w:right="22"/>
              <w:rPr>
                <w:color w:val="000000"/>
              </w:rPr>
            </w:pPr>
            <w:r>
              <w:rPr>
                <w:color w:val="000000"/>
              </w:rPr>
              <w:t> </w:t>
            </w:r>
          </w:p>
        </w:tc>
        <w:tc>
          <w:tcPr>
            <w:tcW w:w="1110" w:type="dxa"/>
            <w:tcBorders>
              <w:top w:val="nil"/>
              <w:left w:val="nil"/>
              <w:bottom w:val="nil"/>
              <w:right w:val="nil"/>
            </w:tcBorders>
            <w:shd w:val="clear" w:color="CFD4D8" w:fill="CFD4D8"/>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10.5</w:t>
            </w:r>
          </w:p>
        </w:tc>
        <w:tc>
          <w:tcPr>
            <w:tcW w:w="242" w:type="dxa"/>
            <w:tcBorders>
              <w:top w:val="nil"/>
              <w:left w:val="nil"/>
              <w:bottom w:val="nil"/>
              <w:right w:val="nil"/>
            </w:tcBorders>
            <w:shd w:val="clear" w:color="CFD4D8" w:fill="CFD4D8"/>
            <w:vAlign w:val="center"/>
          </w:tcPr>
          <w:p w:rsidR="0073298C" w:rsidRDefault="0073298C" w:rsidP="0073298C">
            <w:pPr>
              <w:spacing w:before="22" w:after="22"/>
              <w:ind w:right="22"/>
              <w:rPr>
                <w:rFonts w:ascii="Arial" w:hAnsi="Arial" w:cs="Arial"/>
                <w:color w:val="000000"/>
                <w:sz w:val="18"/>
                <w:szCs w:val="18"/>
              </w:rPr>
            </w:pPr>
            <w:r>
              <w:rPr>
                <w:rFonts w:ascii="Arial" w:hAnsi="Arial" w:cs="Arial"/>
                <w:color w:val="000000"/>
                <w:sz w:val="18"/>
                <w:szCs w:val="18"/>
              </w:rPr>
              <w:t> %</w:t>
            </w:r>
          </w:p>
        </w:tc>
        <w:tc>
          <w:tcPr>
            <w:tcW w:w="103" w:type="dxa"/>
            <w:tcBorders>
              <w:top w:val="nil"/>
              <w:left w:val="nil"/>
              <w:bottom w:val="nil"/>
              <w:right w:val="nil"/>
            </w:tcBorders>
            <w:shd w:val="clear" w:color="CFD4D8" w:fill="CFD4D8"/>
            <w:vAlign w:val="bottom"/>
          </w:tcPr>
          <w:p w:rsidR="0073298C" w:rsidRDefault="0073298C" w:rsidP="0073298C">
            <w:pPr>
              <w:spacing w:before="22" w:after="22"/>
              <w:ind w:left="22" w:right="22"/>
              <w:rPr>
                <w:color w:val="000000"/>
              </w:rPr>
            </w:pPr>
            <w:r>
              <w:rPr>
                <w:color w:val="000000"/>
              </w:rPr>
              <w:t> </w:t>
            </w:r>
          </w:p>
        </w:tc>
        <w:tc>
          <w:tcPr>
            <w:tcW w:w="120" w:type="dxa"/>
            <w:tcBorders>
              <w:top w:val="nil"/>
              <w:left w:val="nil"/>
              <w:bottom w:val="nil"/>
              <w:right w:val="nil"/>
            </w:tcBorders>
            <w:shd w:val="clear" w:color="CFD4D8" w:fill="CFD4D8"/>
            <w:vAlign w:val="center"/>
          </w:tcPr>
          <w:p w:rsidR="0073298C" w:rsidRDefault="0073298C" w:rsidP="0073298C">
            <w:pPr>
              <w:spacing w:before="22" w:after="22"/>
              <w:ind w:left="22"/>
              <w:rPr>
                <w:rFonts w:ascii="Arial" w:hAnsi="Arial" w:cs="Arial"/>
                <w:color w:val="000000"/>
                <w:sz w:val="18"/>
                <w:szCs w:val="18"/>
              </w:rPr>
            </w:pPr>
            <w:r>
              <w:rPr>
                <w:rFonts w:ascii="Arial" w:hAnsi="Arial" w:cs="Arial"/>
                <w:color w:val="000000"/>
                <w:sz w:val="18"/>
                <w:szCs w:val="18"/>
              </w:rPr>
              <w:t>$</w:t>
            </w:r>
          </w:p>
        </w:tc>
        <w:tc>
          <w:tcPr>
            <w:tcW w:w="1052" w:type="dxa"/>
            <w:tcBorders>
              <w:top w:val="nil"/>
              <w:left w:val="nil"/>
              <w:bottom w:val="nil"/>
              <w:right w:val="nil"/>
            </w:tcBorders>
            <w:shd w:val="clear" w:color="CFD4D8" w:fill="CFD4D8"/>
            <w:vAlign w:val="center"/>
          </w:tcPr>
          <w:p w:rsidR="0073298C" w:rsidRDefault="0073298C" w:rsidP="0073298C">
            <w:pPr>
              <w:spacing w:before="22" w:after="22"/>
              <w:jc w:val="right"/>
              <w:rPr>
                <w:rFonts w:ascii="Arial" w:hAnsi="Arial" w:cs="Arial"/>
                <w:color w:val="000000"/>
                <w:sz w:val="18"/>
                <w:szCs w:val="18"/>
              </w:rPr>
            </w:pPr>
            <w:r>
              <w:rPr>
                <w:rFonts w:ascii="Arial" w:hAnsi="Arial" w:cs="Arial"/>
                <w:color w:val="000000"/>
                <w:sz w:val="18"/>
                <w:szCs w:val="18"/>
              </w:rPr>
              <w:t>—</w:t>
            </w:r>
          </w:p>
        </w:tc>
        <w:tc>
          <w:tcPr>
            <w:tcW w:w="105" w:type="dxa"/>
            <w:tcBorders>
              <w:top w:val="nil"/>
              <w:left w:val="nil"/>
              <w:bottom w:val="nil"/>
              <w:right w:val="nil"/>
            </w:tcBorders>
            <w:shd w:val="clear" w:color="CFD4D8" w:fill="CFD4D8"/>
            <w:vAlign w:val="bottom"/>
          </w:tcPr>
          <w:p w:rsidR="0073298C" w:rsidRDefault="0073298C" w:rsidP="0073298C">
            <w:pPr>
              <w:spacing w:before="22" w:after="22"/>
              <w:jc w:val="right"/>
              <w:rPr>
                <w:rFonts w:ascii="Arial" w:hAnsi="Arial" w:cs="Arial"/>
                <w:color w:val="000000"/>
                <w:sz w:val="18"/>
                <w:szCs w:val="18"/>
              </w:rPr>
            </w:pPr>
          </w:p>
          <w:p w:rsidR="0073298C" w:rsidRDefault="0073298C" w:rsidP="0073298C">
            <w:pPr>
              <w:rPr>
                <w:sz w:val="16"/>
                <w:szCs w:val="16"/>
              </w:rPr>
            </w:pPr>
            <w:r>
              <w:rPr>
                <w:sz w:val="16"/>
                <w:szCs w:val="16"/>
              </w:rPr>
              <w:t> </w:t>
            </w:r>
          </w:p>
        </w:tc>
        <w:tc>
          <w:tcPr>
            <w:tcW w:w="103" w:type="dxa"/>
            <w:tcBorders>
              <w:top w:val="nil"/>
              <w:left w:val="nil"/>
              <w:bottom w:val="nil"/>
              <w:right w:val="nil"/>
            </w:tcBorders>
            <w:shd w:val="clear" w:color="CFD4D8" w:fill="CFD4D8"/>
            <w:vAlign w:val="bottom"/>
          </w:tcPr>
          <w:p w:rsidR="0073298C" w:rsidRDefault="0073298C" w:rsidP="0073298C">
            <w:pPr>
              <w:spacing w:before="22" w:after="22"/>
              <w:ind w:left="22" w:right="22"/>
              <w:rPr>
                <w:color w:val="000000"/>
              </w:rPr>
            </w:pPr>
            <w:r>
              <w:rPr>
                <w:color w:val="000000"/>
              </w:rPr>
              <w:t> </w:t>
            </w:r>
          </w:p>
        </w:tc>
        <w:tc>
          <w:tcPr>
            <w:tcW w:w="1132" w:type="dxa"/>
            <w:tcBorders>
              <w:top w:val="nil"/>
              <w:left w:val="nil"/>
              <w:bottom w:val="nil"/>
              <w:right w:val="nil"/>
            </w:tcBorders>
            <w:shd w:val="clear" w:color="CFD4D8" w:fill="CFD4D8"/>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w:t>
            </w:r>
          </w:p>
        </w:tc>
        <w:tc>
          <w:tcPr>
            <w:tcW w:w="241" w:type="dxa"/>
            <w:tcBorders>
              <w:top w:val="nil"/>
              <w:left w:val="nil"/>
              <w:bottom w:val="nil"/>
              <w:right w:val="nil"/>
            </w:tcBorders>
            <w:shd w:val="clear" w:color="CFD4D8" w:fill="CFD4D8"/>
            <w:vAlign w:val="center"/>
          </w:tcPr>
          <w:p w:rsidR="0073298C" w:rsidRDefault="0073298C" w:rsidP="0073298C">
            <w:pPr>
              <w:spacing w:before="22" w:after="22"/>
              <w:ind w:right="22"/>
              <w:rPr>
                <w:rFonts w:ascii="Arial" w:hAnsi="Arial" w:cs="Arial"/>
                <w:color w:val="000000"/>
                <w:sz w:val="18"/>
                <w:szCs w:val="18"/>
              </w:rPr>
            </w:pPr>
            <w:r>
              <w:rPr>
                <w:rFonts w:ascii="Arial" w:hAnsi="Arial" w:cs="Arial"/>
                <w:color w:val="000000"/>
                <w:sz w:val="18"/>
                <w:szCs w:val="18"/>
              </w:rPr>
              <w:t> %</w:t>
            </w:r>
          </w:p>
        </w:tc>
        <w:tc>
          <w:tcPr>
            <w:tcW w:w="103" w:type="dxa"/>
            <w:tcBorders>
              <w:top w:val="nil"/>
              <w:left w:val="nil"/>
              <w:bottom w:val="nil"/>
              <w:right w:val="nil"/>
            </w:tcBorders>
            <w:shd w:val="clear" w:color="CFD4D8" w:fill="CFD4D8"/>
            <w:vAlign w:val="bottom"/>
          </w:tcPr>
          <w:p w:rsidR="0073298C" w:rsidRDefault="0073298C" w:rsidP="0073298C">
            <w:pPr>
              <w:spacing w:before="22" w:after="22"/>
              <w:ind w:left="22" w:right="22"/>
              <w:rPr>
                <w:color w:val="000000"/>
              </w:rPr>
            </w:pPr>
            <w:r>
              <w:rPr>
                <w:color w:val="000000"/>
              </w:rPr>
              <w:t> </w:t>
            </w:r>
          </w:p>
        </w:tc>
        <w:tc>
          <w:tcPr>
            <w:tcW w:w="120" w:type="dxa"/>
            <w:tcBorders>
              <w:top w:val="nil"/>
              <w:left w:val="nil"/>
              <w:bottom w:val="nil"/>
              <w:right w:val="nil"/>
            </w:tcBorders>
            <w:shd w:val="clear" w:color="CFD4D8" w:fill="CFD4D8"/>
            <w:vAlign w:val="center"/>
          </w:tcPr>
          <w:p w:rsidR="0073298C" w:rsidRDefault="0073298C" w:rsidP="0073298C">
            <w:pPr>
              <w:spacing w:before="22" w:after="22"/>
              <w:ind w:left="22"/>
              <w:rPr>
                <w:rFonts w:ascii="Arial" w:hAnsi="Arial" w:cs="Arial"/>
                <w:color w:val="000000"/>
                <w:sz w:val="18"/>
                <w:szCs w:val="18"/>
              </w:rPr>
            </w:pPr>
            <w:r>
              <w:rPr>
                <w:rFonts w:ascii="Arial" w:hAnsi="Arial" w:cs="Arial"/>
                <w:color w:val="000000"/>
                <w:sz w:val="18"/>
                <w:szCs w:val="18"/>
              </w:rPr>
              <w:t>$</w:t>
            </w:r>
          </w:p>
        </w:tc>
        <w:tc>
          <w:tcPr>
            <w:tcW w:w="1052" w:type="dxa"/>
            <w:tcBorders>
              <w:top w:val="nil"/>
              <w:left w:val="nil"/>
              <w:bottom w:val="nil"/>
              <w:right w:val="nil"/>
            </w:tcBorders>
            <w:shd w:val="clear" w:color="CFD4D8" w:fill="CFD4D8"/>
            <w:vAlign w:val="center"/>
          </w:tcPr>
          <w:p w:rsidR="0073298C" w:rsidRDefault="0073298C" w:rsidP="0073298C">
            <w:pPr>
              <w:spacing w:before="22" w:after="22"/>
              <w:jc w:val="right"/>
              <w:rPr>
                <w:rFonts w:ascii="Arial" w:hAnsi="Arial" w:cs="Arial"/>
                <w:color w:val="000000"/>
                <w:sz w:val="18"/>
                <w:szCs w:val="18"/>
              </w:rPr>
            </w:pPr>
            <w:r>
              <w:rPr>
                <w:rFonts w:ascii="Arial" w:hAnsi="Arial" w:cs="Arial"/>
                <w:color w:val="000000"/>
                <w:sz w:val="18"/>
                <w:szCs w:val="18"/>
              </w:rPr>
              <w:t>—</w:t>
            </w:r>
          </w:p>
        </w:tc>
        <w:tc>
          <w:tcPr>
            <w:tcW w:w="105" w:type="dxa"/>
            <w:tcBorders>
              <w:top w:val="nil"/>
              <w:left w:val="nil"/>
              <w:bottom w:val="nil"/>
              <w:right w:val="nil"/>
            </w:tcBorders>
            <w:shd w:val="clear" w:color="CFD4D8" w:fill="CFD4D8"/>
            <w:vAlign w:val="bottom"/>
          </w:tcPr>
          <w:p w:rsidR="0073298C" w:rsidRDefault="0073298C" w:rsidP="0073298C">
            <w:pPr>
              <w:spacing w:before="22" w:after="22"/>
              <w:jc w:val="right"/>
              <w:rPr>
                <w:rFonts w:ascii="Arial" w:hAnsi="Arial" w:cs="Arial"/>
                <w:color w:val="000000"/>
                <w:sz w:val="18"/>
                <w:szCs w:val="18"/>
              </w:rPr>
            </w:pPr>
          </w:p>
          <w:p w:rsidR="0073298C" w:rsidRDefault="0073298C" w:rsidP="0073298C">
            <w:pPr>
              <w:rPr>
                <w:sz w:val="16"/>
                <w:szCs w:val="16"/>
              </w:rPr>
            </w:pPr>
            <w:r>
              <w:rPr>
                <w:sz w:val="16"/>
                <w:szCs w:val="16"/>
              </w:rPr>
              <w:t> </w:t>
            </w:r>
          </w:p>
        </w:tc>
        <w:tc>
          <w:tcPr>
            <w:tcW w:w="103" w:type="dxa"/>
            <w:tcBorders>
              <w:top w:val="nil"/>
              <w:left w:val="nil"/>
              <w:bottom w:val="nil"/>
              <w:right w:val="nil"/>
            </w:tcBorders>
            <w:shd w:val="clear" w:color="CFD4D8" w:fill="CFD4D8"/>
            <w:vAlign w:val="bottom"/>
          </w:tcPr>
          <w:p w:rsidR="0073298C" w:rsidRDefault="0073298C" w:rsidP="0073298C">
            <w:pPr>
              <w:spacing w:before="22" w:after="22"/>
              <w:ind w:left="22" w:right="22"/>
              <w:rPr>
                <w:color w:val="000000"/>
              </w:rPr>
            </w:pPr>
            <w:r>
              <w:rPr>
                <w:color w:val="000000"/>
              </w:rPr>
              <w:t> </w:t>
            </w:r>
          </w:p>
        </w:tc>
        <w:tc>
          <w:tcPr>
            <w:tcW w:w="1132" w:type="dxa"/>
            <w:tcBorders>
              <w:top w:val="nil"/>
              <w:left w:val="nil"/>
              <w:bottom w:val="nil"/>
              <w:right w:val="nil"/>
            </w:tcBorders>
            <w:shd w:val="clear" w:color="CFD4D8" w:fill="CFD4D8"/>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w:t>
            </w:r>
          </w:p>
        </w:tc>
        <w:tc>
          <w:tcPr>
            <w:tcW w:w="252" w:type="dxa"/>
            <w:tcBorders>
              <w:top w:val="nil"/>
              <w:left w:val="nil"/>
              <w:bottom w:val="nil"/>
              <w:right w:val="single" w:sz="6" w:space="0" w:color="00467E"/>
            </w:tcBorders>
            <w:shd w:val="clear" w:color="CFD4D8" w:fill="CFD4D8"/>
            <w:vAlign w:val="center"/>
          </w:tcPr>
          <w:p w:rsidR="0073298C" w:rsidRDefault="0073298C" w:rsidP="0073298C">
            <w:pPr>
              <w:spacing w:before="22" w:after="22"/>
              <w:ind w:right="22"/>
              <w:rPr>
                <w:rFonts w:ascii="Arial" w:hAnsi="Arial" w:cs="Arial"/>
                <w:color w:val="000000"/>
                <w:sz w:val="18"/>
                <w:szCs w:val="18"/>
              </w:rPr>
            </w:pPr>
            <w:r>
              <w:rPr>
                <w:rFonts w:ascii="Arial" w:hAnsi="Arial" w:cs="Arial"/>
                <w:color w:val="000000"/>
                <w:sz w:val="18"/>
                <w:szCs w:val="18"/>
              </w:rPr>
              <w:t> %</w:t>
            </w:r>
          </w:p>
        </w:tc>
      </w:tr>
      <w:tr w:rsidR="0073298C" w:rsidTr="0073298C">
        <w:tblPrEx>
          <w:tblCellMar>
            <w:top w:w="0" w:type="dxa"/>
            <w:left w:w="0" w:type="dxa"/>
            <w:bottom w:w="0" w:type="dxa"/>
            <w:right w:w="0" w:type="dxa"/>
          </w:tblCellMar>
        </w:tblPrEx>
        <w:trPr>
          <w:trHeight w:val="281"/>
          <w:jc w:val="center"/>
        </w:trPr>
        <w:tc>
          <w:tcPr>
            <w:tcW w:w="2353" w:type="dxa"/>
            <w:tcBorders>
              <w:top w:val="nil"/>
              <w:left w:val="single" w:sz="6" w:space="0" w:color="00467E"/>
              <w:bottom w:val="nil"/>
              <w:right w:val="nil"/>
            </w:tcBorders>
            <w:vAlign w:val="center"/>
          </w:tcPr>
          <w:p w:rsidR="0073298C" w:rsidRDefault="0073298C" w:rsidP="0073298C">
            <w:pPr>
              <w:spacing w:before="22" w:after="22"/>
              <w:ind w:left="22" w:right="22"/>
              <w:rPr>
                <w:rFonts w:ascii="Arial" w:hAnsi="Arial" w:cs="Arial"/>
                <w:color w:val="000000"/>
                <w:sz w:val="18"/>
                <w:szCs w:val="18"/>
              </w:rPr>
            </w:pPr>
            <w:r>
              <w:rPr>
                <w:rFonts w:ascii="Arial" w:hAnsi="Arial" w:cs="Arial"/>
                <w:color w:val="000000"/>
                <w:sz w:val="18"/>
                <w:szCs w:val="18"/>
              </w:rPr>
              <w:t>Swift – Intermodal</w:t>
            </w:r>
          </w:p>
        </w:tc>
        <w:tc>
          <w:tcPr>
            <w:tcW w:w="120" w:type="dxa"/>
            <w:tcBorders>
              <w:top w:val="nil"/>
              <w:left w:val="nil"/>
              <w:bottom w:val="single" w:sz="6" w:space="0" w:color="000000"/>
              <w:right w:val="nil"/>
            </w:tcBorders>
            <w:vAlign w:val="center"/>
          </w:tcPr>
          <w:p w:rsidR="0073298C" w:rsidRDefault="0073298C" w:rsidP="0073298C">
            <w:pPr>
              <w:spacing w:before="22" w:after="22"/>
              <w:ind w:left="22"/>
              <w:rPr>
                <w:rFonts w:ascii="Arial" w:hAnsi="Arial" w:cs="Arial"/>
                <w:color w:val="000000"/>
                <w:sz w:val="18"/>
                <w:szCs w:val="18"/>
              </w:rPr>
            </w:pPr>
            <w:r>
              <w:rPr>
                <w:rFonts w:ascii="Arial" w:hAnsi="Arial" w:cs="Arial"/>
                <w:color w:val="000000"/>
                <w:sz w:val="18"/>
                <w:szCs w:val="18"/>
              </w:rPr>
              <w:t>$</w:t>
            </w:r>
          </w:p>
        </w:tc>
        <w:tc>
          <w:tcPr>
            <w:tcW w:w="1052" w:type="dxa"/>
            <w:tcBorders>
              <w:top w:val="nil"/>
              <w:left w:val="nil"/>
              <w:bottom w:val="single" w:sz="6" w:space="0" w:color="000000"/>
              <w:right w:val="nil"/>
            </w:tcBorders>
            <w:vAlign w:val="center"/>
          </w:tcPr>
          <w:p w:rsidR="0073298C" w:rsidRDefault="0073298C" w:rsidP="0073298C">
            <w:pPr>
              <w:spacing w:before="22" w:after="22"/>
              <w:jc w:val="right"/>
              <w:rPr>
                <w:rFonts w:ascii="Arial" w:hAnsi="Arial" w:cs="Arial"/>
                <w:color w:val="000000"/>
                <w:sz w:val="18"/>
                <w:szCs w:val="18"/>
              </w:rPr>
            </w:pPr>
            <w:r>
              <w:rPr>
                <w:rFonts w:ascii="Arial" w:hAnsi="Arial" w:cs="Arial"/>
                <w:color w:val="000000"/>
                <w:sz w:val="18"/>
                <w:szCs w:val="18"/>
              </w:rPr>
              <w:t>130,441</w:t>
            </w:r>
          </w:p>
        </w:tc>
        <w:tc>
          <w:tcPr>
            <w:tcW w:w="105" w:type="dxa"/>
            <w:tcBorders>
              <w:top w:val="nil"/>
              <w:left w:val="nil"/>
              <w:bottom w:val="single" w:sz="6" w:space="0" w:color="000000"/>
              <w:right w:val="nil"/>
            </w:tcBorders>
            <w:vAlign w:val="bottom"/>
          </w:tcPr>
          <w:p w:rsidR="0073298C" w:rsidRDefault="0073298C" w:rsidP="0073298C">
            <w:pPr>
              <w:spacing w:before="22" w:after="22"/>
              <w:jc w:val="right"/>
              <w:rPr>
                <w:rFonts w:ascii="Arial" w:hAnsi="Arial" w:cs="Arial"/>
                <w:color w:val="000000"/>
                <w:sz w:val="18"/>
                <w:szCs w:val="18"/>
              </w:rPr>
            </w:pPr>
          </w:p>
          <w:p w:rsidR="0073298C" w:rsidRDefault="0073298C" w:rsidP="0073298C">
            <w:pPr>
              <w:rPr>
                <w:sz w:val="16"/>
                <w:szCs w:val="16"/>
              </w:rPr>
            </w:pPr>
            <w:r>
              <w:rPr>
                <w:sz w:val="16"/>
                <w:szCs w:val="16"/>
              </w:rPr>
              <w:t> </w:t>
            </w:r>
          </w:p>
        </w:tc>
        <w:tc>
          <w:tcPr>
            <w:tcW w:w="103" w:type="dxa"/>
            <w:tcBorders>
              <w:top w:val="nil"/>
              <w:left w:val="nil"/>
              <w:bottom w:val="nil"/>
              <w:right w:val="nil"/>
            </w:tcBorders>
            <w:vAlign w:val="bottom"/>
          </w:tcPr>
          <w:p w:rsidR="0073298C" w:rsidRDefault="0073298C" w:rsidP="0073298C">
            <w:pPr>
              <w:spacing w:before="22" w:after="22"/>
              <w:ind w:left="22" w:right="22"/>
              <w:rPr>
                <w:color w:val="000000"/>
              </w:rPr>
            </w:pPr>
            <w:r>
              <w:rPr>
                <w:color w:val="000000"/>
              </w:rPr>
              <w:t> </w:t>
            </w:r>
          </w:p>
        </w:tc>
        <w:tc>
          <w:tcPr>
            <w:tcW w:w="1110" w:type="dxa"/>
            <w:tcBorders>
              <w:top w:val="nil"/>
              <w:left w:val="nil"/>
              <w:bottom w:val="single" w:sz="6" w:space="0" w:color="000000"/>
              <w:right w:val="nil"/>
            </w:tcBorders>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5.4</w:t>
            </w:r>
          </w:p>
        </w:tc>
        <w:tc>
          <w:tcPr>
            <w:tcW w:w="242" w:type="dxa"/>
            <w:tcBorders>
              <w:top w:val="nil"/>
              <w:left w:val="nil"/>
              <w:bottom w:val="single" w:sz="6" w:space="0" w:color="000000"/>
              <w:right w:val="nil"/>
            </w:tcBorders>
            <w:vAlign w:val="center"/>
          </w:tcPr>
          <w:p w:rsidR="0073298C" w:rsidRDefault="0073298C" w:rsidP="0073298C">
            <w:pPr>
              <w:spacing w:before="22" w:after="22"/>
              <w:ind w:right="22"/>
              <w:rPr>
                <w:rFonts w:ascii="Arial" w:hAnsi="Arial" w:cs="Arial"/>
                <w:color w:val="000000"/>
                <w:sz w:val="18"/>
                <w:szCs w:val="18"/>
              </w:rPr>
            </w:pPr>
            <w:r>
              <w:rPr>
                <w:rFonts w:ascii="Arial" w:hAnsi="Arial" w:cs="Arial"/>
                <w:color w:val="000000"/>
                <w:sz w:val="18"/>
                <w:szCs w:val="18"/>
              </w:rPr>
              <w:t> %</w:t>
            </w:r>
          </w:p>
        </w:tc>
        <w:tc>
          <w:tcPr>
            <w:tcW w:w="103" w:type="dxa"/>
            <w:tcBorders>
              <w:top w:val="nil"/>
              <w:left w:val="nil"/>
              <w:bottom w:val="nil"/>
              <w:right w:val="nil"/>
            </w:tcBorders>
            <w:vAlign w:val="bottom"/>
          </w:tcPr>
          <w:p w:rsidR="0073298C" w:rsidRDefault="0073298C" w:rsidP="0073298C">
            <w:pPr>
              <w:spacing w:before="22" w:after="22"/>
              <w:ind w:left="22" w:right="22"/>
              <w:rPr>
                <w:color w:val="000000"/>
              </w:rPr>
            </w:pPr>
            <w:r>
              <w:rPr>
                <w:color w:val="000000"/>
              </w:rPr>
              <w:t> </w:t>
            </w:r>
          </w:p>
        </w:tc>
        <w:tc>
          <w:tcPr>
            <w:tcW w:w="120" w:type="dxa"/>
            <w:tcBorders>
              <w:top w:val="nil"/>
              <w:left w:val="nil"/>
              <w:bottom w:val="single" w:sz="6" w:space="0" w:color="000000"/>
              <w:right w:val="nil"/>
            </w:tcBorders>
            <w:vAlign w:val="center"/>
          </w:tcPr>
          <w:p w:rsidR="0073298C" w:rsidRDefault="0073298C" w:rsidP="0073298C">
            <w:pPr>
              <w:spacing w:before="22" w:after="22"/>
              <w:ind w:left="22"/>
              <w:rPr>
                <w:rFonts w:ascii="Arial" w:hAnsi="Arial" w:cs="Arial"/>
                <w:color w:val="000000"/>
                <w:sz w:val="18"/>
                <w:szCs w:val="18"/>
              </w:rPr>
            </w:pPr>
            <w:r>
              <w:rPr>
                <w:rFonts w:ascii="Arial" w:hAnsi="Arial" w:cs="Arial"/>
                <w:color w:val="000000"/>
                <w:sz w:val="18"/>
                <w:szCs w:val="18"/>
              </w:rPr>
              <w:t>$</w:t>
            </w:r>
          </w:p>
        </w:tc>
        <w:tc>
          <w:tcPr>
            <w:tcW w:w="1052" w:type="dxa"/>
            <w:tcBorders>
              <w:top w:val="nil"/>
              <w:left w:val="nil"/>
              <w:bottom w:val="single" w:sz="6" w:space="0" w:color="000000"/>
              <w:right w:val="nil"/>
            </w:tcBorders>
            <w:vAlign w:val="center"/>
          </w:tcPr>
          <w:p w:rsidR="0073298C" w:rsidRDefault="0073298C" w:rsidP="0073298C">
            <w:pPr>
              <w:spacing w:before="22" w:after="22"/>
              <w:jc w:val="right"/>
              <w:rPr>
                <w:rFonts w:ascii="Arial" w:hAnsi="Arial" w:cs="Arial"/>
                <w:color w:val="000000"/>
                <w:sz w:val="18"/>
                <w:szCs w:val="18"/>
              </w:rPr>
            </w:pPr>
            <w:r>
              <w:rPr>
                <w:rFonts w:ascii="Arial" w:hAnsi="Arial" w:cs="Arial"/>
                <w:color w:val="000000"/>
                <w:sz w:val="18"/>
                <w:szCs w:val="18"/>
              </w:rPr>
              <w:t>—</w:t>
            </w:r>
          </w:p>
        </w:tc>
        <w:tc>
          <w:tcPr>
            <w:tcW w:w="105" w:type="dxa"/>
            <w:tcBorders>
              <w:top w:val="nil"/>
              <w:left w:val="nil"/>
              <w:bottom w:val="single" w:sz="6" w:space="0" w:color="000000"/>
              <w:right w:val="nil"/>
            </w:tcBorders>
            <w:vAlign w:val="bottom"/>
          </w:tcPr>
          <w:p w:rsidR="0073298C" w:rsidRDefault="0073298C" w:rsidP="0073298C">
            <w:pPr>
              <w:spacing w:before="22" w:after="22"/>
              <w:jc w:val="right"/>
              <w:rPr>
                <w:rFonts w:ascii="Arial" w:hAnsi="Arial" w:cs="Arial"/>
                <w:color w:val="000000"/>
                <w:sz w:val="18"/>
                <w:szCs w:val="18"/>
              </w:rPr>
            </w:pPr>
          </w:p>
          <w:p w:rsidR="0073298C" w:rsidRDefault="0073298C" w:rsidP="0073298C">
            <w:pPr>
              <w:rPr>
                <w:sz w:val="16"/>
                <w:szCs w:val="16"/>
              </w:rPr>
            </w:pPr>
            <w:r>
              <w:rPr>
                <w:sz w:val="16"/>
                <w:szCs w:val="16"/>
              </w:rPr>
              <w:t> </w:t>
            </w:r>
          </w:p>
        </w:tc>
        <w:tc>
          <w:tcPr>
            <w:tcW w:w="103" w:type="dxa"/>
            <w:tcBorders>
              <w:top w:val="nil"/>
              <w:left w:val="nil"/>
              <w:bottom w:val="nil"/>
              <w:right w:val="nil"/>
            </w:tcBorders>
            <w:vAlign w:val="bottom"/>
          </w:tcPr>
          <w:p w:rsidR="0073298C" w:rsidRDefault="0073298C" w:rsidP="0073298C">
            <w:pPr>
              <w:spacing w:before="22" w:after="22"/>
              <w:ind w:left="22" w:right="22"/>
              <w:rPr>
                <w:color w:val="000000"/>
              </w:rPr>
            </w:pPr>
            <w:r>
              <w:rPr>
                <w:color w:val="000000"/>
              </w:rPr>
              <w:t> </w:t>
            </w:r>
          </w:p>
        </w:tc>
        <w:tc>
          <w:tcPr>
            <w:tcW w:w="1132" w:type="dxa"/>
            <w:tcBorders>
              <w:top w:val="nil"/>
              <w:left w:val="nil"/>
              <w:bottom w:val="nil"/>
              <w:right w:val="nil"/>
            </w:tcBorders>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w:t>
            </w:r>
          </w:p>
        </w:tc>
        <w:tc>
          <w:tcPr>
            <w:tcW w:w="241" w:type="dxa"/>
            <w:tcBorders>
              <w:top w:val="nil"/>
              <w:left w:val="nil"/>
              <w:bottom w:val="nil"/>
              <w:right w:val="nil"/>
            </w:tcBorders>
            <w:vAlign w:val="center"/>
          </w:tcPr>
          <w:p w:rsidR="0073298C" w:rsidRDefault="0073298C" w:rsidP="0073298C">
            <w:pPr>
              <w:spacing w:before="22" w:after="22"/>
              <w:ind w:right="22"/>
              <w:rPr>
                <w:rFonts w:ascii="Arial" w:hAnsi="Arial" w:cs="Arial"/>
                <w:color w:val="000000"/>
                <w:sz w:val="18"/>
                <w:szCs w:val="18"/>
              </w:rPr>
            </w:pPr>
            <w:r>
              <w:rPr>
                <w:rFonts w:ascii="Arial" w:hAnsi="Arial" w:cs="Arial"/>
                <w:color w:val="000000"/>
                <w:sz w:val="18"/>
                <w:szCs w:val="18"/>
              </w:rPr>
              <w:t> %</w:t>
            </w:r>
          </w:p>
        </w:tc>
        <w:tc>
          <w:tcPr>
            <w:tcW w:w="103" w:type="dxa"/>
            <w:tcBorders>
              <w:top w:val="nil"/>
              <w:left w:val="nil"/>
              <w:bottom w:val="nil"/>
              <w:right w:val="nil"/>
            </w:tcBorders>
            <w:vAlign w:val="bottom"/>
          </w:tcPr>
          <w:p w:rsidR="0073298C" w:rsidRDefault="0073298C" w:rsidP="0073298C">
            <w:pPr>
              <w:spacing w:before="22" w:after="22"/>
              <w:ind w:left="22" w:right="22"/>
              <w:rPr>
                <w:color w:val="000000"/>
              </w:rPr>
            </w:pPr>
            <w:r>
              <w:rPr>
                <w:color w:val="000000"/>
              </w:rPr>
              <w:t> </w:t>
            </w:r>
          </w:p>
        </w:tc>
        <w:tc>
          <w:tcPr>
            <w:tcW w:w="120" w:type="dxa"/>
            <w:tcBorders>
              <w:top w:val="nil"/>
              <w:left w:val="nil"/>
              <w:bottom w:val="single" w:sz="6" w:space="0" w:color="000000"/>
              <w:right w:val="nil"/>
            </w:tcBorders>
            <w:vAlign w:val="center"/>
          </w:tcPr>
          <w:p w:rsidR="0073298C" w:rsidRDefault="0073298C" w:rsidP="0073298C">
            <w:pPr>
              <w:spacing w:before="22" w:after="22"/>
              <w:ind w:left="22"/>
              <w:rPr>
                <w:rFonts w:ascii="Arial" w:hAnsi="Arial" w:cs="Arial"/>
                <w:color w:val="000000"/>
                <w:sz w:val="18"/>
                <w:szCs w:val="18"/>
              </w:rPr>
            </w:pPr>
            <w:r>
              <w:rPr>
                <w:rFonts w:ascii="Arial" w:hAnsi="Arial" w:cs="Arial"/>
                <w:color w:val="000000"/>
                <w:sz w:val="18"/>
                <w:szCs w:val="18"/>
              </w:rPr>
              <w:t>$</w:t>
            </w:r>
          </w:p>
        </w:tc>
        <w:tc>
          <w:tcPr>
            <w:tcW w:w="1052" w:type="dxa"/>
            <w:tcBorders>
              <w:top w:val="nil"/>
              <w:left w:val="nil"/>
              <w:bottom w:val="single" w:sz="6" w:space="0" w:color="000000"/>
              <w:right w:val="nil"/>
            </w:tcBorders>
            <w:vAlign w:val="center"/>
          </w:tcPr>
          <w:p w:rsidR="0073298C" w:rsidRDefault="0073298C" w:rsidP="0073298C">
            <w:pPr>
              <w:spacing w:before="22" w:after="22"/>
              <w:jc w:val="right"/>
              <w:rPr>
                <w:rFonts w:ascii="Arial" w:hAnsi="Arial" w:cs="Arial"/>
                <w:color w:val="000000"/>
                <w:sz w:val="18"/>
                <w:szCs w:val="18"/>
              </w:rPr>
            </w:pPr>
            <w:r>
              <w:rPr>
                <w:rFonts w:ascii="Arial" w:hAnsi="Arial" w:cs="Arial"/>
                <w:color w:val="000000"/>
                <w:sz w:val="18"/>
                <w:szCs w:val="18"/>
              </w:rPr>
              <w:t>—</w:t>
            </w:r>
          </w:p>
        </w:tc>
        <w:tc>
          <w:tcPr>
            <w:tcW w:w="105" w:type="dxa"/>
            <w:tcBorders>
              <w:top w:val="nil"/>
              <w:left w:val="nil"/>
              <w:bottom w:val="single" w:sz="6" w:space="0" w:color="000000"/>
              <w:right w:val="nil"/>
            </w:tcBorders>
            <w:vAlign w:val="bottom"/>
          </w:tcPr>
          <w:p w:rsidR="0073298C" w:rsidRDefault="0073298C" w:rsidP="0073298C">
            <w:pPr>
              <w:spacing w:before="22" w:after="22"/>
              <w:jc w:val="right"/>
              <w:rPr>
                <w:rFonts w:ascii="Arial" w:hAnsi="Arial" w:cs="Arial"/>
                <w:color w:val="000000"/>
                <w:sz w:val="18"/>
                <w:szCs w:val="18"/>
              </w:rPr>
            </w:pPr>
          </w:p>
          <w:p w:rsidR="0073298C" w:rsidRDefault="0073298C" w:rsidP="0073298C">
            <w:pPr>
              <w:rPr>
                <w:sz w:val="16"/>
                <w:szCs w:val="16"/>
              </w:rPr>
            </w:pPr>
            <w:r>
              <w:rPr>
                <w:sz w:val="16"/>
                <w:szCs w:val="16"/>
              </w:rPr>
              <w:t> </w:t>
            </w:r>
          </w:p>
        </w:tc>
        <w:tc>
          <w:tcPr>
            <w:tcW w:w="103" w:type="dxa"/>
            <w:tcBorders>
              <w:top w:val="nil"/>
              <w:left w:val="nil"/>
              <w:bottom w:val="nil"/>
              <w:right w:val="nil"/>
            </w:tcBorders>
            <w:vAlign w:val="bottom"/>
          </w:tcPr>
          <w:p w:rsidR="0073298C" w:rsidRDefault="0073298C" w:rsidP="0073298C">
            <w:pPr>
              <w:spacing w:before="22" w:after="22"/>
              <w:ind w:left="22" w:right="22"/>
              <w:rPr>
                <w:color w:val="000000"/>
              </w:rPr>
            </w:pPr>
            <w:r>
              <w:rPr>
                <w:color w:val="000000"/>
              </w:rPr>
              <w:t> </w:t>
            </w:r>
          </w:p>
        </w:tc>
        <w:tc>
          <w:tcPr>
            <w:tcW w:w="1132" w:type="dxa"/>
            <w:tcBorders>
              <w:top w:val="nil"/>
              <w:left w:val="nil"/>
              <w:bottom w:val="single" w:sz="6" w:space="0" w:color="000000"/>
              <w:right w:val="nil"/>
            </w:tcBorders>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w:t>
            </w:r>
          </w:p>
        </w:tc>
        <w:tc>
          <w:tcPr>
            <w:tcW w:w="252" w:type="dxa"/>
            <w:tcBorders>
              <w:top w:val="nil"/>
              <w:left w:val="nil"/>
              <w:bottom w:val="single" w:sz="6" w:space="0" w:color="000000"/>
              <w:right w:val="single" w:sz="6" w:space="0" w:color="00467E"/>
            </w:tcBorders>
            <w:vAlign w:val="center"/>
          </w:tcPr>
          <w:p w:rsidR="0073298C" w:rsidRDefault="0073298C" w:rsidP="0073298C">
            <w:pPr>
              <w:spacing w:before="22" w:after="22"/>
              <w:ind w:right="22"/>
              <w:rPr>
                <w:rFonts w:ascii="Arial" w:hAnsi="Arial" w:cs="Arial"/>
                <w:color w:val="000000"/>
                <w:sz w:val="18"/>
                <w:szCs w:val="18"/>
              </w:rPr>
            </w:pPr>
            <w:r>
              <w:rPr>
                <w:rFonts w:ascii="Arial" w:hAnsi="Arial" w:cs="Arial"/>
                <w:color w:val="000000"/>
                <w:sz w:val="18"/>
                <w:szCs w:val="18"/>
              </w:rPr>
              <w:t> %</w:t>
            </w:r>
          </w:p>
        </w:tc>
      </w:tr>
      <w:tr w:rsidR="0073298C" w:rsidTr="0073298C">
        <w:tblPrEx>
          <w:tblCellMar>
            <w:top w:w="0" w:type="dxa"/>
            <w:left w:w="0" w:type="dxa"/>
            <w:bottom w:w="0" w:type="dxa"/>
            <w:right w:w="0" w:type="dxa"/>
          </w:tblCellMar>
        </w:tblPrEx>
        <w:trPr>
          <w:trHeight w:val="281"/>
          <w:jc w:val="center"/>
        </w:trPr>
        <w:tc>
          <w:tcPr>
            <w:tcW w:w="2353" w:type="dxa"/>
            <w:tcBorders>
              <w:top w:val="nil"/>
              <w:left w:val="single" w:sz="6" w:space="0" w:color="00467E"/>
              <w:bottom w:val="nil"/>
              <w:right w:val="nil"/>
            </w:tcBorders>
            <w:shd w:val="clear" w:color="CFD4D8" w:fill="CFD4D8"/>
            <w:vAlign w:val="center"/>
          </w:tcPr>
          <w:p w:rsidR="0073298C" w:rsidRDefault="0073298C" w:rsidP="0073298C">
            <w:pPr>
              <w:spacing w:before="22" w:after="22"/>
              <w:ind w:left="330" w:right="22"/>
              <w:rPr>
                <w:rFonts w:ascii="Arial" w:hAnsi="Arial" w:cs="Arial"/>
                <w:color w:val="000000"/>
                <w:sz w:val="18"/>
                <w:szCs w:val="18"/>
              </w:rPr>
            </w:pPr>
            <w:r>
              <w:rPr>
                <w:rFonts w:ascii="Arial" w:hAnsi="Arial" w:cs="Arial"/>
                <w:color w:val="000000"/>
                <w:sz w:val="18"/>
                <w:szCs w:val="18"/>
              </w:rPr>
              <w:t>Subtotal</w:t>
            </w:r>
          </w:p>
        </w:tc>
        <w:tc>
          <w:tcPr>
            <w:tcW w:w="120" w:type="dxa"/>
            <w:tcBorders>
              <w:top w:val="nil"/>
              <w:left w:val="nil"/>
              <w:bottom w:val="nil"/>
              <w:right w:val="nil"/>
            </w:tcBorders>
            <w:shd w:val="clear" w:color="CFD4D8" w:fill="CFD4D8"/>
            <w:vAlign w:val="center"/>
          </w:tcPr>
          <w:p w:rsidR="0073298C" w:rsidRDefault="0073298C" w:rsidP="0073298C">
            <w:pPr>
              <w:spacing w:before="22" w:after="22"/>
              <w:ind w:left="22"/>
              <w:rPr>
                <w:rFonts w:ascii="Arial" w:hAnsi="Arial" w:cs="Arial"/>
                <w:color w:val="000000"/>
                <w:sz w:val="18"/>
                <w:szCs w:val="18"/>
              </w:rPr>
            </w:pPr>
            <w:r>
              <w:rPr>
                <w:rFonts w:ascii="Arial" w:hAnsi="Arial" w:cs="Arial"/>
                <w:color w:val="000000"/>
                <w:sz w:val="18"/>
                <w:szCs w:val="18"/>
              </w:rPr>
              <w:t>$</w:t>
            </w:r>
          </w:p>
        </w:tc>
        <w:tc>
          <w:tcPr>
            <w:tcW w:w="1052" w:type="dxa"/>
            <w:tcBorders>
              <w:top w:val="nil"/>
              <w:left w:val="nil"/>
              <w:bottom w:val="nil"/>
              <w:right w:val="nil"/>
            </w:tcBorders>
            <w:shd w:val="clear" w:color="CFD4D8" w:fill="CFD4D8"/>
            <w:vAlign w:val="center"/>
          </w:tcPr>
          <w:p w:rsidR="0073298C" w:rsidRDefault="0073298C" w:rsidP="0073298C">
            <w:pPr>
              <w:spacing w:before="22" w:after="22"/>
              <w:jc w:val="right"/>
              <w:rPr>
                <w:rFonts w:ascii="Arial" w:hAnsi="Arial" w:cs="Arial"/>
                <w:color w:val="000000"/>
                <w:sz w:val="18"/>
                <w:szCs w:val="18"/>
              </w:rPr>
            </w:pPr>
            <w:r>
              <w:rPr>
                <w:rFonts w:ascii="Arial" w:hAnsi="Arial" w:cs="Arial"/>
                <w:color w:val="000000"/>
                <w:sz w:val="18"/>
                <w:szCs w:val="18"/>
              </w:rPr>
              <w:t>2,334,922</w:t>
            </w:r>
          </w:p>
        </w:tc>
        <w:tc>
          <w:tcPr>
            <w:tcW w:w="105" w:type="dxa"/>
            <w:tcBorders>
              <w:top w:val="nil"/>
              <w:left w:val="nil"/>
              <w:bottom w:val="nil"/>
              <w:right w:val="nil"/>
            </w:tcBorders>
            <w:shd w:val="clear" w:color="CFD4D8" w:fill="CFD4D8"/>
            <w:vAlign w:val="bottom"/>
          </w:tcPr>
          <w:p w:rsidR="0073298C" w:rsidRDefault="0073298C" w:rsidP="0073298C">
            <w:pPr>
              <w:spacing w:before="22" w:after="22"/>
              <w:jc w:val="right"/>
              <w:rPr>
                <w:rFonts w:ascii="Arial" w:hAnsi="Arial" w:cs="Arial"/>
                <w:color w:val="000000"/>
                <w:sz w:val="18"/>
                <w:szCs w:val="18"/>
              </w:rPr>
            </w:pPr>
          </w:p>
          <w:p w:rsidR="0073298C" w:rsidRDefault="0073298C" w:rsidP="0073298C">
            <w:pPr>
              <w:rPr>
                <w:sz w:val="16"/>
                <w:szCs w:val="16"/>
              </w:rPr>
            </w:pPr>
            <w:r>
              <w:rPr>
                <w:sz w:val="16"/>
                <w:szCs w:val="16"/>
              </w:rPr>
              <w:t> </w:t>
            </w:r>
          </w:p>
        </w:tc>
        <w:tc>
          <w:tcPr>
            <w:tcW w:w="103" w:type="dxa"/>
            <w:tcBorders>
              <w:top w:val="nil"/>
              <w:left w:val="nil"/>
              <w:bottom w:val="nil"/>
              <w:right w:val="nil"/>
            </w:tcBorders>
            <w:shd w:val="clear" w:color="CFD4D8" w:fill="CFD4D8"/>
            <w:vAlign w:val="bottom"/>
          </w:tcPr>
          <w:p w:rsidR="0073298C" w:rsidRDefault="0073298C" w:rsidP="0073298C">
            <w:pPr>
              <w:spacing w:before="22" w:after="22"/>
              <w:ind w:left="22" w:right="22"/>
              <w:rPr>
                <w:color w:val="000000"/>
              </w:rPr>
            </w:pPr>
            <w:r>
              <w:rPr>
                <w:color w:val="000000"/>
              </w:rPr>
              <w:t> </w:t>
            </w:r>
          </w:p>
        </w:tc>
        <w:tc>
          <w:tcPr>
            <w:tcW w:w="1110" w:type="dxa"/>
            <w:tcBorders>
              <w:top w:val="nil"/>
              <w:left w:val="nil"/>
              <w:bottom w:val="nil"/>
              <w:right w:val="nil"/>
            </w:tcBorders>
            <w:shd w:val="clear" w:color="CFD4D8" w:fill="CFD4D8"/>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96.4</w:t>
            </w:r>
          </w:p>
        </w:tc>
        <w:tc>
          <w:tcPr>
            <w:tcW w:w="242" w:type="dxa"/>
            <w:tcBorders>
              <w:top w:val="nil"/>
              <w:left w:val="nil"/>
              <w:bottom w:val="nil"/>
              <w:right w:val="nil"/>
            </w:tcBorders>
            <w:shd w:val="clear" w:color="CFD4D8" w:fill="CFD4D8"/>
            <w:vAlign w:val="center"/>
          </w:tcPr>
          <w:p w:rsidR="0073298C" w:rsidRDefault="0073298C" w:rsidP="0073298C">
            <w:pPr>
              <w:spacing w:before="22" w:after="22"/>
              <w:ind w:right="22"/>
              <w:rPr>
                <w:rFonts w:ascii="Arial" w:hAnsi="Arial" w:cs="Arial"/>
                <w:color w:val="000000"/>
                <w:sz w:val="18"/>
                <w:szCs w:val="18"/>
              </w:rPr>
            </w:pPr>
            <w:r>
              <w:rPr>
                <w:rFonts w:ascii="Arial" w:hAnsi="Arial" w:cs="Arial"/>
                <w:color w:val="000000"/>
                <w:sz w:val="18"/>
                <w:szCs w:val="18"/>
              </w:rPr>
              <w:t> %</w:t>
            </w:r>
          </w:p>
        </w:tc>
        <w:tc>
          <w:tcPr>
            <w:tcW w:w="103" w:type="dxa"/>
            <w:tcBorders>
              <w:top w:val="nil"/>
              <w:left w:val="nil"/>
              <w:bottom w:val="nil"/>
              <w:right w:val="nil"/>
            </w:tcBorders>
            <w:shd w:val="clear" w:color="CFD4D8" w:fill="CFD4D8"/>
            <w:vAlign w:val="bottom"/>
          </w:tcPr>
          <w:p w:rsidR="0073298C" w:rsidRDefault="0073298C" w:rsidP="0073298C">
            <w:pPr>
              <w:spacing w:before="22" w:after="22"/>
              <w:ind w:left="22" w:right="22"/>
              <w:rPr>
                <w:color w:val="000000"/>
              </w:rPr>
            </w:pPr>
            <w:r>
              <w:rPr>
                <w:color w:val="000000"/>
              </w:rPr>
              <w:t> </w:t>
            </w:r>
          </w:p>
        </w:tc>
        <w:tc>
          <w:tcPr>
            <w:tcW w:w="120" w:type="dxa"/>
            <w:tcBorders>
              <w:top w:val="nil"/>
              <w:left w:val="nil"/>
              <w:bottom w:val="nil"/>
              <w:right w:val="nil"/>
            </w:tcBorders>
            <w:shd w:val="clear" w:color="CFD4D8" w:fill="CFD4D8"/>
            <w:vAlign w:val="center"/>
          </w:tcPr>
          <w:p w:rsidR="0073298C" w:rsidRDefault="0073298C" w:rsidP="0073298C">
            <w:pPr>
              <w:spacing w:before="22" w:after="22"/>
              <w:ind w:left="22"/>
              <w:rPr>
                <w:rFonts w:ascii="Arial" w:hAnsi="Arial" w:cs="Arial"/>
                <w:color w:val="000000"/>
                <w:sz w:val="18"/>
                <w:szCs w:val="18"/>
              </w:rPr>
            </w:pPr>
            <w:r>
              <w:rPr>
                <w:rFonts w:ascii="Arial" w:hAnsi="Arial" w:cs="Arial"/>
                <w:color w:val="000000"/>
                <w:sz w:val="18"/>
                <w:szCs w:val="18"/>
              </w:rPr>
              <w:t>$</w:t>
            </w:r>
          </w:p>
        </w:tc>
        <w:tc>
          <w:tcPr>
            <w:tcW w:w="1052" w:type="dxa"/>
            <w:tcBorders>
              <w:top w:val="nil"/>
              <w:left w:val="nil"/>
              <w:bottom w:val="nil"/>
              <w:right w:val="nil"/>
            </w:tcBorders>
            <w:shd w:val="clear" w:color="CFD4D8" w:fill="CFD4D8"/>
            <w:vAlign w:val="center"/>
          </w:tcPr>
          <w:p w:rsidR="0073298C" w:rsidRDefault="0073298C" w:rsidP="0073298C">
            <w:pPr>
              <w:spacing w:before="22" w:after="22"/>
              <w:jc w:val="right"/>
              <w:rPr>
                <w:rFonts w:ascii="Arial" w:hAnsi="Arial" w:cs="Arial"/>
                <w:color w:val="000000"/>
                <w:sz w:val="18"/>
                <w:szCs w:val="18"/>
              </w:rPr>
            </w:pPr>
            <w:r>
              <w:rPr>
                <w:rFonts w:ascii="Arial" w:hAnsi="Arial" w:cs="Arial"/>
                <w:color w:val="000000"/>
                <w:sz w:val="18"/>
                <w:szCs w:val="18"/>
              </w:rPr>
              <w:t>1,127,280</w:t>
            </w:r>
          </w:p>
        </w:tc>
        <w:tc>
          <w:tcPr>
            <w:tcW w:w="105" w:type="dxa"/>
            <w:tcBorders>
              <w:top w:val="nil"/>
              <w:left w:val="nil"/>
              <w:bottom w:val="nil"/>
              <w:right w:val="nil"/>
            </w:tcBorders>
            <w:shd w:val="clear" w:color="CFD4D8" w:fill="CFD4D8"/>
            <w:vAlign w:val="bottom"/>
          </w:tcPr>
          <w:p w:rsidR="0073298C" w:rsidRDefault="0073298C" w:rsidP="0073298C">
            <w:pPr>
              <w:spacing w:before="22" w:after="22"/>
              <w:jc w:val="right"/>
              <w:rPr>
                <w:rFonts w:ascii="Arial" w:hAnsi="Arial" w:cs="Arial"/>
                <w:color w:val="000000"/>
                <w:sz w:val="18"/>
                <w:szCs w:val="18"/>
              </w:rPr>
            </w:pPr>
          </w:p>
          <w:p w:rsidR="0073298C" w:rsidRDefault="0073298C" w:rsidP="0073298C">
            <w:pPr>
              <w:rPr>
                <w:sz w:val="16"/>
                <w:szCs w:val="16"/>
              </w:rPr>
            </w:pPr>
            <w:r>
              <w:rPr>
                <w:sz w:val="16"/>
                <w:szCs w:val="16"/>
              </w:rPr>
              <w:t> </w:t>
            </w:r>
          </w:p>
        </w:tc>
        <w:tc>
          <w:tcPr>
            <w:tcW w:w="103" w:type="dxa"/>
            <w:tcBorders>
              <w:top w:val="nil"/>
              <w:left w:val="nil"/>
              <w:bottom w:val="nil"/>
              <w:right w:val="nil"/>
            </w:tcBorders>
            <w:shd w:val="clear" w:color="CFD4D8" w:fill="CFD4D8"/>
            <w:vAlign w:val="bottom"/>
          </w:tcPr>
          <w:p w:rsidR="0073298C" w:rsidRDefault="0073298C" w:rsidP="0073298C">
            <w:pPr>
              <w:spacing w:before="22" w:after="22"/>
              <w:ind w:left="22" w:right="22"/>
              <w:rPr>
                <w:color w:val="000000"/>
              </w:rPr>
            </w:pPr>
            <w:r>
              <w:rPr>
                <w:color w:val="000000"/>
              </w:rPr>
              <w:t> </w:t>
            </w:r>
          </w:p>
        </w:tc>
        <w:tc>
          <w:tcPr>
            <w:tcW w:w="1132" w:type="dxa"/>
            <w:tcBorders>
              <w:top w:val="single" w:sz="6" w:space="0" w:color="000000"/>
              <w:left w:val="nil"/>
              <w:bottom w:val="nil"/>
              <w:right w:val="nil"/>
            </w:tcBorders>
            <w:shd w:val="clear" w:color="CFD4D8" w:fill="CFD4D8"/>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100.8</w:t>
            </w:r>
          </w:p>
        </w:tc>
        <w:tc>
          <w:tcPr>
            <w:tcW w:w="241" w:type="dxa"/>
            <w:tcBorders>
              <w:top w:val="single" w:sz="6" w:space="0" w:color="000000"/>
              <w:left w:val="nil"/>
              <w:bottom w:val="nil"/>
              <w:right w:val="nil"/>
            </w:tcBorders>
            <w:shd w:val="clear" w:color="CFD4D8" w:fill="CFD4D8"/>
            <w:vAlign w:val="center"/>
          </w:tcPr>
          <w:p w:rsidR="0073298C" w:rsidRDefault="0073298C" w:rsidP="0073298C">
            <w:pPr>
              <w:spacing w:before="22" w:after="22"/>
              <w:ind w:right="22"/>
              <w:rPr>
                <w:rFonts w:ascii="Arial" w:hAnsi="Arial" w:cs="Arial"/>
                <w:color w:val="000000"/>
                <w:sz w:val="18"/>
                <w:szCs w:val="18"/>
              </w:rPr>
            </w:pPr>
            <w:r>
              <w:rPr>
                <w:rFonts w:ascii="Arial" w:hAnsi="Arial" w:cs="Arial"/>
                <w:color w:val="000000"/>
                <w:sz w:val="18"/>
                <w:szCs w:val="18"/>
              </w:rPr>
              <w:t> %</w:t>
            </w:r>
          </w:p>
        </w:tc>
        <w:tc>
          <w:tcPr>
            <w:tcW w:w="103" w:type="dxa"/>
            <w:tcBorders>
              <w:top w:val="nil"/>
              <w:left w:val="nil"/>
              <w:bottom w:val="nil"/>
              <w:right w:val="nil"/>
            </w:tcBorders>
            <w:shd w:val="clear" w:color="CFD4D8" w:fill="CFD4D8"/>
            <w:vAlign w:val="bottom"/>
          </w:tcPr>
          <w:p w:rsidR="0073298C" w:rsidRDefault="0073298C" w:rsidP="0073298C">
            <w:pPr>
              <w:spacing w:before="22" w:after="22"/>
              <w:ind w:left="22" w:right="22"/>
              <w:rPr>
                <w:color w:val="000000"/>
              </w:rPr>
            </w:pPr>
            <w:r>
              <w:rPr>
                <w:color w:val="000000"/>
              </w:rPr>
              <w:t> </w:t>
            </w:r>
          </w:p>
        </w:tc>
        <w:tc>
          <w:tcPr>
            <w:tcW w:w="120" w:type="dxa"/>
            <w:tcBorders>
              <w:top w:val="nil"/>
              <w:left w:val="nil"/>
              <w:bottom w:val="nil"/>
              <w:right w:val="nil"/>
            </w:tcBorders>
            <w:shd w:val="clear" w:color="CFD4D8" w:fill="CFD4D8"/>
            <w:vAlign w:val="center"/>
          </w:tcPr>
          <w:p w:rsidR="0073298C" w:rsidRDefault="0073298C" w:rsidP="0073298C">
            <w:pPr>
              <w:spacing w:before="22" w:after="22"/>
              <w:ind w:left="22"/>
              <w:rPr>
                <w:rFonts w:ascii="Arial" w:hAnsi="Arial" w:cs="Arial"/>
                <w:color w:val="000000"/>
                <w:sz w:val="18"/>
                <w:szCs w:val="18"/>
              </w:rPr>
            </w:pPr>
            <w:r>
              <w:rPr>
                <w:rFonts w:ascii="Arial" w:hAnsi="Arial" w:cs="Arial"/>
                <w:color w:val="000000"/>
                <w:sz w:val="18"/>
                <w:szCs w:val="18"/>
              </w:rPr>
              <w:t>$</w:t>
            </w:r>
          </w:p>
        </w:tc>
        <w:tc>
          <w:tcPr>
            <w:tcW w:w="1052" w:type="dxa"/>
            <w:tcBorders>
              <w:top w:val="nil"/>
              <w:left w:val="nil"/>
              <w:bottom w:val="nil"/>
              <w:right w:val="nil"/>
            </w:tcBorders>
            <w:shd w:val="clear" w:color="CFD4D8" w:fill="CFD4D8"/>
            <w:vAlign w:val="center"/>
          </w:tcPr>
          <w:p w:rsidR="0073298C" w:rsidRDefault="0073298C" w:rsidP="0073298C">
            <w:pPr>
              <w:spacing w:before="22" w:after="22"/>
              <w:jc w:val="right"/>
              <w:rPr>
                <w:rFonts w:ascii="Arial" w:hAnsi="Arial" w:cs="Arial"/>
                <w:color w:val="000000"/>
                <w:sz w:val="18"/>
                <w:szCs w:val="18"/>
              </w:rPr>
            </w:pPr>
            <w:r>
              <w:rPr>
                <w:rFonts w:ascii="Arial" w:hAnsi="Arial" w:cs="Arial"/>
                <w:color w:val="000000"/>
                <w:sz w:val="18"/>
                <w:szCs w:val="18"/>
              </w:rPr>
              <w:t>1,201,463</w:t>
            </w:r>
          </w:p>
        </w:tc>
        <w:tc>
          <w:tcPr>
            <w:tcW w:w="105" w:type="dxa"/>
            <w:tcBorders>
              <w:top w:val="nil"/>
              <w:left w:val="nil"/>
              <w:bottom w:val="nil"/>
              <w:right w:val="nil"/>
            </w:tcBorders>
            <w:shd w:val="clear" w:color="CFD4D8" w:fill="CFD4D8"/>
            <w:vAlign w:val="bottom"/>
          </w:tcPr>
          <w:p w:rsidR="0073298C" w:rsidRDefault="0073298C" w:rsidP="0073298C">
            <w:pPr>
              <w:spacing w:before="22" w:after="22"/>
              <w:jc w:val="right"/>
              <w:rPr>
                <w:rFonts w:ascii="Arial" w:hAnsi="Arial" w:cs="Arial"/>
                <w:color w:val="000000"/>
                <w:sz w:val="18"/>
                <w:szCs w:val="18"/>
              </w:rPr>
            </w:pPr>
          </w:p>
          <w:p w:rsidR="0073298C" w:rsidRDefault="0073298C" w:rsidP="0073298C">
            <w:pPr>
              <w:rPr>
                <w:sz w:val="16"/>
                <w:szCs w:val="16"/>
              </w:rPr>
            </w:pPr>
            <w:r>
              <w:rPr>
                <w:sz w:val="16"/>
                <w:szCs w:val="16"/>
              </w:rPr>
              <w:t> </w:t>
            </w:r>
          </w:p>
        </w:tc>
        <w:tc>
          <w:tcPr>
            <w:tcW w:w="103" w:type="dxa"/>
            <w:tcBorders>
              <w:top w:val="nil"/>
              <w:left w:val="nil"/>
              <w:bottom w:val="nil"/>
              <w:right w:val="nil"/>
            </w:tcBorders>
            <w:shd w:val="clear" w:color="CFD4D8" w:fill="CFD4D8"/>
            <w:vAlign w:val="bottom"/>
          </w:tcPr>
          <w:p w:rsidR="0073298C" w:rsidRDefault="0073298C" w:rsidP="0073298C">
            <w:pPr>
              <w:spacing w:before="22" w:after="22"/>
              <w:ind w:left="22" w:right="22"/>
              <w:rPr>
                <w:color w:val="000000"/>
              </w:rPr>
            </w:pPr>
            <w:r>
              <w:rPr>
                <w:color w:val="000000"/>
              </w:rPr>
              <w:t> </w:t>
            </w:r>
          </w:p>
        </w:tc>
        <w:tc>
          <w:tcPr>
            <w:tcW w:w="1132" w:type="dxa"/>
            <w:tcBorders>
              <w:top w:val="nil"/>
              <w:left w:val="nil"/>
              <w:bottom w:val="nil"/>
              <w:right w:val="nil"/>
            </w:tcBorders>
            <w:shd w:val="clear" w:color="CFD4D8" w:fill="CFD4D8"/>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101.6</w:t>
            </w:r>
          </w:p>
        </w:tc>
        <w:tc>
          <w:tcPr>
            <w:tcW w:w="252" w:type="dxa"/>
            <w:tcBorders>
              <w:top w:val="nil"/>
              <w:left w:val="nil"/>
              <w:bottom w:val="nil"/>
              <w:right w:val="single" w:sz="6" w:space="0" w:color="00467E"/>
            </w:tcBorders>
            <w:shd w:val="clear" w:color="CFD4D8" w:fill="CFD4D8"/>
            <w:vAlign w:val="center"/>
          </w:tcPr>
          <w:p w:rsidR="0073298C" w:rsidRDefault="0073298C" w:rsidP="0073298C">
            <w:pPr>
              <w:spacing w:before="22" w:after="22"/>
              <w:ind w:right="22"/>
              <w:rPr>
                <w:rFonts w:ascii="Arial" w:hAnsi="Arial" w:cs="Arial"/>
                <w:color w:val="000000"/>
                <w:sz w:val="18"/>
                <w:szCs w:val="18"/>
              </w:rPr>
            </w:pPr>
            <w:r>
              <w:rPr>
                <w:rFonts w:ascii="Arial" w:hAnsi="Arial" w:cs="Arial"/>
                <w:color w:val="000000"/>
                <w:sz w:val="18"/>
                <w:szCs w:val="18"/>
              </w:rPr>
              <w:t> %</w:t>
            </w:r>
          </w:p>
        </w:tc>
      </w:tr>
      <w:tr w:rsidR="0073298C" w:rsidTr="0073298C">
        <w:tblPrEx>
          <w:tblCellMar>
            <w:top w:w="0" w:type="dxa"/>
            <w:left w:w="0" w:type="dxa"/>
            <w:bottom w:w="0" w:type="dxa"/>
            <w:right w:w="0" w:type="dxa"/>
          </w:tblCellMar>
        </w:tblPrEx>
        <w:trPr>
          <w:trHeight w:val="281"/>
          <w:jc w:val="center"/>
        </w:trPr>
        <w:tc>
          <w:tcPr>
            <w:tcW w:w="2353" w:type="dxa"/>
            <w:tcBorders>
              <w:top w:val="nil"/>
              <w:left w:val="single" w:sz="6" w:space="0" w:color="00467E"/>
              <w:bottom w:val="nil"/>
              <w:right w:val="nil"/>
            </w:tcBorders>
            <w:vAlign w:val="center"/>
          </w:tcPr>
          <w:p w:rsidR="0073298C" w:rsidRDefault="0073298C" w:rsidP="0073298C">
            <w:pPr>
              <w:spacing w:before="22" w:after="22"/>
              <w:ind w:left="22" w:right="22"/>
              <w:rPr>
                <w:rFonts w:ascii="Arial" w:hAnsi="Arial" w:cs="Arial"/>
                <w:color w:val="000000"/>
                <w:sz w:val="18"/>
                <w:szCs w:val="18"/>
              </w:rPr>
            </w:pPr>
            <w:r>
              <w:rPr>
                <w:rFonts w:ascii="Arial" w:hAnsi="Arial" w:cs="Arial"/>
                <w:color w:val="000000"/>
                <w:sz w:val="18"/>
                <w:szCs w:val="18"/>
              </w:rPr>
              <w:t>Non-reportable segments</w:t>
            </w:r>
          </w:p>
        </w:tc>
        <w:tc>
          <w:tcPr>
            <w:tcW w:w="120" w:type="dxa"/>
            <w:tcBorders>
              <w:top w:val="nil"/>
              <w:left w:val="nil"/>
              <w:bottom w:val="nil"/>
              <w:right w:val="nil"/>
            </w:tcBorders>
            <w:vAlign w:val="center"/>
          </w:tcPr>
          <w:p w:rsidR="0073298C" w:rsidRDefault="0073298C" w:rsidP="0073298C">
            <w:pPr>
              <w:spacing w:before="22" w:after="22"/>
              <w:ind w:left="22"/>
              <w:rPr>
                <w:rFonts w:ascii="Arial" w:hAnsi="Arial" w:cs="Arial"/>
                <w:color w:val="000000"/>
                <w:sz w:val="18"/>
                <w:szCs w:val="18"/>
              </w:rPr>
            </w:pPr>
            <w:r>
              <w:rPr>
                <w:rFonts w:ascii="Arial" w:hAnsi="Arial" w:cs="Arial"/>
                <w:color w:val="000000"/>
                <w:sz w:val="18"/>
                <w:szCs w:val="18"/>
              </w:rPr>
              <w:t>$</w:t>
            </w:r>
          </w:p>
        </w:tc>
        <w:tc>
          <w:tcPr>
            <w:tcW w:w="1052" w:type="dxa"/>
            <w:tcBorders>
              <w:top w:val="nil"/>
              <w:left w:val="nil"/>
              <w:bottom w:val="nil"/>
              <w:right w:val="nil"/>
            </w:tcBorders>
            <w:vAlign w:val="center"/>
          </w:tcPr>
          <w:p w:rsidR="0073298C" w:rsidRDefault="0073298C" w:rsidP="0073298C">
            <w:pPr>
              <w:spacing w:before="22" w:after="22"/>
              <w:jc w:val="right"/>
              <w:rPr>
                <w:rFonts w:ascii="Arial" w:hAnsi="Arial" w:cs="Arial"/>
                <w:color w:val="000000"/>
                <w:sz w:val="18"/>
                <w:szCs w:val="18"/>
              </w:rPr>
            </w:pPr>
            <w:r>
              <w:rPr>
                <w:rFonts w:ascii="Arial" w:hAnsi="Arial" w:cs="Arial"/>
                <w:color w:val="000000"/>
                <w:sz w:val="18"/>
                <w:szCs w:val="18"/>
              </w:rPr>
              <w:t>115,530</w:t>
            </w:r>
          </w:p>
        </w:tc>
        <w:tc>
          <w:tcPr>
            <w:tcW w:w="105" w:type="dxa"/>
            <w:tcBorders>
              <w:top w:val="nil"/>
              <w:left w:val="nil"/>
              <w:bottom w:val="nil"/>
              <w:right w:val="nil"/>
            </w:tcBorders>
            <w:vAlign w:val="bottom"/>
          </w:tcPr>
          <w:p w:rsidR="0073298C" w:rsidRDefault="0073298C" w:rsidP="0073298C">
            <w:pPr>
              <w:spacing w:before="22" w:after="22"/>
              <w:jc w:val="right"/>
              <w:rPr>
                <w:rFonts w:ascii="Arial" w:hAnsi="Arial" w:cs="Arial"/>
                <w:color w:val="000000"/>
                <w:sz w:val="18"/>
                <w:szCs w:val="18"/>
              </w:rPr>
            </w:pPr>
          </w:p>
          <w:p w:rsidR="0073298C" w:rsidRDefault="0073298C" w:rsidP="0073298C">
            <w:pPr>
              <w:rPr>
                <w:sz w:val="16"/>
                <w:szCs w:val="16"/>
              </w:rPr>
            </w:pPr>
            <w:r>
              <w:rPr>
                <w:sz w:val="16"/>
                <w:szCs w:val="16"/>
              </w:rPr>
              <w:t> </w:t>
            </w:r>
          </w:p>
        </w:tc>
        <w:tc>
          <w:tcPr>
            <w:tcW w:w="103" w:type="dxa"/>
            <w:tcBorders>
              <w:top w:val="nil"/>
              <w:left w:val="nil"/>
              <w:bottom w:val="nil"/>
              <w:right w:val="nil"/>
            </w:tcBorders>
            <w:vAlign w:val="bottom"/>
          </w:tcPr>
          <w:p w:rsidR="0073298C" w:rsidRDefault="0073298C" w:rsidP="0073298C">
            <w:pPr>
              <w:spacing w:before="22" w:after="22"/>
              <w:ind w:left="22" w:right="22"/>
              <w:rPr>
                <w:color w:val="000000"/>
              </w:rPr>
            </w:pPr>
            <w:r>
              <w:rPr>
                <w:color w:val="000000"/>
              </w:rPr>
              <w:t> </w:t>
            </w:r>
          </w:p>
        </w:tc>
        <w:tc>
          <w:tcPr>
            <w:tcW w:w="1110" w:type="dxa"/>
            <w:tcBorders>
              <w:top w:val="nil"/>
              <w:left w:val="nil"/>
              <w:bottom w:val="nil"/>
              <w:right w:val="nil"/>
            </w:tcBorders>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4.8</w:t>
            </w:r>
          </w:p>
        </w:tc>
        <w:tc>
          <w:tcPr>
            <w:tcW w:w="242" w:type="dxa"/>
            <w:tcBorders>
              <w:top w:val="nil"/>
              <w:left w:val="nil"/>
              <w:bottom w:val="nil"/>
              <w:right w:val="nil"/>
            </w:tcBorders>
            <w:vAlign w:val="center"/>
          </w:tcPr>
          <w:p w:rsidR="0073298C" w:rsidRDefault="0073298C" w:rsidP="0073298C">
            <w:pPr>
              <w:spacing w:before="22" w:after="22"/>
              <w:ind w:right="22"/>
              <w:rPr>
                <w:rFonts w:ascii="Arial" w:hAnsi="Arial" w:cs="Arial"/>
                <w:color w:val="000000"/>
                <w:sz w:val="18"/>
                <w:szCs w:val="18"/>
              </w:rPr>
            </w:pPr>
            <w:r>
              <w:rPr>
                <w:rFonts w:ascii="Arial" w:hAnsi="Arial" w:cs="Arial"/>
                <w:color w:val="000000"/>
                <w:sz w:val="18"/>
                <w:szCs w:val="18"/>
              </w:rPr>
              <w:t> %</w:t>
            </w:r>
          </w:p>
        </w:tc>
        <w:tc>
          <w:tcPr>
            <w:tcW w:w="103" w:type="dxa"/>
            <w:tcBorders>
              <w:top w:val="nil"/>
              <w:left w:val="nil"/>
              <w:bottom w:val="nil"/>
              <w:right w:val="nil"/>
            </w:tcBorders>
            <w:vAlign w:val="bottom"/>
          </w:tcPr>
          <w:p w:rsidR="0073298C" w:rsidRDefault="0073298C" w:rsidP="0073298C">
            <w:pPr>
              <w:spacing w:before="22" w:after="22"/>
              <w:ind w:left="22" w:right="22"/>
              <w:rPr>
                <w:color w:val="000000"/>
              </w:rPr>
            </w:pPr>
            <w:r>
              <w:rPr>
                <w:color w:val="000000"/>
              </w:rPr>
              <w:t> </w:t>
            </w:r>
          </w:p>
        </w:tc>
        <w:tc>
          <w:tcPr>
            <w:tcW w:w="120" w:type="dxa"/>
            <w:tcBorders>
              <w:top w:val="nil"/>
              <w:left w:val="nil"/>
              <w:bottom w:val="nil"/>
              <w:right w:val="nil"/>
            </w:tcBorders>
            <w:vAlign w:val="center"/>
          </w:tcPr>
          <w:p w:rsidR="0073298C" w:rsidRDefault="0073298C" w:rsidP="0073298C">
            <w:pPr>
              <w:spacing w:before="22" w:after="22"/>
              <w:ind w:left="22"/>
              <w:rPr>
                <w:rFonts w:ascii="Arial" w:hAnsi="Arial" w:cs="Arial"/>
                <w:color w:val="000000"/>
                <w:sz w:val="18"/>
                <w:szCs w:val="18"/>
              </w:rPr>
            </w:pPr>
            <w:r>
              <w:rPr>
                <w:rFonts w:ascii="Arial" w:hAnsi="Arial" w:cs="Arial"/>
                <w:color w:val="000000"/>
                <w:sz w:val="18"/>
                <w:szCs w:val="18"/>
              </w:rPr>
              <w:t>$</w:t>
            </w:r>
          </w:p>
        </w:tc>
        <w:tc>
          <w:tcPr>
            <w:tcW w:w="1052" w:type="dxa"/>
            <w:tcBorders>
              <w:top w:val="nil"/>
              <w:left w:val="nil"/>
              <w:bottom w:val="nil"/>
              <w:right w:val="nil"/>
            </w:tcBorders>
            <w:vAlign w:val="center"/>
          </w:tcPr>
          <w:p w:rsidR="0073298C" w:rsidRDefault="0073298C" w:rsidP="0073298C">
            <w:pPr>
              <w:spacing w:before="22" w:after="22"/>
              <w:jc w:val="right"/>
              <w:rPr>
                <w:rFonts w:ascii="Arial" w:hAnsi="Arial" w:cs="Arial"/>
                <w:color w:val="000000"/>
                <w:sz w:val="18"/>
                <w:szCs w:val="18"/>
              </w:rPr>
            </w:pPr>
            <w:r>
              <w:rPr>
                <w:rFonts w:ascii="Arial" w:hAnsi="Arial" w:cs="Arial"/>
                <w:color w:val="000000"/>
                <w:sz w:val="18"/>
                <w:szCs w:val="18"/>
              </w:rPr>
              <w:t>—</w:t>
            </w:r>
          </w:p>
        </w:tc>
        <w:tc>
          <w:tcPr>
            <w:tcW w:w="105" w:type="dxa"/>
            <w:tcBorders>
              <w:top w:val="nil"/>
              <w:left w:val="nil"/>
              <w:bottom w:val="nil"/>
              <w:right w:val="nil"/>
            </w:tcBorders>
            <w:vAlign w:val="bottom"/>
          </w:tcPr>
          <w:p w:rsidR="0073298C" w:rsidRDefault="0073298C" w:rsidP="0073298C">
            <w:pPr>
              <w:spacing w:before="22" w:after="22"/>
              <w:jc w:val="right"/>
              <w:rPr>
                <w:rFonts w:ascii="Arial" w:hAnsi="Arial" w:cs="Arial"/>
                <w:color w:val="000000"/>
                <w:sz w:val="18"/>
                <w:szCs w:val="18"/>
              </w:rPr>
            </w:pPr>
          </w:p>
          <w:p w:rsidR="0073298C" w:rsidRDefault="0073298C" w:rsidP="0073298C">
            <w:pPr>
              <w:rPr>
                <w:sz w:val="16"/>
                <w:szCs w:val="16"/>
              </w:rPr>
            </w:pPr>
            <w:r>
              <w:rPr>
                <w:sz w:val="16"/>
                <w:szCs w:val="16"/>
              </w:rPr>
              <w:t> </w:t>
            </w:r>
          </w:p>
        </w:tc>
        <w:tc>
          <w:tcPr>
            <w:tcW w:w="103" w:type="dxa"/>
            <w:tcBorders>
              <w:top w:val="nil"/>
              <w:left w:val="nil"/>
              <w:bottom w:val="nil"/>
              <w:right w:val="nil"/>
            </w:tcBorders>
            <w:vAlign w:val="bottom"/>
          </w:tcPr>
          <w:p w:rsidR="0073298C" w:rsidRDefault="0073298C" w:rsidP="0073298C">
            <w:pPr>
              <w:spacing w:before="22" w:after="22"/>
              <w:ind w:left="22" w:right="22"/>
              <w:rPr>
                <w:color w:val="000000"/>
              </w:rPr>
            </w:pPr>
            <w:r>
              <w:rPr>
                <w:color w:val="000000"/>
              </w:rPr>
              <w:t> </w:t>
            </w:r>
          </w:p>
        </w:tc>
        <w:tc>
          <w:tcPr>
            <w:tcW w:w="1132" w:type="dxa"/>
            <w:tcBorders>
              <w:top w:val="nil"/>
              <w:left w:val="nil"/>
              <w:bottom w:val="nil"/>
              <w:right w:val="nil"/>
            </w:tcBorders>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w:t>
            </w:r>
          </w:p>
        </w:tc>
        <w:tc>
          <w:tcPr>
            <w:tcW w:w="241" w:type="dxa"/>
            <w:tcBorders>
              <w:top w:val="nil"/>
              <w:left w:val="nil"/>
              <w:bottom w:val="nil"/>
              <w:right w:val="nil"/>
            </w:tcBorders>
            <w:vAlign w:val="center"/>
          </w:tcPr>
          <w:p w:rsidR="0073298C" w:rsidRDefault="0073298C" w:rsidP="0073298C">
            <w:pPr>
              <w:spacing w:before="22" w:after="22"/>
              <w:ind w:right="22"/>
              <w:rPr>
                <w:rFonts w:ascii="Arial" w:hAnsi="Arial" w:cs="Arial"/>
                <w:color w:val="000000"/>
                <w:sz w:val="18"/>
                <w:szCs w:val="18"/>
              </w:rPr>
            </w:pPr>
            <w:r>
              <w:rPr>
                <w:rFonts w:ascii="Arial" w:hAnsi="Arial" w:cs="Arial"/>
                <w:color w:val="000000"/>
                <w:sz w:val="18"/>
                <w:szCs w:val="18"/>
              </w:rPr>
              <w:t> %</w:t>
            </w:r>
          </w:p>
        </w:tc>
        <w:tc>
          <w:tcPr>
            <w:tcW w:w="103" w:type="dxa"/>
            <w:tcBorders>
              <w:top w:val="nil"/>
              <w:left w:val="nil"/>
              <w:bottom w:val="nil"/>
              <w:right w:val="nil"/>
            </w:tcBorders>
            <w:vAlign w:val="bottom"/>
          </w:tcPr>
          <w:p w:rsidR="0073298C" w:rsidRDefault="0073298C" w:rsidP="0073298C">
            <w:pPr>
              <w:spacing w:before="22" w:after="22"/>
              <w:ind w:left="22" w:right="22"/>
              <w:rPr>
                <w:color w:val="000000"/>
              </w:rPr>
            </w:pPr>
            <w:r>
              <w:rPr>
                <w:color w:val="000000"/>
              </w:rPr>
              <w:t> </w:t>
            </w:r>
          </w:p>
        </w:tc>
        <w:tc>
          <w:tcPr>
            <w:tcW w:w="120" w:type="dxa"/>
            <w:tcBorders>
              <w:top w:val="nil"/>
              <w:left w:val="nil"/>
              <w:bottom w:val="nil"/>
              <w:right w:val="nil"/>
            </w:tcBorders>
            <w:vAlign w:val="center"/>
          </w:tcPr>
          <w:p w:rsidR="0073298C" w:rsidRDefault="0073298C" w:rsidP="0073298C">
            <w:pPr>
              <w:spacing w:before="22" w:after="22"/>
              <w:ind w:left="22"/>
              <w:rPr>
                <w:rFonts w:ascii="Arial" w:hAnsi="Arial" w:cs="Arial"/>
                <w:color w:val="000000"/>
                <w:sz w:val="18"/>
                <w:szCs w:val="18"/>
              </w:rPr>
            </w:pPr>
            <w:r>
              <w:rPr>
                <w:rFonts w:ascii="Arial" w:hAnsi="Arial" w:cs="Arial"/>
                <w:color w:val="000000"/>
                <w:sz w:val="18"/>
                <w:szCs w:val="18"/>
              </w:rPr>
              <w:t>$</w:t>
            </w:r>
          </w:p>
        </w:tc>
        <w:tc>
          <w:tcPr>
            <w:tcW w:w="1052" w:type="dxa"/>
            <w:tcBorders>
              <w:top w:val="nil"/>
              <w:left w:val="nil"/>
              <w:bottom w:val="nil"/>
              <w:right w:val="nil"/>
            </w:tcBorders>
            <w:vAlign w:val="center"/>
          </w:tcPr>
          <w:p w:rsidR="0073298C" w:rsidRDefault="0073298C" w:rsidP="0073298C">
            <w:pPr>
              <w:spacing w:before="22" w:after="22"/>
              <w:jc w:val="right"/>
              <w:rPr>
                <w:rFonts w:ascii="Arial" w:hAnsi="Arial" w:cs="Arial"/>
                <w:color w:val="000000"/>
                <w:sz w:val="18"/>
                <w:szCs w:val="18"/>
              </w:rPr>
            </w:pPr>
            <w:r>
              <w:rPr>
                <w:rFonts w:ascii="Arial" w:hAnsi="Arial" w:cs="Arial"/>
                <w:color w:val="000000"/>
                <w:sz w:val="18"/>
                <w:szCs w:val="18"/>
              </w:rPr>
              <w:t>—</w:t>
            </w:r>
          </w:p>
        </w:tc>
        <w:tc>
          <w:tcPr>
            <w:tcW w:w="105" w:type="dxa"/>
            <w:tcBorders>
              <w:top w:val="nil"/>
              <w:left w:val="nil"/>
              <w:bottom w:val="nil"/>
              <w:right w:val="nil"/>
            </w:tcBorders>
            <w:vAlign w:val="bottom"/>
          </w:tcPr>
          <w:p w:rsidR="0073298C" w:rsidRDefault="0073298C" w:rsidP="0073298C">
            <w:pPr>
              <w:spacing w:before="22" w:after="22"/>
              <w:jc w:val="right"/>
              <w:rPr>
                <w:rFonts w:ascii="Arial" w:hAnsi="Arial" w:cs="Arial"/>
                <w:color w:val="000000"/>
                <w:sz w:val="18"/>
                <w:szCs w:val="18"/>
              </w:rPr>
            </w:pPr>
          </w:p>
          <w:p w:rsidR="0073298C" w:rsidRDefault="0073298C" w:rsidP="0073298C">
            <w:pPr>
              <w:rPr>
                <w:sz w:val="16"/>
                <w:szCs w:val="16"/>
              </w:rPr>
            </w:pPr>
            <w:r>
              <w:rPr>
                <w:sz w:val="16"/>
                <w:szCs w:val="16"/>
              </w:rPr>
              <w:t> </w:t>
            </w:r>
          </w:p>
        </w:tc>
        <w:tc>
          <w:tcPr>
            <w:tcW w:w="103" w:type="dxa"/>
            <w:tcBorders>
              <w:top w:val="nil"/>
              <w:left w:val="nil"/>
              <w:bottom w:val="nil"/>
              <w:right w:val="nil"/>
            </w:tcBorders>
            <w:vAlign w:val="bottom"/>
          </w:tcPr>
          <w:p w:rsidR="0073298C" w:rsidRDefault="0073298C" w:rsidP="0073298C">
            <w:pPr>
              <w:spacing w:before="22" w:after="22"/>
              <w:ind w:left="22" w:right="22"/>
              <w:rPr>
                <w:color w:val="000000"/>
              </w:rPr>
            </w:pPr>
            <w:r>
              <w:rPr>
                <w:color w:val="000000"/>
              </w:rPr>
              <w:t> </w:t>
            </w:r>
          </w:p>
        </w:tc>
        <w:tc>
          <w:tcPr>
            <w:tcW w:w="1132" w:type="dxa"/>
            <w:tcBorders>
              <w:top w:val="nil"/>
              <w:left w:val="nil"/>
              <w:bottom w:val="nil"/>
              <w:right w:val="nil"/>
            </w:tcBorders>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w:t>
            </w:r>
          </w:p>
        </w:tc>
        <w:tc>
          <w:tcPr>
            <w:tcW w:w="252" w:type="dxa"/>
            <w:tcBorders>
              <w:top w:val="nil"/>
              <w:left w:val="nil"/>
              <w:bottom w:val="nil"/>
              <w:right w:val="single" w:sz="6" w:space="0" w:color="00467E"/>
            </w:tcBorders>
            <w:vAlign w:val="center"/>
          </w:tcPr>
          <w:p w:rsidR="0073298C" w:rsidRDefault="0073298C" w:rsidP="0073298C">
            <w:pPr>
              <w:spacing w:before="22" w:after="22"/>
              <w:ind w:right="22"/>
              <w:rPr>
                <w:rFonts w:ascii="Arial" w:hAnsi="Arial" w:cs="Arial"/>
                <w:color w:val="000000"/>
                <w:sz w:val="18"/>
                <w:szCs w:val="18"/>
              </w:rPr>
            </w:pPr>
            <w:r>
              <w:rPr>
                <w:rFonts w:ascii="Arial" w:hAnsi="Arial" w:cs="Arial"/>
                <w:color w:val="000000"/>
                <w:sz w:val="18"/>
                <w:szCs w:val="18"/>
              </w:rPr>
              <w:t> %</w:t>
            </w:r>
          </w:p>
        </w:tc>
      </w:tr>
      <w:tr w:rsidR="0073298C" w:rsidTr="0073298C">
        <w:tblPrEx>
          <w:tblCellMar>
            <w:top w:w="0" w:type="dxa"/>
            <w:left w:w="0" w:type="dxa"/>
            <w:bottom w:w="0" w:type="dxa"/>
            <w:right w:w="0" w:type="dxa"/>
          </w:tblCellMar>
        </w:tblPrEx>
        <w:trPr>
          <w:trHeight w:val="281"/>
          <w:jc w:val="center"/>
        </w:trPr>
        <w:tc>
          <w:tcPr>
            <w:tcW w:w="2353" w:type="dxa"/>
            <w:tcBorders>
              <w:top w:val="nil"/>
              <w:left w:val="single" w:sz="6" w:space="0" w:color="00467E"/>
              <w:bottom w:val="nil"/>
              <w:right w:val="nil"/>
            </w:tcBorders>
            <w:shd w:val="clear" w:color="CFD4D8" w:fill="CFD4D8"/>
            <w:vAlign w:val="center"/>
          </w:tcPr>
          <w:p w:rsidR="0073298C" w:rsidRDefault="0073298C" w:rsidP="0073298C">
            <w:pPr>
              <w:spacing w:before="22" w:after="22"/>
              <w:ind w:left="22" w:right="22"/>
              <w:rPr>
                <w:rFonts w:ascii="Arial" w:hAnsi="Arial" w:cs="Arial"/>
                <w:color w:val="000000"/>
                <w:sz w:val="18"/>
                <w:szCs w:val="18"/>
              </w:rPr>
            </w:pPr>
            <w:r>
              <w:rPr>
                <w:rFonts w:ascii="Arial" w:hAnsi="Arial" w:cs="Arial"/>
                <w:color w:val="000000"/>
                <w:sz w:val="18"/>
                <w:szCs w:val="18"/>
              </w:rPr>
              <w:t>Intersegment eliminations</w:t>
            </w:r>
          </w:p>
        </w:tc>
        <w:tc>
          <w:tcPr>
            <w:tcW w:w="120" w:type="dxa"/>
            <w:tcBorders>
              <w:top w:val="nil"/>
              <w:left w:val="nil"/>
              <w:bottom w:val="nil"/>
              <w:right w:val="nil"/>
            </w:tcBorders>
            <w:shd w:val="clear" w:color="CFD4D8" w:fill="CFD4D8"/>
            <w:vAlign w:val="center"/>
          </w:tcPr>
          <w:p w:rsidR="0073298C" w:rsidRDefault="0073298C" w:rsidP="0073298C">
            <w:pPr>
              <w:spacing w:before="22" w:after="22"/>
              <w:ind w:left="22"/>
              <w:rPr>
                <w:rFonts w:ascii="Arial" w:hAnsi="Arial" w:cs="Arial"/>
                <w:color w:val="000000"/>
                <w:sz w:val="18"/>
                <w:szCs w:val="18"/>
              </w:rPr>
            </w:pPr>
            <w:r>
              <w:rPr>
                <w:rFonts w:ascii="Arial" w:hAnsi="Arial" w:cs="Arial"/>
                <w:color w:val="000000"/>
                <w:sz w:val="18"/>
                <w:szCs w:val="18"/>
              </w:rPr>
              <w:t>$</w:t>
            </w:r>
          </w:p>
        </w:tc>
        <w:tc>
          <w:tcPr>
            <w:tcW w:w="1052" w:type="dxa"/>
            <w:tcBorders>
              <w:top w:val="nil"/>
              <w:left w:val="nil"/>
              <w:bottom w:val="nil"/>
              <w:right w:val="nil"/>
            </w:tcBorders>
            <w:shd w:val="clear" w:color="CFD4D8" w:fill="CFD4D8"/>
            <w:vAlign w:val="center"/>
          </w:tcPr>
          <w:p w:rsidR="0073298C" w:rsidRDefault="0073298C" w:rsidP="0073298C">
            <w:pPr>
              <w:spacing w:before="22" w:after="22"/>
              <w:jc w:val="right"/>
              <w:rPr>
                <w:rFonts w:ascii="Arial" w:hAnsi="Arial" w:cs="Arial"/>
                <w:color w:val="000000"/>
                <w:sz w:val="18"/>
                <w:szCs w:val="18"/>
              </w:rPr>
            </w:pPr>
            <w:r>
              <w:rPr>
                <w:rFonts w:ascii="Arial" w:hAnsi="Arial" w:cs="Arial"/>
                <w:color w:val="000000"/>
                <w:sz w:val="18"/>
                <w:szCs w:val="18"/>
              </w:rPr>
              <w:t>(24,999</w:t>
            </w:r>
          </w:p>
        </w:tc>
        <w:tc>
          <w:tcPr>
            <w:tcW w:w="105" w:type="dxa"/>
            <w:tcBorders>
              <w:top w:val="nil"/>
              <w:left w:val="nil"/>
              <w:bottom w:val="nil"/>
              <w:right w:val="nil"/>
            </w:tcBorders>
            <w:shd w:val="clear" w:color="CFD4D8" w:fill="CFD4D8"/>
            <w:vAlign w:val="center"/>
          </w:tcPr>
          <w:p w:rsidR="0073298C" w:rsidRDefault="0073298C" w:rsidP="0073298C">
            <w:pPr>
              <w:spacing w:before="22" w:after="22"/>
              <w:ind w:right="22"/>
              <w:rPr>
                <w:rFonts w:ascii="Arial" w:hAnsi="Arial" w:cs="Arial"/>
                <w:color w:val="000000"/>
                <w:sz w:val="18"/>
                <w:szCs w:val="18"/>
              </w:rPr>
            </w:pPr>
            <w:r>
              <w:rPr>
                <w:rFonts w:ascii="Arial" w:hAnsi="Arial" w:cs="Arial"/>
                <w:color w:val="000000"/>
                <w:sz w:val="18"/>
                <w:szCs w:val="18"/>
              </w:rPr>
              <w:t>)</w:t>
            </w:r>
          </w:p>
        </w:tc>
        <w:tc>
          <w:tcPr>
            <w:tcW w:w="103" w:type="dxa"/>
            <w:tcBorders>
              <w:top w:val="nil"/>
              <w:left w:val="nil"/>
              <w:bottom w:val="nil"/>
              <w:right w:val="nil"/>
            </w:tcBorders>
            <w:shd w:val="clear" w:color="CFD4D8" w:fill="CFD4D8"/>
            <w:vAlign w:val="bottom"/>
          </w:tcPr>
          <w:p w:rsidR="0073298C" w:rsidRDefault="0073298C" w:rsidP="0073298C">
            <w:pPr>
              <w:spacing w:before="22" w:after="22"/>
              <w:ind w:left="22" w:right="22"/>
              <w:rPr>
                <w:color w:val="000000"/>
              </w:rPr>
            </w:pPr>
            <w:r>
              <w:rPr>
                <w:color w:val="000000"/>
              </w:rPr>
              <w:t> </w:t>
            </w:r>
          </w:p>
        </w:tc>
        <w:tc>
          <w:tcPr>
            <w:tcW w:w="1110" w:type="dxa"/>
            <w:tcBorders>
              <w:top w:val="nil"/>
              <w:left w:val="nil"/>
              <w:bottom w:val="nil"/>
              <w:right w:val="nil"/>
            </w:tcBorders>
            <w:shd w:val="clear" w:color="CFD4D8" w:fill="CFD4D8"/>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(1.2</w:t>
            </w:r>
          </w:p>
        </w:tc>
        <w:tc>
          <w:tcPr>
            <w:tcW w:w="242" w:type="dxa"/>
            <w:tcBorders>
              <w:top w:val="nil"/>
              <w:left w:val="nil"/>
              <w:bottom w:val="nil"/>
              <w:right w:val="nil"/>
            </w:tcBorders>
            <w:shd w:val="clear" w:color="CFD4D8" w:fill="CFD4D8"/>
            <w:vAlign w:val="center"/>
          </w:tcPr>
          <w:p w:rsidR="0073298C" w:rsidRDefault="0073298C" w:rsidP="0073298C">
            <w:pPr>
              <w:spacing w:before="22" w:after="22"/>
              <w:ind w:right="22"/>
              <w:rPr>
                <w:rFonts w:ascii="Arial" w:hAnsi="Arial" w:cs="Arial"/>
                <w:color w:val="000000"/>
                <w:sz w:val="18"/>
                <w:szCs w:val="18"/>
              </w:rPr>
            </w:pPr>
            <w:r>
              <w:rPr>
                <w:rFonts w:ascii="Arial" w:hAnsi="Arial" w:cs="Arial"/>
                <w:color w:val="000000"/>
                <w:sz w:val="18"/>
                <w:szCs w:val="18"/>
              </w:rPr>
              <w:t>)%</w:t>
            </w:r>
          </w:p>
        </w:tc>
        <w:tc>
          <w:tcPr>
            <w:tcW w:w="103" w:type="dxa"/>
            <w:tcBorders>
              <w:top w:val="nil"/>
              <w:left w:val="nil"/>
              <w:bottom w:val="nil"/>
              <w:right w:val="nil"/>
            </w:tcBorders>
            <w:shd w:val="clear" w:color="CFD4D8" w:fill="CFD4D8"/>
            <w:vAlign w:val="bottom"/>
          </w:tcPr>
          <w:p w:rsidR="0073298C" w:rsidRDefault="0073298C" w:rsidP="0073298C">
            <w:pPr>
              <w:spacing w:before="22" w:after="22"/>
              <w:ind w:left="22" w:right="22"/>
              <w:rPr>
                <w:color w:val="000000"/>
              </w:rPr>
            </w:pPr>
            <w:r>
              <w:rPr>
                <w:color w:val="000000"/>
              </w:rPr>
              <w:t> </w:t>
            </w:r>
          </w:p>
        </w:tc>
        <w:tc>
          <w:tcPr>
            <w:tcW w:w="120" w:type="dxa"/>
            <w:tcBorders>
              <w:top w:val="nil"/>
              <w:left w:val="nil"/>
              <w:bottom w:val="nil"/>
              <w:right w:val="nil"/>
            </w:tcBorders>
            <w:shd w:val="clear" w:color="CFD4D8" w:fill="CFD4D8"/>
            <w:vAlign w:val="center"/>
          </w:tcPr>
          <w:p w:rsidR="0073298C" w:rsidRDefault="0073298C" w:rsidP="0073298C">
            <w:pPr>
              <w:spacing w:before="22" w:after="22"/>
              <w:ind w:left="22"/>
              <w:rPr>
                <w:rFonts w:ascii="Arial" w:hAnsi="Arial" w:cs="Arial"/>
                <w:color w:val="000000"/>
                <w:sz w:val="18"/>
                <w:szCs w:val="18"/>
              </w:rPr>
            </w:pPr>
            <w:r>
              <w:rPr>
                <w:rFonts w:ascii="Arial" w:hAnsi="Arial" w:cs="Arial"/>
                <w:color w:val="000000"/>
                <w:sz w:val="18"/>
                <w:szCs w:val="18"/>
              </w:rPr>
              <w:t>$</w:t>
            </w:r>
          </w:p>
        </w:tc>
        <w:tc>
          <w:tcPr>
            <w:tcW w:w="1052" w:type="dxa"/>
            <w:tcBorders>
              <w:top w:val="nil"/>
              <w:left w:val="nil"/>
              <w:bottom w:val="nil"/>
              <w:right w:val="nil"/>
            </w:tcBorders>
            <w:shd w:val="clear" w:color="CFD4D8" w:fill="CFD4D8"/>
            <w:vAlign w:val="center"/>
          </w:tcPr>
          <w:p w:rsidR="0073298C" w:rsidRDefault="0073298C" w:rsidP="0073298C">
            <w:pPr>
              <w:spacing w:before="22" w:after="22"/>
              <w:jc w:val="right"/>
              <w:rPr>
                <w:rFonts w:ascii="Arial" w:hAnsi="Arial" w:cs="Arial"/>
                <w:color w:val="000000"/>
                <w:sz w:val="18"/>
                <w:szCs w:val="18"/>
              </w:rPr>
            </w:pPr>
            <w:r>
              <w:rPr>
                <w:rFonts w:ascii="Arial" w:hAnsi="Arial" w:cs="Arial"/>
                <w:color w:val="000000"/>
                <w:sz w:val="18"/>
                <w:szCs w:val="18"/>
              </w:rPr>
              <w:t>(9,246</w:t>
            </w:r>
          </w:p>
        </w:tc>
        <w:tc>
          <w:tcPr>
            <w:tcW w:w="105" w:type="dxa"/>
            <w:tcBorders>
              <w:top w:val="nil"/>
              <w:left w:val="nil"/>
              <w:bottom w:val="nil"/>
              <w:right w:val="nil"/>
            </w:tcBorders>
            <w:shd w:val="clear" w:color="CFD4D8" w:fill="CFD4D8"/>
            <w:vAlign w:val="center"/>
          </w:tcPr>
          <w:p w:rsidR="0073298C" w:rsidRDefault="0073298C" w:rsidP="0073298C">
            <w:pPr>
              <w:spacing w:before="22" w:after="22"/>
              <w:ind w:right="22"/>
              <w:rPr>
                <w:rFonts w:ascii="Arial" w:hAnsi="Arial" w:cs="Arial"/>
                <w:color w:val="000000"/>
                <w:sz w:val="18"/>
                <w:szCs w:val="18"/>
              </w:rPr>
            </w:pPr>
            <w:r>
              <w:rPr>
                <w:rFonts w:ascii="Arial" w:hAnsi="Arial" w:cs="Arial"/>
                <w:color w:val="000000"/>
                <w:sz w:val="18"/>
                <w:szCs w:val="18"/>
              </w:rPr>
              <w:t>)</w:t>
            </w:r>
          </w:p>
        </w:tc>
        <w:tc>
          <w:tcPr>
            <w:tcW w:w="103" w:type="dxa"/>
            <w:tcBorders>
              <w:top w:val="nil"/>
              <w:left w:val="nil"/>
              <w:bottom w:val="nil"/>
              <w:right w:val="nil"/>
            </w:tcBorders>
            <w:shd w:val="clear" w:color="CFD4D8" w:fill="CFD4D8"/>
            <w:vAlign w:val="bottom"/>
          </w:tcPr>
          <w:p w:rsidR="0073298C" w:rsidRDefault="0073298C" w:rsidP="0073298C">
            <w:pPr>
              <w:spacing w:before="22" w:after="22"/>
              <w:ind w:left="22" w:right="22"/>
              <w:rPr>
                <w:color w:val="000000"/>
              </w:rPr>
            </w:pPr>
            <w:r>
              <w:rPr>
                <w:color w:val="000000"/>
              </w:rPr>
              <w:t> </w:t>
            </w:r>
          </w:p>
        </w:tc>
        <w:tc>
          <w:tcPr>
            <w:tcW w:w="1132" w:type="dxa"/>
            <w:tcBorders>
              <w:top w:val="nil"/>
              <w:left w:val="nil"/>
              <w:bottom w:val="nil"/>
              <w:right w:val="nil"/>
            </w:tcBorders>
            <w:shd w:val="clear" w:color="CFD4D8" w:fill="CFD4D8"/>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(0.8</w:t>
            </w:r>
          </w:p>
        </w:tc>
        <w:tc>
          <w:tcPr>
            <w:tcW w:w="241" w:type="dxa"/>
            <w:tcBorders>
              <w:top w:val="nil"/>
              <w:left w:val="nil"/>
              <w:bottom w:val="nil"/>
              <w:right w:val="nil"/>
            </w:tcBorders>
            <w:shd w:val="clear" w:color="CFD4D8" w:fill="CFD4D8"/>
            <w:vAlign w:val="center"/>
          </w:tcPr>
          <w:p w:rsidR="0073298C" w:rsidRDefault="0073298C" w:rsidP="0073298C">
            <w:pPr>
              <w:spacing w:before="22" w:after="22"/>
              <w:ind w:right="22"/>
              <w:rPr>
                <w:rFonts w:ascii="Arial" w:hAnsi="Arial" w:cs="Arial"/>
                <w:color w:val="000000"/>
                <w:sz w:val="18"/>
                <w:szCs w:val="18"/>
              </w:rPr>
            </w:pPr>
            <w:r>
              <w:rPr>
                <w:rFonts w:ascii="Arial" w:hAnsi="Arial" w:cs="Arial"/>
                <w:color w:val="000000"/>
                <w:sz w:val="18"/>
                <w:szCs w:val="18"/>
              </w:rPr>
              <w:t>)%</w:t>
            </w:r>
          </w:p>
        </w:tc>
        <w:tc>
          <w:tcPr>
            <w:tcW w:w="103" w:type="dxa"/>
            <w:tcBorders>
              <w:top w:val="nil"/>
              <w:left w:val="nil"/>
              <w:bottom w:val="nil"/>
              <w:right w:val="nil"/>
            </w:tcBorders>
            <w:shd w:val="clear" w:color="CFD4D8" w:fill="CFD4D8"/>
            <w:vAlign w:val="bottom"/>
          </w:tcPr>
          <w:p w:rsidR="0073298C" w:rsidRDefault="0073298C" w:rsidP="0073298C">
            <w:pPr>
              <w:spacing w:before="22" w:after="22"/>
              <w:ind w:left="22" w:right="22"/>
              <w:rPr>
                <w:color w:val="000000"/>
              </w:rPr>
            </w:pPr>
            <w:r>
              <w:rPr>
                <w:color w:val="000000"/>
              </w:rPr>
              <w:t> </w:t>
            </w:r>
          </w:p>
        </w:tc>
        <w:tc>
          <w:tcPr>
            <w:tcW w:w="120" w:type="dxa"/>
            <w:tcBorders>
              <w:top w:val="nil"/>
              <w:left w:val="nil"/>
              <w:bottom w:val="nil"/>
              <w:right w:val="nil"/>
            </w:tcBorders>
            <w:shd w:val="clear" w:color="CFD4D8" w:fill="CFD4D8"/>
            <w:vAlign w:val="center"/>
          </w:tcPr>
          <w:p w:rsidR="0073298C" w:rsidRDefault="0073298C" w:rsidP="0073298C">
            <w:pPr>
              <w:spacing w:before="22" w:after="22"/>
              <w:ind w:left="22"/>
              <w:rPr>
                <w:rFonts w:ascii="Arial" w:hAnsi="Arial" w:cs="Arial"/>
                <w:color w:val="000000"/>
                <w:sz w:val="18"/>
                <w:szCs w:val="18"/>
              </w:rPr>
            </w:pPr>
            <w:r>
              <w:rPr>
                <w:rFonts w:ascii="Arial" w:hAnsi="Arial" w:cs="Arial"/>
                <w:color w:val="000000"/>
                <w:sz w:val="18"/>
                <w:szCs w:val="18"/>
              </w:rPr>
              <w:t>$</w:t>
            </w:r>
          </w:p>
        </w:tc>
        <w:tc>
          <w:tcPr>
            <w:tcW w:w="1052" w:type="dxa"/>
            <w:tcBorders>
              <w:top w:val="nil"/>
              <w:left w:val="nil"/>
              <w:bottom w:val="nil"/>
              <w:right w:val="nil"/>
            </w:tcBorders>
            <w:shd w:val="clear" w:color="CFD4D8" w:fill="CFD4D8"/>
            <w:vAlign w:val="center"/>
          </w:tcPr>
          <w:p w:rsidR="0073298C" w:rsidRDefault="0073298C" w:rsidP="0073298C">
            <w:pPr>
              <w:spacing w:before="22" w:after="22"/>
              <w:jc w:val="right"/>
              <w:rPr>
                <w:rFonts w:ascii="Arial" w:hAnsi="Arial" w:cs="Arial"/>
                <w:color w:val="000000"/>
                <w:sz w:val="18"/>
                <w:szCs w:val="18"/>
              </w:rPr>
            </w:pPr>
            <w:r>
              <w:rPr>
                <w:rFonts w:ascii="Arial" w:hAnsi="Arial" w:cs="Arial"/>
                <w:color w:val="000000"/>
                <w:sz w:val="18"/>
                <w:szCs w:val="18"/>
              </w:rPr>
              <w:t>(18,499</w:t>
            </w:r>
          </w:p>
        </w:tc>
        <w:tc>
          <w:tcPr>
            <w:tcW w:w="105" w:type="dxa"/>
            <w:tcBorders>
              <w:top w:val="nil"/>
              <w:left w:val="nil"/>
              <w:bottom w:val="nil"/>
              <w:right w:val="nil"/>
            </w:tcBorders>
            <w:shd w:val="clear" w:color="CFD4D8" w:fill="CFD4D8"/>
            <w:vAlign w:val="center"/>
          </w:tcPr>
          <w:p w:rsidR="0073298C" w:rsidRDefault="0073298C" w:rsidP="0073298C">
            <w:pPr>
              <w:spacing w:before="22" w:after="22"/>
              <w:ind w:right="22"/>
              <w:rPr>
                <w:rFonts w:ascii="Arial" w:hAnsi="Arial" w:cs="Arial"/>
                <w:color w:val="000000"/>
                <w:sz w:val="18"/>
                <w:szCs w:val="18"/>
              </w:rPr>
            </w:pPr>
            <w:r>
              <w:rPr>
                <w:rFonts w:ascii="Arial" w:hAnsi="Arial" w:cs="Arial"/>
                <w:color w:val="000000"/>
                <w:sz w:val="18"/>
                <w:szCs w:val="18"/>
              </w:rPr>
              <w:t>)</w:t>
            </w:r>
          </w:p>
        </w:tc>
        <w:tc>
          <w:tcPr>
            <w:tcW w:w="103" w:type="dxa"/>
            <w:tcBorders>
              <w:top w:val="nil"/>
              <w:left w:val="nil"/>
              <w:bottom w:val="nil"/>
              <w:right w:val="nil"/>
            </w:tcBorders>
            <w:shd w:val="clear" w:color="CFD4D8" w:fill="CFD4D8"/>
            <w:vAlign w:val="bottom"/>
          </w:tcPr>
          <w:p w:rsidR="0073298C" w:rsidRDefault="0073298C" w:rsidP="0073298C">
            <w:pPr>
              <w:spacing w:before="22" w:after="22"/>
              <w:ind w:left="22" w:right="22"/>
              <w:rPr>
                <w:color w:val="000000"/>
              </w:rPr>
            </w:pPr>
            <w:r>
              <w:rPr>
                <w:color w:val="000000"/>
              </w:rPr>
              <w:t> </w:t>
            </w:r>
          </w:p>
        </w:tc>
        <w:tc>
          <w:tcPr>
            <w:tcW w:w="1132" w:type="dxa"/>
            <w:tcBorders>
              <w:top w:val="nil"/>
              <w:left w:val="nil"/>
              <w:bottom w:val="nil"/>
              <w:right w:val="nil"/>
            </w:tcBorders>
            <w:shd w:val="clear" w:color="CFD4D8" w:fill="CFD4D8"/>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(1.6</w:t>
            </w:r>
          </w:p>
        </w:tc>
        <w:tc>
          <w:tcPr>
            <w:tcW w:w="252" w:type="dxa"/>
            <w:tcBorders>
              <w:top w:val="nil"/>
              <w:left w:val="nil"/>
              <w:bottom w:val="nil"/>
              <w:right w:val="single" w:sz="6" w:space="0" w:color="00467E"/>
            </w:tcBorders>
            <w:shd w:val="clear" w:color="CFD4D8" w:fill="CFD4D8"/>
            <w:vAlign w:val="center"/>
          </w:tcPr>
          <w:p w:rsidR="0073298C" w:rsidRDefault="0073298C" w:rsidP="0073298C">
            <w:pPr>
              <w:spacing w:before="22" w:after="22"/>
              <w:ind w:right="22"/>
              <w:rPr>
                <w:rFonts w:ascii="Arial" w:hAnsi="Arial" w:cs="Arial"/>
                <w:color w:val="000000"/>
                <w:sz w:val="18"/>
                <w:szCs w:val="18"/>
              </w:rPr>
            </w:pPr>
            <w:r>
              <w:rPr>
                <w:rFonts w:ascii="Arial" w:hAnsi="Arial" w:cs="Arial"/>
                <w:color w:val="000000"/>
                <w:sz w:val="18"/>
                <w:szCs w:val="18"/>
              </w:rPr>
              <w:t>)%</w:t>
            </w:r>
          </w:p>
        </w:tc>
      </w:tr>
      <w:tr w:rsidR="0073298C" w:rsidTr="0073298C">
        <w:tblPrEx>
          <w:tblCellMar>
            <w:top w:w="0" w:type="dxa"/>
            <w:left w:w="0" w:type="dxa"/>
            <w:bottom w:w="0" w:type="dxa"/>
            <w:right w:w="0" w:type="dxa"/>
          </w:tblCellMar>
        </w:tblPrEx>
        <w:trPr>
          <w:trHeight w:val="281"/>
          <w:jc w:val="center"/>
        </w:trPr>
        <w:tc>
          <w:tcPr>
            <w:tcW w:w="2353" w:type="dxa"/>
            <w:tcBorders>
              <w:top w:val="nil"/>
              <w:left w:val="single" w:sz="6" w:space="0" w:color="00467E"/>
              <w:bottom w:val="nil"/>
              <w:right w:val="nil"/>
            </w:tcBorders>
            <w:vAlign w:val="center"/>
          </w:tcPr>
          <w:p w:rsidR="0073298C" w:rsidRDefault="0073298C" w:rsidP="0073298C">
            <w:pPr>
              <w:spacing w:before="22" w:after="22"/>
              <w:ind w:left="396" w:right="22" w:hanging="396"/>
              <w:rPr>
                <w:rFonts w:ascii="Arial" w:hAnsi="Arial" w:cs="Arial"/>
                <w:color w:val="000000"/>
                <w:sz w:val="18"/>
                <w:szCs w:val="18"/>
              </w:rPr>
            </w:pPr>
            <w:r>
              <w:rPr>
                <w:rFonts w:ascii="Arial" w:hAnsi="Arial" w:cs="Arial"/>
                <w:color w:val="000000"/>
                <w:sz w:val="18"/>
                <w:szCs w:val="18"/>
              </w:rPr>
              <w:t>Total revenue</w:t>
            </w:r>
          </w:p>
        </w:tc>
        <w:tc>
          <w:tcPr>
            <w:tcW w:w="120" w:type="dxa"/>
            <w:tcBorders>
              <w:top w:val="single" w:sz="6" w:space="0" w:color="000000"/>
              <w:left w:val="nil"/>
              <w:bottom w:val="double" w:sz="6" w:space="0" w:color="000000"/>
              <w:right w:val="nil"/>
            </w:tcBorders>
            <w:vAlign w:val="center"/>
          </w:tcPr>
          <w:p w:rsidR="0073298C" w:rsidRDefault="0073298C" w:rsidP="0073298C">
            <w:pPr>
              <w:spacing w:before="22" w:after="22"/>
              <w:ind w:left="22"/>
              <w:rPr>
                <w:rFonts w:ascii="Arial" w:hAnsi="Arial" w:cs="Arial"/>
                <w:color w:val="000000"/>
                <w:sz w:val="18"/>
                <w:szCs w:val="18"/>
              </w:rPr>
            </w:pPr>
            <w:r>
              <w:rPr>
                <w:rFonts w:ascii="Arial" w:hAnsi="Arial" w:cs="Arial"/>
                <w:color w:val="000000"/>
                <w:sz w:val="18"/>
                <w:szCs w:val="18"/>
              </w:rPr>
              <w:t>$</w:t>
            </w:r>
          </w:p>
        </w:tc>
        <w:tc>
          <w:tcPr>
            <w:tcW w:w="1052" w:type="dxa"/>
            <w:tcBorders>
              <w:top w:val="single" w:sz="6" w:space="0" w:color="000000"/>
              <w:left w:val="nil"/>
              <w:bottom w:val="double" w:sz="6" w:space="0" w:color="000000"/>
              <w:right w:val="nil"/>
            </w:tcBorders>
            <w:vAlign w:val="center"/>
          </w:tcPr>
          <w:p w:rsidR="0073298C" w:rsidRDefault="0073298C" w:rsidP="0073298C">
            <w:pPr>
              <w:spacing w:before="22" w:after="22"/>
              <w:jc w:val="right"/>
              <w:rPr>
                <w:rFonts w:ascii="Arial" w:hAnsi="Arial" w:cs="Arial"/>
                <w:color w:val="000000"/>
                <w:sz w:val="18"/>
                <w:szCs w:val="18"/>
              </w:rPr>
            </w:pPr>
            <w:r>
              <w:rPr>
                <w:rFonts w:ascii="Arial" w:hAnsi="Arial" w:cs="Arial"/>
                <w:color w:val="000000"/>
                <w:sz w:val="18"/>
                <w:szCs w:val="18"/>
              </w:rPr>
              <w:t>2,425,453</w:t>
            </w:r>
          </w:p>
        </w:tc>
        <w:tc>
          <w:tcPr>
            <w:tcW w:w="105" w:type="dxa"/>
            <w:tcBorders>
              <w:top w:val="single" w:sz="6" w:space="0" w:color="000000"/>
              <w:left w:val="nil"/>
              <w:bottom w:val="double" w:sz="6" w:space="0" w:color="000000"/>
              <w:right w:val="nil"/>
            </w:tcBorders>
            <w:vAlign w:val="bottom"/>
          </w:tcPr>
          <w:p w:rsidR="0073298C" w:rsidRDefault="0073298C" w:rsidP="0073298C">
            <w:pPr>
              <w:spacing w:before="22" w:after="22"/>
              <w:jc w:val="right"/>
              <w:rPr>
                <w:rFonts w:ascii="Arial" w:hAnsi="Arial" w:cs="Arial"/>
                <w:color w:val="000000"/>
                <w:sz w:val="18"/>
                <w:szCs w:val="18"/>
              </w:rPr>
            </w:pPr>
          </w:p>
          <w:p w:rsidR="0073298C" w:rsidRDefault="0073298C" w:rsidP="0073298C">
            <w:pPr>
              <w:rPr>
                <w:sz w:val="16"/>
                <w:szCs w:val="16"/>
              </w:rPr>
            </w:pPr>
            <w:r>
              <w:rPr>
                <w:sz w:val="16"/>
                <w:szCs w:val="16"/>
              </w:rPr>
              <w:t> </w:t>
            </w:r>
          </w:p>
        </w:tc>
        <w:tc>
          <w:tcPr>
            <w:tcW w:w="103" w:type="dxa"/>
            <w:tcBorders>
              <w:top w:val="nil"/>
              <w:left w:val="nil"/>
              <w:bottom w:val="nil"/>
              <w:right w:val="nil"/>
            </w:tcBorders>
            <w:vAlign w:val="bottom"/>
          </w:tcPr>
          <w:p w:rsidR="0073298C" w:rsidRDefault="0073298C" w:rsidP="0073298C">
            <w:pPr>
              <w:spacing w:before="22" w:after="22"/>
              <w:ind w:left="22" w:right="22"/>
              <w:rPr>
                <w:color w:val="000000"/>
              </w:rPr>
            </w:pPr>
            <w:r>
              <w:rPr>
                <w:color w:val="000000"/>
              </w:rPr>
              <w:t> </w:t>
            </w:r>
          </w:p>
        </w:tc>
        <w:tc>
          <w:tcPr>
            <w:tcW w:w="1110" w:type="dxa"/>
            <w:tcBorders>
              <w:top w:val="single" w:sz="6" w:space="0" w:color="000000"/>
              <w:left w:val="nil"/>
              <w:bottom w:val="double" w:sz="6" w:space="0" w:color="000000"/>
              <w:right w:val="nil"/>
            </w:tcBorders>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100.0</w:t>
            </w:r>
          </w:p>
        </w:tc>
        <w:tc>
          <w:tcPr>
            <w:tcW w:w="242" w:type="dxa"/>
            <w:tcBorders>
              <w:top w:val="single" w:sz="6" w:space="0" w:color="000000"/>
              <w:left w:val="nil"/>
              <w:bottom w:val="double" w:sz="6" w:space="0" w:color="000000"/>
              <w:right w:val="nil"/>
            </w:tcBorders>
            <w:vAlign w:val="center"/>
          </w:tcPr>
          <w:p w:rsidR="0073298C" w:rsidRDefault="0073298C" w:rsidP="0073298C">
            <w:pPr>
              <w:spacing w:before="22" w:after="22"/>
              <w:ind w:right="22"/>
              <w:rPr>
                <w:rFonts w:ascii="Arial" w:hAnsi="Arial" w:cs="Arial"/>
                <w:color w:val="000000"/>
                <w:sz w:val="18"/>
                <w:szCs w:val="18"/>
              </w:rPr>
            </w:pPr>
            <w:r>
              <w:rPr>
                <w:rFonts w:ascii="Arial" w:hAnsi="Arial" w:cs="Arial"/>
                <w:color w:val="000000"/>
                <w:sz w:val="18"/>
                <w:szCs w:val="18"/>
              </w:rPr>
              <w:t> %</w:t>
            </w:r>
          </w:p>
        </w:tc>
        <w:tc>
          <w:tcPr>
            <w:tcW w:w="103" w:type="dxa"/>
            <w:tcBorders>
              <w:top w:val="nil"/>
              <w:left w:val="nil"/>
              <w:bottom w:val="nil"/>
              <w:right w:val="nil"/>
            </w:tcBorders>
            <w:vAlign w:val="bottom"/>
          </w:tcPr>
          <w:p w:rsidR="0073298C" w:rsidRDefault="0073298C" w:rsidP="0073298C">
            <w:pPr>
              <w:spacing w:before="22" w:after="22"/>
              <w:ind w:left="22" w:right="22"/>
              <w:rPr>
                <w:color w:val="000000"/>
              </w:rPr>
            </w:pPr>
            <w:r>
              <w:rPr>
                <w:color w:val="000000"/>
              </w:rPr>
              <w:t> </w:t>
            </w:r>
          </w:p>
        </w:tc>
        <w:tc>
          <w:tcPr>
            <w:tcW w:w="120" w:type="dxa"/>
            <w:tcBorders>
              <w:top w:val="single" w:sz="6" w:space="0" w:color="000000"/>
              <w:left w:val="nil"/>
              <w:bottom w:val="double" w:sz="6" w:space="0" w:color="000000"/>
              <w:right w:val="nil"/>
            </w:tcBorders>
            <w:vAlign w:val="center"/>
          </w:tcPr>
          <w:p w:rsidR="0073298C" w:rsidRDefault="0073298C" w:rsidP="0073298C">
            <w:pPr>
              <w:spacing w:before="22" w:after="22"/>
              <w:ind w:left="22"/>
              <w:rPr>
                <w:rFonts w:ascii="Arial" w:hAnsi="Arial" w:cs="Arial"/>
                <w:color w:val="000000"/>
                <w:sz w:val="18"/>
                <w:szCs w:val="18"/>
              </w:rPr>
            </w:pPr>
            <w:r>
              <w:rPr>
                <w:rFonts w:ascii="Arial" w:hAnsi="Arial" w:cs="Arial"/>
                <w:color w:val="000000"/>
                <w:sz w:val="18"/>
                <w:szCs w:val="18"/>
              </w:rPr>
              <w:t>$</w:t>
            </w:r>
          </w:p>
        </w:tc>
        <w:tc>
          <w:tcPr>
            <w:tcW w:w="1052" w:type="dxa"/>
            <w:tcBorders>
              <w:top w:val="single" w:sz="6" w:space="0" w:color="000000"/>
              <w:left w:val="nil"/>
              <w:bottom w:val="double" w:sz="6" w:space="0" w:color="000000"/>
              <w:right w:val="nil"/>
            </w:tcBorders>
            <w:vAlign w:val="center"/>
          </w:tcPr>
          <w:p w:rsidR="0073298C" w:rsidRDefault="0073298C" w:rsidP="0073298C">
            <w:pPr>
              <w:spacing w:before="22" w:after="22"/>
              <w:jc w:val="right"/>
              <w:rPr>
                <w:rFonts w:ascii="Arial" w:hAnsi="Arial" w:cs="Arial"/>
                <w:color w:val="000000"/>
                <w:sz w:val="18"/>
                <w:szCs w:val="18"/>
              </w:rPr>
            </w:pPr>
            <w:r>
              <w:rPr>
                <w:rFonts w:ascii="Arial" w:hAnsi="Arial" w:cs="Arial"/>
                <w:color w:val="000000"/>
                <w:sz w:val="18"/>
                <w:szCs w:val="18"/>
              </w:rPr>
              <w:t>1,118,034</w:t>
            </w:r>
          </w:p>
        </w:tc>
        <w:tc>
          <w:tcPr>
            <w:tcW w:w="105" w:type="dxa"/>
            <w:tcBorders>
              <w:top w:val="single" w:sz="6" w:space="0" w:color="000000"/>
              <w:left w:val="nil"/>
              <w:bottom w:val="double" w:sz="6" w:space="0" w:color="000000"/>
              <w:right w:val="nil"/>
            </w:tcBorders>
            <w:vAlign w:val="bottom"/>
          </w:tcPr>
          <w:p w:rsidR="0073298C" w:rsidRDefault="0073298C" w:rsidP="0073298C">
            <w:pPr>
              <w:spacing w:before="22" w:after="22"/>
              <w:jc w:val="right"/>
              <w:rPr>
                <w:rFonts w:ascii="Arial" w:hAnsi="Arial" w:cs="Arial"/>
                <w:color w:val="000000"/>
                <w:sz w:val="18"/>
                <w:szCs w:val="18"/>
              </w:rPr>
            </w:pPr>
          </w:p>
          <w:p w:rsidR="0073298C" w:rsidRDefault="0073298C" w:rsidP="0073298C">
            <w:pPr>
              <w:rPr>
                <w:sz w:val="16"/>
                <w:szCs w:val="16"/>
              </w:rPr>
            </w:pPr>
            <w:r>
              <w:rPr>
                <w:sz w:val="16"/>
                <w:szCs w:val="16"/>
              </w:rPr>
              <w:t> </w:t>
            </w:r>
          </w:p>
        </w:tc>
        <w:tc>
          <w:tcPr>
            <w:tcW w:w="103" w:type="dxa"/>
            <w:tcBorders>
              <w:top w:val="nil"/>
              <w:left w:val="nil"/>
              <w:bottom w:val="nil"/>
              <w:right w:val="nil"/>
            </w:tcBorders>
            <w:vAlign w:val="bottom"/>
          </w:tcPr>
          <w:p w:rsidR="0073298C" w:rsidRDefault="0073298C" w:rsidP="0073298C">
            <w:pPr>
              <w:spacing w:before="22" w:after="22"/>
              <w:ind w:left="22" w:right="22"/>
              <w:rPr>
                <w:color w:val="000000"/>
              </w:rPr>
            </w:pPr>
            <w:r>
              <w:rPr>
                <w:color w:val="000000"/>
              </w:rPr>
              <w:t> </w:t>
            </w:r>
          </w:p>
        </w:tc>
        <w:tc>
          <w:tcPr>
            <w:tcW w:w="1132" w:type="dxa"/>
            <w:tcBorders>
              <w:top w:val="single" w:sz="6" w:space="0" w:color="000000"/>
              <w:left w:val="nil"/>
              <w:bottom w:val="double" w:sz="6" w:space="0" w:color="000000"/>
              <w:right w:val="nil"/>
            </w:tcBorders>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100.0</w:t>
            </w:r>
          </w:p>
        </w:tc>
        <w:tc>
          <w:tcPr>
            <w:tcW w:w="241" w:type="dxa"/>
            <w:tcBorders>
              <w:top w:val="single" w:sz="6" w:space="0" w:color="000000"/>
              <w:left w:val="nil"/>
              <w:bottom w:val="double" w:sz="6" w:space="0" w:color="000000"/>
              <w:right w:val="nil"/>
            </w:tcBorders>
            <w:vAlign w:val="center"/>
          </w:tcPr>
          <w:p w:rsidR="0073298C" w:rsidRDefault="0073298C" w:rsidP="0073298C">
            <w:pPr>
              <w:spacing w:before="22" w:after="22"/>
              <w:ind w:right="22"/>
              <w:rPr>
                <w:rFonts w:ascii="Arial" w:hAnsi="Arial" w:cs="Arial"/>
                <w:color w:val="000000"/>
                <w:sz w:val="18"/>
                <w:szCs w:val="18"/>
              </w:rPr>
            </w:pPr>
            <w:r>
              <w:rPr>
                <w:rFonts w:ascii="Arial" w:hAnsi="Arial" w:cs="Arial"/>
                <w:color w:val="000000"/>
                <w:sz w:val="18"/>
                <w:szCs w:val="18"/>
              </w:rPr>
              <w:t> %</w:t>
            </w:r>
          </w:p>
        </w:tc>
        <w:tc>
          <w:tcPr>
            <w:tcW w:w="103" w:type="dxa"/>
            <w:tcBorders>
              <w:top w:val="nil"/>
              <w:left w:val="nil"/>
              <w:bottom w:val="nil"/>
              <w:right w:val="nil"/>
            </w:tcBorders>
            <w:vAlign w:val="bottom"/>
          </w:tcPr>
          <w:p w:rsidR="0073298C" w:rsidRDefault="0073298C" w:rsidP="0073298C">
            <w:pPr>
              <w:spacing w:before="22" w:after="22"/>
              <w:ind w:left="22" w:right="22"/>
              <w:rPr>
                <w:color w:val="000000"/>
              </w:rPr>
            </w:pPr>
            <w:r>
              <w:rPr>
                <w:color w:val="000000"/>
              </w:rPr>
              <w:t> </w:t>
            </w:r>
          </w:p>
        </w:tc>
        <w:tc>
          <w:tcPr>
            <w:tcW w:w="120" w:type="dxa"/>
            <w:tcBorders>
              <w:top w:val="single" w:sz="6" w:space="0" w:color="000000"/>
              <w:left w:val="nil"/>
              <w:bottom w:val="double" w:sz="6" w:space="0" w:color="000000"/>
              <w:right w:val="nil"/>
            </w:tcBorders>
            <w:vAlign w:val="center"/>
          </w:tcPr>
          <w:p w:rsidR="0073298C" w:rsidRDefault="0073298C" w:rsidP="0073298C">
            <w:pPr>
              <w:spacing w:before="22" w:after="22"/>
              <w:ind w:left="22"/>
              <w:rPr>
                <w:rFonts w:ascii="Arial" w:hAnsi="Arial" w:cs="Arial"/>
                <w:color w:val="000000"/>
                <w:sz w:val="18"/>
                <w:szCs w:val="18"/>
              </w:rPr>
            </w:pPr>
            <w:r>
              <w:rPr>
                <w:rFonts w:ascii="Arial" w:hAnsi="Arial" w:cs="Arial"/>
                <w:color w:val="000000"/>
                <w:sz w:val="18"/>
                <w:szCs w:val="18"/>
              </w:rPr>
              <w:t>$</w:t>
            </w:r>
          </w:p>
        </w:tc>
        <w:tc>
          <w:tcPr>
            <w:tcW w:w="1052" w:type="dxa"/>
            <w:tcBorders>
              <w:top w:val="single" w:sz="6" w:space="0" w:color="000000"/>
              <w:left w:val="nil"/>
              <w:bottom w:val="double" w:sz="6" w:space="0" w:color="000000"/>
              <w:right w:val="nil"/>
            </w:tcBorders>
            <w:vAlign w:val="center"/>
          </w:tcPr>
          <w:p w:rsidR="0073298C" w:rsidRDefault="0073298C" w:rsidP="0073298C">
            <w:pPr>
              <w:spacing w:before="22" w:after="22"/>
              <w:jc w:val="right"/>
              <w:rPr>
                <w:rFonts w:ascii="Arial" w:hAnsi="Arial" w:cs="Arial"/>
                <w:color w:val="000000"/>
                <w:sz w:val="18"/>
                <w:szCs w:val="18"/>
              </w:rPr>
            </w:pPr>
            <w:r>
              <w:rPr>
                <w:rFonts w:ascii="Arial" w:hAnsi="Arial" w:cs="Arial"/>
                <w:color w:val="000000"/>
                <w:sz w:val="18"/>
                <w:szCs w:val="18"/>
              </w:rPr>
              <w:t>1,182,964</w:t>
            </w:r>
          </w:p>
        </w:tc>
        <w:tc>
          <w:tcPr>
            <w:tcW w:w="105" w:type="dxa"/>
            <w:tcBorders>
              <w:top w:val="single" w:sz="6" w:space="0" w:color="000000"/>
              <w:left w:val="nil"/>
              <w:bottom w:val="double" w:sz="6" w:space="0" w:color="000000"/>
              <w:right w:val="nil"/>
            </w:tcBorders>
            <w:vAlign w:val="bottom"/>
          </w:tcPr>
          <w:p w:rsidR="0073298C" w:rsidRDefault="0073298C" w:rsidP="0073298C">
            <w:pPr>
              <w:spacing w:before="22" w:after="22"/>
              <w:jc w:val="right"/>
              <w:rPr>
                <w:rFonts w:ascii="Arial" w:hAnsi="Arial" w:cs="Arial"/>
                <w:color w:val="000000"/>
                <w:sz w:val="18"/>
                <w:szCs w:val="18"/>
              </w:rPr>
            </w:pPr>
          </w:p>
          <w:p w:rsidR="0073298C" w:rsidRDefault="0073298C" w:rsidP="0073298C">
            <w:pPr>
              <w:rPr>
                <w:sz w:val="16"/>
                <w:szCs w:val="16"/>
              </w:rPr>
            </w:pPr>
            <w:r>
              <w:rPr>
                <w:sz w:val="16"/>
                <w:szCs w:val="16"/>
              </w:rPr>
              <w:t> </w:t>
            </w:r>
          </w:p>
        </w:tc>
        <w:tc>
          <w:tcPr>
            <w:tcW w:w="103" w:type="dxa"/>
            <w:tcBorders>
              <w:top w:val="nil"/>
              <w:left w:val="nil"/>
              <w:bottom w:val="nil"/>
              <w:right w:val="nil"/>
            </w:tcBorders>
            <w:vAlign w:val="bottom"/>
          </w:tcPr>
          <w:p w:rsidR="0073298C" w:rsidRDefault="0073298C" w:rsidP="0073298C">
            <w:pPr>
              <w:spacing w:before="22" w:after="22"/>
              <w:ind w:left="22" w:right="22"/>
              <w:rPr>
                <w:color w:val="000000"/>
              </w:rPr>
            </w:pPr>
            <w:r>
              <w:rPr>
                <w:color w:val="000000"/>
              </w:rPr>
              <w:t> </w:t>
            </w:r>
          </w:p>
        </w:tc>
        <w:tc>
          <w:tcPr>
            <w:tcW w:w="1132" w:type="dxa"/>
            <w:tcBorders>
              <w:top w:val="single" w:sz="6" w:space="0" w:color="000000"/>
              <w:left w:val="nil"/>
              <w:bottom w:val="double" w:sz="6" w:space="0" w:color="000000"/>
              <w:right w:val="nil"/>
            </w:tcBorders>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100.0</w:t>
            </w:r>
          </w:p>
        </w:tc>
        <w:tc>
          <w:tcPr>
            <w:tcW w:w="252" w:type="dxa"/>
            <w:tcBorders>
              <w:top w:val="single" w:sz="6" w:space="0" w:color="000000"/>
              <w:left w:val="nil"/>
              <w:bottom w:val="double" w:sz="6" w:space="0" w:color="000000"/>
              <w:right w:val="nil"/>
            </w:tcBorders>
            <w:vAlign w:val="center"/>
          </w:tcPr>
          <w:p w:rsidR="0073298C" w:rsidRDefault="0073298C" w:rsidP="0073298C">
            <w:pPr>
              <w:spacing w:before="22" w:after="22"/>
              <w:ind w:right="22"/>
              <w:rPr>
                <w:rFonts w:ascii="Arial" w:hAnsi="Arial" w:cs="Arial"/>
                <w:color w:val="000000"/>
                <w:sz w:val="18"/>
                <w:szCs w:val="18"/>
              </w:rPr>
            </w:pPr>
            <w:r>
              <w:rPr>
                <w:rFonts w:ascii="Arial" w:hAnsi="Arial" w:cs="Arial"/>
                <w:color w:val="000000"/>
                <w:sz w:val="18"/>
                <w:szCs w:val="18"/>
              </w:rPr>
              <w:t> %</w:t>
            </w:r>
          </w:p>
        </w:tc>
      </w:tr>
    </w:tbl>
    <w:p w:rsidR="0073298C" w:rsidRDefault="0073298C" w:rsidP="0073298C">
      <w:pPr>
        <w:rPr>
          <w:sz w:val="24"/>
          <w:szCs w:val="24"/>
        </w:rPr>
      </w:pPr>
    </w:p>
    <w:tbl>
      <w:tblPr>
        <w:tblW w:w="0" w:type="auto"/>
        <w:jc w:val="center"/>
        <w:tblLayout w:type="fixed"/>
        <w:tblCellMar>
          <w:left w:w="0" w:type="dxa"/>
          <w:right w:w="0" w:type="dxa"/>
        </w:tblCellMar>
        <w:tblLook w:val="0000"/>
      </w:tblPr>
      <w:tblGrid>
        <w:gridCol w:w="2399"/>
        <w:gridCol w:w="120"/>
        <w:gridCol w:w="1051"/>
        <w:gridCol w:w="106"/>
        <w:gridCol w:w="105"/>
        <w:gridCol w:w="1138"/>
        <w:gridCol w:w="241"/>
        <w:gridCol w:w="105"/>
        <w:gridCol w:w="120"/>
        <w:gridCol w:w="1051"/>
        <w:gridCol w:w="105"/>
        <w:gridCol w:w="105"/>
        <w:gridCol w:w="1152"/>
        <w:gridCol w:w="180"/>
        <w:gridCol w:w="105"/>
        <w:gridCol w:w="120"/>
        <w:gridCol w:w="1051"/>
        <w:gridCol w:w="105"/>
        <w:gridCol w:w="105"/>
        <w:gridCol w:w="1152"/>
        <w:gridCol w:w="188"/>
      </w:tblGrid>
      <w:tr w:rsidR="0073298C" w:rsidTr="0073298C">
        <w:tblPrEx>
          <w:tblCellMar>
            <w:top w:w="0" w:type="dxa"/>
            <w:left w:w="0" w:type="dxa"/>
            <w:bottom w:w="0" w:type="dxa"/>
            <w:right w:w="0" w:type="dxa"/>
          </w:tblCellMar>
        </w:tblPrEx>
        <w:trPr>
          <w:trHeight w:val="66"/>
          <w:jc w:val="center"/>
        </w:trPr>
        <w:tc>
          <w:tcPr>
            <w:tcW w:w="10799" w:type="dxa"/>
            <w:gridSpan w:val="21"/>
            <w:tcBorders>
              <w:top w:val="nil"/>
              <w:left w:val="nil"/>
              <w:bottom w:val="nil"/>
              <w:right w:val="nil"/>
            </w:tcBorders>
            <w:vAlign w:val="center"/>
          </w:tcPr>
          <w:p w:rsidR="0073298C" w:rsidRDefault="0073298C" w:rsidP="0073298C">
            <w:pPr>
              <w:rPr>
                <w:sz w:val="16"/>
                <w:szCs w:val="16"/>
              </w:rPr>
            </w:pPr>
            <w:r>
              <w:rPr>
                <w:sz w:val="16"/>
                <w:szCs w:val="16"/>
              </w:rPr>
              <w:t> </w:t>
            </w:r>
          </w:p>
        </w:tc>
      </w:tr>
      <w:tr w:rsidR="0073298C" w:rsidTr="0073298C">
        <w:tblPrEx>
          <w:tblCellMar>
            <w:top w:w="0" w:type="dxa"/>
            <w:left w:w="0" w:type="dxa"/>
            <w:bottom w:w="0" w:type="dxa"/>
            <w:right w:w="0" w:type="dxa"/>
          </w:tblCellMar>
        </w:tblPrEx>
        <w:trPr>
          <w:trHeight w:val="66"/>
          <w:jc w:val="center"/>
        </w:trPr>
        <w:tc>
          <w:tcPr>
            <w:tcW w:w="2399" w:type="dxa"/>
            <w:tcBorders>
              <w:top w:val="nil"/>
              <w:left w:val="nil"/>
              <w:bottom w:val="nil"/>
              <w:right w:val="nil"/>
            </w:tcBorders>
            <w:vAlign w:val="center"/>
          </w:tcPr>
          <w:p w:rsidR="0073298C" w:rsidRDefault="0073298C" w:rsidP="0073298C">
            <w:pPr>
              <w:rPr>
                <w:sz w:val="16"/>
                <w:szCs w:val="16"/>
              </w:rPr>
            </w:pPr>
            <w:r>
              <w:rPr>
                <w:sz w:val="16"/>
                <w:szCs w:val="16"/>
              </w:rPr>
              <w:t> </w:t>
            </w:r>
          </w:p>
        </w:tc>
        <w:tc>
          <w:tcPr>
            <w:tcW w:w="120" w:type="dxa"/>
            <w:tcBorders>
              <w:top w:val="nil"/>
              <w:left w:val="nil"/>
              <w:bottom w:val="nil"/>
              <w:right w:val="nil"/>
            </w:tcBorders>
            <w:vAlign w:val="center"/>
          </w:tcPr>
          <w:p w:rsidR="0073298C" w:rsidRDefault="0073298C" w:rsidP="0073298C">
            <w:pPr>
              <w:rPr>
                <w:sz w:val="16"/>
                <w:szCs w:val="16"/>
              </w:rPr>
            </w:pPr>
            <w:r>
              <w:rPr>
                <w:sz w:val="16"/>
                <w:szCs w:val="16"/>
              </w:rPr>
              <w:t> </w:t>
            </w:r>
          </w:p>
        </w:tc>
        <w:tc>
          <w:tcPr>
            <w:tcW w:w="1051" w:type="dxa"/>
            <w:tcBorders>
              <w:top w:val="nil"/>
              <w:left w:val="nil"/>
              <w:bottom w:val="nil"/>
              <w:right w:val="nil"/>
            </w:tcBorders>
            <w:vAlign w:val="center"/>
          </w:tcPr>
          <w:p w:rsidR="0073298C" w:rsidRDefault="0073298C" w:rsidP="0073298C">
            <w:pPr>
              <w:rPr>
                <w:sz w:val="16"/>
                <w:szCs w:val="16"/>
              </w:rPr>
            </w:pPr>
            <w:r>
              <w:rPr>
                <w:sz w:val="16"/>
                <w:szCs w:val="16"/>
              </w:rPr>
              <w:t> </w:t>
            </w:r>
          </w:p>
        </w:tc>
        <w:tc>
          <w:tcPr>
            <w:tcW w:w="106" w:type="dxa"/>
            <w:tcBorders>
              <w:top w:val="nil"/>
              <w:left w:val="nil"/>
              <w:bottom w:val="nil"/>
              <w:right w:val="nil"/>
            </w:tcBorders>
            <w:vAlign w:val="center"/>
          </w:tcPr>
          <w:p w:rsidR="0073298C" w:rsidRDefault="0073298C" w:rsidP="0073298C">
            <w:pPr>
              <w:rPr>
                <w:sz w:val="16"/>
                <w:szCs w:val="16"/>
              </w:rPr>
            </w:pPr>
            <w:r>
              <w:rPr>
                <w:sz w:val="16"/>
                <w:szCs w:val="16"/>
              </w:rPr>
              <w:t> </w:t>
            </w:r>
          </w:p>
        </w:tc>
        <w:tc>
          <w:tcPr>
            <w:tcW w:w="105" w:type="dxa"/>
            <w:tcBorders>
              <w:top w:val="nil"/>
              <w:left w:val="nil"/>
              <w:bottom w:val="nil"/>
              <w:right w:val="nil"/>
            </w:tcBorders>
            <w:vAlign w:val="center"/>
          </w:tcPr>
          <w:p w:rsidR="0073298C" w:rsidRDefault="0073298C" w:rsidP="0073298C">
            <w:pPr>
              <w:rPr>
                <w:sz w:val="16"/>
                <w:szCs w:val="16"/>
              </w:rPr>
            </w:pPr>
            <w:r>
              <w:rPr>
                <w:sz w:val="16"/>
                <w:szCs w:val="16"/>
              </w:rPr>
              <w:t> </w:t>
            </w:r>
          </w:p>
        </w:tc>
        <w:tc>
          <w:tcPr>
            <w:tcW w:w="1138" w:type="dxa"/>
            <w:tcBorders>
              <w:top w:val="nil"/>
              <w:left w:val="nil"/>
              <w:bottom w:val="nil"/>
              <w:right w:val="nil"/>
            </w:tcBorders>
            <w:vAlign w:val="center"/>
          </w:tcPr>
          <w:p w:rsidR="0073298C" w:rsidRDefault="0073298C" w:rsidP="0073298C">
            <w:pPr>
              <w:rPr>
                <w:sz w:val="16"/>
                <w:szCs w:val="16"/>
              </w:rPr>
            </w:pPr>
            <w:r>
              <w:rPr>
                <w:sz w:val="16"/>
                <w:szCs w:val="16"/>
              </w:rPr>
              <w:t> </w:t>
            </w:r>
          </w:p>
        </w:tc>
        <w:tc>
          <w:tcPr>
            <w:tcW w:w="239" w:type="dxa"/>
            <w:tcBorders>
              <w:top w:val="nil"/>
              <w:left w:val="nil"/>
              <w:bottom w:val="nil"/>
              <w:right w:val="nil"/>
            </w:tcBorders>
            <w:vAlign w:val="center"/>
          </w:tcPr>
          <w:p w:rsidR="0073298C" w:rsidRDefault="0073298C" w:rsidP="0073298C">
            <w:pPr>
              <w:rPr>
                <w:sz w:val="16"/>
                <w:szCs w:val="16"/>
              </w:rPr>
            </w:pPr>
            <w:r>
              <w:rPr>
                <w:sz w:val="16"/>
                <w:szCs w:val="16"/>
              </w:rPr>
              <w:t> </w:t>
            </w:r>
          </w:p>
        </w:tc>
        <w:tc>
          <w:tcPr>
            <w:tcW w:w="105" w:type="dxa"/>
            <w:tcBorders>
              <w:top w:val="nil"/>
              <w:left w:val="nil"/>
              <w:bottom w:val="nil"/>
              <w:right w:val="nil"/>
            </w:tcBorders>
            <w:vAlign w:val="center"/>
          </w:tcPr>
          <w:p w:rsidR="0073298C" w:rsidRDefault="0073298C" w:rsidP="0073298C">
            <w:pPr>
              <w:rPr>
                <w:sz w:val="16"/>
                <w:szCs w:val="16"/>
              </w:rPr>
            </w:pPr>
            <w:r>
              <w:rPr>
                <w:sz w:val="16"/>
                <w:szCs w:val="16"/>
              </w:rPr>
              <w:t> </w:t>
            </w:r>
          </w:p>
        </w:tc>
        <w:tc>
          <w:tcPr>
            <w:tcW w:w="120" w:type="dxa"/>
            <w:tcBorders>
              <w:top w:val="nil"/>
              <w:left w:val="nil"/>
              <w:bottom w:val="nil"/>
              <w:right w:val="nil"/>
            </w:tcBorders>
            <w:vAlign w:val="center"/>
          </w:tcPr>
          <w:p w:rsidR="0073298C" w:rsidRDefault="0073298C" w:rsidP="0073298C">
            <w:pPr>
              <w:rPr>
                <w:sz w:val="16"/>
                <w:szCs w:val="16"/>
              </w:rPr>
            </w:pPr>
            <w:r>
              <w:rPr>
                <w:sz w:val="16"/>
                <w:szCs w:val="16"/>
              </w:rPr>
              <w:t> </w:t>
            </w:r>
          </w:p>
        </w:tc>
        <w:tc>
          <w:tcPr>
            <w:tcW w:w="1051" w:type="dxa"/>
            <w:tcBorders>
              <w:top w:val="nil"/>
              <w:left w:val="nil"/>
              <w:bottom w:val="nil"/>
              <w:right w:val="nil"/>
            </w:tcBorders>
            <w:vAlign w:val="center"/>
          </w:tcPr>
          <w:p w:rsidR="0073298C" w:rsidRDefault="0073298C" w:rsidP="0073298C">
            <w:pPr>
              <w:rPr>
                <w:sz w:val="16"/>
                <w:szCs w:val="16"/>
              </w:rPr>
            </w:pPr>
            <w:r>
              <w:rPr>
                <w:sz w:val="16"/>
                <w:szCs w:val="16"/>
              </w:rPr>
              <w:t> </w:t>
            </w:r>
          </w:p>
        </w:tc>
        <w:tc>
          <w:tcPr>
            <w:tcW w:w="104" w:type="dxa"/>
            <w:tcBorders>
              <w:top w:val="nil"/>
              <w:left w:val="nil"/>
              <w:bottom w:val="nil"/>
              <w:right w:val="nil"/>
            </w:tcBorders>
            <w:vAlign w:val="center"/>
          </w:tcPr>
          <w:p w:rsidR="0073298C" w:rsidRDefault="0073298C" w:rsidP="0073298C">
            <w:pPr>
              <w:rPr>
                <w:sz w:val="16"/>
                <w:szCs w:val="16"/>
              </w:rPr>
            </w:pPr>
            <w:r>
              <w:rPr>
                <w:sz w:val="16"/>
                <w:szCs w:val="16"/>
              </w:rPr>
              <w:t> </w:t>
            </w:r>
          </w:p>
        </w:tc>
        <w:tc>
          <w:tcPr>
            <w:tcW w:w="105" w:type="dxa"/>
            <w:tcBorders>
              <w:top w:val="nil"/>
              <w:left w:val="nil"/>
              <w:bottom w:val="nil"/>
              <w:right w:val="nil"/>
            </w:tcBorders>
            <w:vAlign w:val="center"/>
          </w:tcPr>
          <w:p w:rsidR="0073298C" w:rsidRDefault="0073298C" w:rsidP="0073298C">
            <w:pPr>
              <w:rPr>
                <w:sz w:val="16"/>
                <w:szCs w:val="16"/>
              </w:rPr>
            </w:pPr>
            <w:r>
              <w:rPr>
                <w:sz w:val="16"/>
                <w:szCs w:val="16"/>
              </w:rPr>
              <w:t> </w:t>
            </w:r>
          </w:p>
        </w:tc>
        <w:tc>
          <w:tcPr>
            <w:tcW w:w="1152" w:type="dxa"/>
            <w:tcBorders>
              <w:top w:val="nil"/>
              <w:left w:val="nil"/>
              <w:bottom w:val="nil"/>
              <w:right w:val="nil"/>
            </w:tcBorders>
            <w:vAlign w:val="center"/>
          </w:tcPr>
          <w:p w:rsidR="0073298C" w:rsidRDefault="0073298C" w:rsidP="0073298C">
            <w:pPr>
              <w:rPr>
                <w:sz w:val="16"/>
                <w:szCs w:val="16"/>
              </w:rPr>
            </w:pPr>
            <w:r>
              <w:rPr>
                <w:sz w:val="16"/>
                <w:szCs w:val="16"/>
              </w:rPr>
              <w:t> </w:t>
            </w:r>
          </w:p>
        </w:tc>
        <w:tc>
          <w:tcPr>
            <w:tcW w:w="180" w:type="dxa"/>
            <w:tcBorders>
              <w:top w:val="nil"/>
              <w:left w:val="nil"/>
              <w:bottom w:val="nil"/>
              <w:right w:val="nil"/>
            </w:tcBorders>
            <w:vAlign w:val="center"/>
          </w:tcPr>
          <w:p w:rsidR="0073298C" w:rsidRDefault="0073298C" w:rsidP="0073298C">
            <w:pPr>
              <w:rPr>
                <w:sz w:val="16"/>
                <w:szCs w:val="16"/>
              </w:rPr>
            </w:pPr>
            <w:r>
              <w:rPr>
                <w:sz w:val="16"/>
                <w:szCs w:val="16"/>
              </w:rPr>
              <w:t> </w:t>
            </w:r>
          </w:p>
        </w:tc>
        <w:tc>
          <w:tcPr>
            <w:tcW w:w="105" w:type="dxa"/>
            <w:tcBorders>
              <w:top w:val="nil"/>
              <w:left w:val="nil"/>
              <w:bottom w:val="nil"/>
              <w:right w:val="nil"/>
            </w:tcBorders>
            <w:vAlign w:val="center"/>
          </w:tcPr>
          <w:p w:rsidR="0073298C" w:rsidRDefault="0073298C" w:rsidP="0073298C">
            <w:pPr>
              <w:rPr>
                <w:sz w:val="16"/>
                <w:szCs w:val="16"/>
              </w:rPr>
            </w:pPr>
            <w:r>
              <w:rPr>
                <w:sz w:val="16"/>
                <w:szCs w:val="16"/>
              </w:rPr>
              <w:t> </w:t>
            </w:r>
          </w:p>
        </w:tc>
        <w:tc>
          <w:tcPr>
            <w:tcW w:w="120" w:type="dxa"/>
            <w:tcBorders>
              <w:top w:val="nil"/>
              <w:left w:val="nil"/>
              <w:bottom w:val="nil"/>
              <w:right w:val="nil"/>
            </w:tcBorders>
            <w:vAlign w:val="center"/>
          </w:tcPr>
          <w:p w:rsidR="0073298C" w:rsidRDefault="0073298C" w:rsidP="0073298C">
            <w:pPr>
              <w:rPr>
                <w:sz w:val="16"/>
                <w:szCs w:val="16"/>
              </w:rPr>
            </w:pPr>
            <w:r>
              <w:rPr>
                <w:sz w:val="16"/>
                <w:szCs w:val="16"/>
              </w:rPr>
              <w:t> </w:t>
            </w:r>
          </w:p>
        </w:tc>
        <w:tc>
          <w:tcPr>
            <w:tcW w:w="1051" w:type="dxa"/>
            <w:tcBorders>
              <w:top w:val="nil"/>
              <w:left w:val="nil"/>
              <w:bottom w:val="nil"/>
              <w:right w:val="nil"/>
            </w:tcBorders>
            <w:vAlign w:val="center"/>
          </w:tcPr>
          <w:p w:rsidR="0073298C" w:rsidRDefault="0073298C" w:rsidP="0073298C">
            <w:pPr>
              <w:rPr>
                <w:sz w:val="16"/>
                <w:szCs w:val="16"/>
              </w:rPr>
            </w:pPr>
            <w:r>
              <w:rPr>
                <w:sz w:val="16"/>
                <w:szCs w:val="16"/>
              </w:rPr>
              <w:t> </w:t>
            </w:r>
          </w:p>
        </w:tc>
        <w:tc>
          <w:tcPr>
            <w:tcW w:w="104" w:type="dxa"/>
            <w:tcBorders>
              <w:top w:val="nil"/>
              <w:left w:val="nil"/>
              <w:bottom w:val="nil"/>
              <w:right w:val="nil"/>
            </w:tcBorders>
            <w:vAlign w:val="center"/>
          </w:tcPr>
          <w:p w:rsidR="0073298C" w:rsidRDefault="0073298C" w:rsidP="0073298C">
            <w:pPr>
              <w:rPr>
                <w:sz w:val="16"/>
                <w:szCs w:val="16"/>
              </w:rPr>
            </w:pPr>
            <w:r>
              <w:rPr>
                <w:sz w:val="16"/>
                <w:szCs w:val="16"/>
              </w:rPr>
              <w:t> </w:t>
            </w:r>
          </w:p>
        </w:tc>
        <w:tc>
          <w:tcPr>
            <w:tcW w:w="105" w:type="dxa"/>
            <w:tcBorders>
              <w:top w:val="nil"/>
              <w:left w:val="nil"/>
              <w:bottom w:val="nil"/>
              <w:right w:val="nil"/>
            </w:tcBorders>
            <w:vAlign w:val="center"/>
          </w:tcPr>
          <w:p w:rsidR="0073298C" w:rsidRDefault="0073298C" w:rsidP="0073298C">
            <w:pPr>
              <w:rPr>
                <w:sz w:val="16"/>
                <w:szCs w:val="16"/>
              </w:rPr>
            </w:pPr>
            <w:r>
              <w:rPr>
                <w:sz w:val="16"/>
                <w:szCs w:val="16"/>
              </w:rPr>
              <w:t> </w:t>
            </w:r>
          </w:p>
        </w:tc>
        <w:tc>
          <w:tcPr>
            <w:tcW w:w="1152" w:type="dxa"/>
            <w:tcBorders>
              <w:top w:val="nil"/>
              <w:left w:val="nil"/>
              <w:bottom w:val="nil"/>
              <w:right w:val="nil"/>
            </w:tcBorders>
            <w:vAlign w:val="center"/>
          </w:tcPr>
          <w:p w:rsidR="0073298C" w:rsidRDefault="0073298C" w:rsidP="0073298C">
            <w:pPr>
              <w:rPr>
                <w:sz w:val="16"/>
                <w:szCs w:val="16"/>
              </w:rPr>
            </w:pPr>
            <w:r>
              <w:rPr>
                <w:sz w:val="16"/>
                <w:szCs w:val="16"/>
              </w:rPr>
              <w:t> </w:t>
            </w:r>
          </w:p>
        </w:tc>
        <w:tc>
          <w:tcPr>
            <w:tcW w:w="188" w:type="dxa"/>
            <w:tcBorders>
              <w:top w:val="nil"/>
              <w:left w:val="nil"/>
              <w:bottom w:val="nil"/>
              <w:right w:val="nil"/>
            </w:tcBorders>
            <w:vAlign w:val="center"/>
          </w:tcPr>
          <w:p w:rsidR="0073298C" w:rsidRDefault="0073298C" w:rsidP="0073298C">
            <w:pPr>
              <w:rPr>
                <w:sz w:val="16"/>
                <w:szCs w:val="16"/>
              </w:rPr>
            </w:pPr>
            <w:r>
              <w:rPr>
                <w:sz w:val="16"/>
                <w:szCs w:val="16"/>
              </w:rPr>
              <w:t> </w:t>
            </w:r>
          </w:p>
        </w:tc>
      </w:tr>
      <w:tr w:rsidR="0073298C" w:rsidTr="0073298C">
        <w:tblPrEx>
          <w:tblCellMar>
            <w:top w:w="0" w:type="dxa"/>
            <w:left w:w="0" w:type="dxa"/>
            <w:bottom w:w="0" w:type="dxa"/>
            <w:right w:w="0" w:type="dxa"/>
          </w:tblCellMar>
        </w:tblPrEx>
        <w:trPr>
          <w:trHeight w:val="298"/>
          <w:jc w:val="center"/>
        </w:trPr>
        <w:tc>
          <w:tcPr>
            <w:tcW w:w="2399" w:type="dxa"/>
            <w:tcBorders>
              <w:top w:val="single" w:sz="6" w:space="0" w:color="00467E"/>
              <w:left w:val="single" w:sz="6" w:space="0" w:color="00467E"/>
              <w:bottom w:val="nil"/>
              <w:right w:val="nil"/>
            </w:tcBorders>
            <w:vAlign w:val="bottom"/>
          </w:tcPr>
          <w:p w:rsidR="0073298C" w:rsidRDefault="0073298C" w:rsidP="0073298C">
            <w:pPr>
              <w:spacing w:before="22" w:after="22"/>
              <w:ind w:left="22" w:right="22"/>
              <w:rPr>
                <w:color w:val="000000"/>
              </w:rPr>
            </w:pPr>
            <w:r>
              <w:rPr>
                <w:color w:val="000000"/>
              </w:rPr>
              <w:t> </w:t>
            </w:r>
          </w:p>
        </w:tc>
        <w:tc>
          <w:tcPr>
            <w:tcW w:w="2761" w:type="dxa"/>
            <w:gridSpan w:val="6"/>
            <w:tcBorders>
              <w:top w:val="single" w:sz="6" w:space="0" w:color="00467E"/>
              <w:left w:val="nil"/>
              <w:bottom w:val="single" w:sz="6" w:space="0" w:color="000000"/>
              <w:right w:val="nil"/>
            </w:tcBorders>
            <w:vAlign w:val="center"/>
          </w:tcPr>
          <w:p w:rsidR="0073298C" w:rsidRDefault="0073298C" w:rsidP="0073298C">
            <w:pPr>
              <w:spacing w:before="22" w:after="22"/>
              <w:ind w:left="22"/>
              <w:jc w:val="center"/>
              <w:rPr>
                <w:rFonts w:ascii="Arial" w:hAnsi="Arial" w:cs="Arial"/>
                <w:b/>
                <w:bCs w:val="0"/>
                <w:color w:val="000000"/>
                <w:sz w:val="14"/>
                <w:szCs w:val="14"/>
              </w:rPr>
            </w:pPr>
            <w:r>
              <w:rPr>
                <w:rFonts w:ascii="Arial" w:hAnsi="Arial" w:cs="Arial"/>
                <w:b/>
                <w:bCs w:val="0"/>
                <w:color w:val="000000"/>
                <w:sz w:val="14"/>
                <w:szCs w:val="14"/>
              </w:rPr>
              <w:t>2017</w:t>
            </w:r>
          </w:p>
        </w:tc>
        <w:tc>
          <w:tcPr>
            <w:tcW w:w="105" w:type="dxa"/>
            <w:tcBorders>
              <w:top w:val="single" w:sz="6" w:space="0" w:color="00467E"/>
              <w:left w:val="nil"/>
              <w:bottom w:val="nil"/>
              <w:right w:val="nil"/>
            </w:tcBorders>
            <w:vAlign w:val="bottom"/>
          </w:tcPr>
          <w:p w:rsidR="0073298C" w:rsidRDefault="0073298C" w:rsidP="0073298C">
            <w:pPr>
              <w:spacing w:before="22" w:after="22"/>
              <w:ind w:left="22" w:right="22"/>
              <w:rPr>
                <w:color w:val="000000"/>
              </w:rPr>
            </w:pPr>
            <w:r>
              <w:rPr>
                <w:color w:val="000000"/>
              </w:rPr>
              <w:t> </w:t>
            </w:r>
          </w:p>
        </w:tc>
        <w:tc>
          <w:tcPr>
            <w:tcW w:w="2713" w:type="dxa"/>
            <w:gridSpan w:val="6"/>
            <w:tcBorders>
              <w:top w:val="single" w:sz="6" w:space="0" w:color="00467E"/>
              <w:left w:val="nil"/>
              <w:bottom w:val="single" w:sz="6" w:space="0" w:color="000000"/>
              <w:right w:val="nil"/>
            </w:tcBorders>
            <w:vAlign w:val="center"/>
          </w:tcPr>
          <w:p w:rsidR="0073298C" w:rsidRDefault="0073298C" w:rsidP="0073298C">
            <w:pPr>
              <w:spacing w:before="22" w:after="22"/>
              <w:ind w:left="22"/>
              <w:jc w:val="center"/>
              <w:rPr>
                <w:rFonts w:ascii="Arial" w:hAnsi="Arial" w:cs="Arial"/>
                <w:b/>
                <w:bCs w:val="0"/>
                <w:color w:val="000000"/>
                <w:sz w:val="14"/>
                <w:szCs w:val="14"/>
              </w:rPr>
            </w:pPr>
            <w:r>
              <w:rPr>
                <w:rFonts w:ascii="Arial" w:hAnsi="Arial" w:cs="Arial"/>
                <w:b/>
                <w:bCs w:val="0"/>
                <w:color w:val="000000"/>
                <w:sz w:val="14"/>
                <w:szCs w:val="14"/>
              </w:rPr>
              <w:t>2016</w:t>
            </w:r>
          </w:p>
        </w:tc>
        <w:tc>
          <w:tcPr>
            <w:tcW w:w="105" w:type="dxa"/>
            <w:tcBorders>
              <w:top w:val="single" w:sz="6" w:space="0" w:color="00467E"/>
              <w:left w:val="nil"/>
              <w:bottom w:val="nil"/>
              <w:right w:val="nil"/>
            </w:tcBorders>
            <w:vAlign w:val="bottom"/>
          </w:tcPr>
          <w:p w:rsidR="0073298C" w:rsidRDefault="0073298C" w:rsidP="0073298C">
            <w:pPr>
              <w:spacing w:before="22" w:after="22"/>
              <w:ind w:left="22" w:right="22"/>
              <w:rPr>
                <w:color w:val="000000"/>
              </w:rPr>
            </w:pPr>
            <w:r>
              <w:rPr>
                <w:color w:val="000000"/>
              </w:rPr>
              <w:t> </w:t>
            </w:r>
          </w:p>
        </w:tc>
        <w:tc>
          <w:tcPr>
            <w:tcW w:w="2713" w:type="dxa"/>
            <w:gridSpan w:val="6"/>
            <w:tcBorders>
              <w:top w:val="single" w:sz="6" w:space="0" w:color="00467E"/>
              <w:left w:val="nil"/>
              <w:bottom w:val="single" w:sz="6" w:space="0" w:color="000000"/>
              <w:right w:val="single" w:sz="6" w:space="0" w:color="00467E"/>
            </w:tcBorders>
            <w:vAlign w:val="center"/>
          </w:tcPr>
          <w:p w:rsidR="0073298C" w:rsidRDefault="0073298C" w:rsidP="0073298C">
            <w:pPr>
              <w:spacing w:before="22" w:after="22"/>
              <w:ind w:left="22"/>
              <w:jc w:val="center"/>
              <w:rPr>
                <w:rFonts w:ascii="Arial" w:hAnsi="Arial" w:cs="Arial"/>
                <w:b/>
                <w:bCs w:val="0"/>
                <w:color w:val="000000"/>
                <w:sz w:val="14"/>
                <w:szCs w:val="14"/>
              </w:rPr>
            </w:pPr>
            <w:r>
              <w:rPr>
                <w:rFonts w:ascii="Arial" w:hAnsi="Arial" w:cs="Arial"/>
                <w:b/>
                <w:bCs w:val="0"/>
                <w:color w:val="000000"/>
                <w:sz w:val="14"/>
                <w:szCs w:val="14"/>
              </w:rPr>
              <w:t>2015</w:t>
            </w:r>
          </w:p>
        </w:tc>
      </w:tr>
      <w:tr w:rsidR="0073298C" w:rsidTr="0073298C">
        <w:tblPrEx>
          <w:tblCellMar>
            <w:top w:w="0" w:type="dxa"/>
            <w:left w:w="0" w:type="dxa"/>
            <w:bottom w:w="0" w:type="dxa"/>
            <w:right w:w="0" w:type="dxa"/>
          </w:tblCellMar>
        </w:tblPrEx>
        <w:trPr>
          <w:trHeight w:val="256"/>
          <w:jc w:val="center"/>
        </w:trPr>
        <w:tc>
          <w:tcPr>
            <w:tcW w:w="2399" w:type="dxa"/>
            <w:tcBorders>
              <w:top w:val="nil"/>
              <w:left w:val="single" w:sz="6" w:space="0" w:color="00467E"/>
              <w:bottom w:val="nil"/>
              <w:right w:val="nil"/>
            </w:tcBorders>
            <w:vAlign w:val="center"/>
          </w:tcPr>
          <w:p w:rsidR="0073298C" w:rsidRDefault="0073298C" w:rsidP="0073298C">
            <w:pPr>
              <w:spacing w:before="22" w:after="22"/>
              <w:ind w:left="22" w:right="22"/>
              <w:rPr>
                <w:rFonts w:ascii="Arial" w:hAnsi="Arial" w:cs="Arial"/>
                <w:b/>
                <w:bCs w:val="0"/>
                <w:i/>
                <w:iCs/>
                <w:color w:val="9D1B11"/>
                <w:sz w:val="18"/>
                <w:szCs w:val="18"/>
              </w:rPr>
            </w:pPr>
            <w:r>
              <w:rPr>
                <w:rFonts w:ascii="Arial" w:hAnsi="Arial" w:cs="Arial"/>
                <w:b/>
                <w:bCs w:val="0"/>
                <w:i/>
                <w:iCs/>
                <w:color w:val="9D1B11"/>
                <w:sz w:val="18"/>
                <w:szCs w:val="18"/>
              </w:rPr>
              <w:t>Operating income (loss):</w:t>
            </w:r>
          </w:p>
        </w:tc>
        <w:tc>
          <w:tcPr>
            <w:tcW w:w="8400" w:type="dxa"/>
            <w:gridSpan w:val="20"/>
            <w:tcBorders>
              <w:top w:val="single" w:sz="6" w:space="0" w:color="000000"/>
              <w:left w:val="nil"/>
              <w:bottom w:val="nil"/>
              <w:right w:val="single" w:sz="6" w:space="0" w:color="00467E"/>
            </w:tcBorders>
            <w:vAlign w:val="center"/>
          </w:tcPr>
          <w:p w:rsidR="0073298C" w:rsidRDefault="0073298C" w:rsidP="0073298C">
            <w:pPr>
              <w:spacing w:before="22" w:after="22"/>
              <w:ind w:left="22"/>
              <w:jc w:val="center"/>
              <w:rPr>
                <w:rFonts w:ascii="Arial" w:hAnsi="Arial" w:cs="Arial"/>
                <w:b/>
                <w:bCs w:val="0"/>
                <w:color w:val="000000"/>
                <w:sz w:val="14"/>
                <w:szCs w:val="14"/>
              </w:rPr>
            </w:pPr>
            <w:r>
              <w:rPr>
                <w:rFonts w:ascii="Arial" w:hAnsi="Arial" w:cs="Arial"/>
                <w:b/>
                <w:bCs w:val="0"/>
                <w:color w:val="000000"/>
                <w:sz w:val="14"/>
                <w:szCs w:val="14"/>
              </w:rPr>
              <w:t>(Dollars in thousands)</w:t>
            </w:r>
          </w:p>
        </w:tc>
      </w:tr>
      <w:tr w:rsidR="0073298C" w:rsidTr="0073298C">
        <w:tblPrEx>
          <w:tblCellMar>
            <w:top w:w="0" w:type="dxa"/>
            <w:left w:w="0" w:type="dxa"/>
            <w:bottom w:w="0" w:type="dxa"/>
            <w:right w:w="0" w:type="dxa"/>
          </w:tblCellMar>
        </w:tblPrEx>
        <w:trPr>
          <w:trHeight w:val="281"/>
          <w:jc w:val="center"/>
        </w:trPr>
        <w:tc>
          <w:tcPr>
            <w:tcW w:w="2399" w:type="dxa"/>
            <w:tcBorders>
              <w:top w:val="nil"/>
              <w:left w:val="single" w:sz="6" w:space="0" w:color="00467E"/>
              <w:bottom w:val="nil"/>
              <w:right w:val="nil"/>
            </w:tcBorders>
            <w:shd w:val="clear" w:color="CFD4D8" w:fill="CFD4D8"/>
            <w:vAlign w:val="center"/>
          </w:tcPr>
          <w:p w:rsidR="0073298C" w:rsidRDefault="0073298C" w:rsidP="0073298C">
            <w:pPr>
              <w:spacing w:before="22" w:after="22"/>
              <w:ind w:left="22" w:right="22"/>
              <w:rPr>
                <w:rFonts w:ascii="Arial" w:hAnsi="Arial" w:cs="Arial"/>
                <w:color w:val="000000"/>
                <w:sz w:val="16"/>
                <w:szCs w:val="16"/>
                <w:vertAlign w:val="superscript"/>
              </w:rPr>
            </w:pPr>
            <w:r>
              <w:rPr>
                <w:rFonts w:ascii="Arial" w:hAnsi="Arial" w:cs="Arial"/>
                <w:color w:val="000000"/>
                <w:sz w:val="18"/>
                <w:szCs w:val="18"/>
              </w:rPr>
              <w:t xml:space="preserve">Knight – Trucking </w:t>
            </w:r>
            <w:r>
              <w:rPr>
                <w:rFonts w:ascii="Arial" w:hAnsi="Arial" w:cs="Arial"/>
                <w:color w:val="000000"/>
                <w:sz w:val="16"/>
                <w:szCs w:val="16"/>
                <w:vertAlign w:val="superscript"/>
              </w:rPr>
              <w:t>(1)</w:t>
            </w:r>
          </w:p>
        </w:tc>
        <w:tc>
          <w:tcPr>
            <w:tcW w:w="120" w:type="dxa"/>
            <w:tcBorders>
              <w:top w:val="nil"/>
              <w:left w:val="nil"/>
              <w:bottom w:val="nil"/>
              <w:right w:val="nil"/>
            </w:tcBorders>
            <w:shd w:val="clear" w:color="CFD4D8" w:fill="CFD4D8"/>
            <w:vAlign w:val="center"/>
          </w:tcPr>
          <w:p w:rsidR="0073298C" w:rsidRDefault="0073298C" w:rsidP="0073298C">
            <w:pPr>
              <w:spacing w:before="22" w:after="22"/>
              <w:ind w:left="22"/>
              <w:rPr>
                <w:rFonts w:ascii="Arial" w:hAnsi="Arial" w:cs="Arial"/>
                <w:color w:val="000000"/>
                <w:sz w:val="18"/>
                <w:szCs w:val="18"/>
              </w:rPr>
            </w:pPr>
            <w:r>
              <w:rPr>
                <w:rFonts w:ascii="Arial" w:hAnsi="Arial" w:cs="Arial"/>
                <w:color w:val="000000"/>
                <w:sz w:val="18"/>
                <w:szCs w:val="18"/>
              </w:rPr>
              <w:t>$</w:t>
            </w:r>
          </w:p>
        </w:tc>
        <w:tc>
          <w:tcPr>
            <w:tcW w:w="1051" w:type="dxa"/>
            <w:tcBorders>
              <w:top w:val="nil"/>
              <w:left w:val="nil"/>
              <w:bottom w:val="nil"/>
              <w:right w:val="nil"/>
            </w:tcBorders>
            <w:shd w:val="clear" w:color="CFD4D8" w:fill="CFD4D8"/>
            <w:vAlign w:val="center"/>
          </w:tcPr>
          <w:p w:rsidR="0073298C" w:rsidRDefault="0073298C" w:rsidP="0073298C">
            <w:pPr>
              <w:spacing w:before="22" w:after="22"/>
              <w:jc w:val="right"/>
              <w:rPr>
                <w:rFonts w:ascii="Arial" w:hAnsi="Arial" w:cs="Arial"/>
                <w:color w:val="000000"/>
                <w:sz w:val="18"/>
                <w:szCs w:val="18"/>
              </w:rPr>
            </w:pPr>
            <w:r>
              <w:rPr>
                <w:rFonts w:ascii="Arial" w:hAnsi="Arial" w:cs="Arial"/>
                <w:color w:val="000000"/>
                <w:sz w:val="18"/>
                <w:szCs w:val="18"/>
              </w:rPr>
              <w:t>92,298</w:t>
            </w:r>
          </w:p>
        </w:tc>
        <w:tc>
          <w:tcPr>
            <w:tcW w:w="106" w:type="dxa"/>
            <w:tcBorders>
              <w:top w:val="nil"/>
              <w:left w:val="nil"/>
              <w:bottom w:val="nil"/>
              <w:right w:val="nil"/>
            </w:tcBorders>
            <w:shd w:val="clear" w:color="CFD4D8" w:fill="CFD4D8"/>
            <w:vAlign w:val="bottom"/>
          </w:tcPr>
          <w:p w:rsidR="0073298C" w:rsidRDefault="0073298C" w:rsidP="0073298C">
            <w:pPr>
              <w:spacing w:before="22" w:after="22"/>
              <w:jc w:val="right"/>
              <w:rPr>
                <w:rFonts w:ascii="Arial" w:hAnsi="Arial" w:cs="Arial"/>
                <w:color w:val="000000"/>
                <w:sz w:val="18"/>
                <w:szCs w:val="18"/>
              </w:rPr>
            </w:pPr>
          </w:p>
          <w:p w:rsidR="0073298C" w:rsidRDefault="0073298C" w:rsidP="0073298C">
            <w:pPr>
              <w:rPr>
                <w:sz w:val="16"/>
                <w:szCs w:val="16"/>
              </w:rPr>
            </w:pPr>
            <w:r>
              <w:rPr>
                <w:sz w:val="16"/>
                <w:szCs w:val="16"/>
              </w:rPr>
              <w:t> </w:t>
            </w:r>
          </w:p>
        </w:tc>
        <w:tc>
          <w:tcPr>
            <w:tcW w:w="105" w:type="dxa"/>
            <w:tcBorders>
              <w:top w:val="nil"/>
              <w:left w:val="nil"/>
              <w:bottom w:val="nil"/>
              <w:right w:val="nil"/>
            </w:tcBorders>
            <w:shd w:val="clear" w:color="CFD4D8" w:fill="CFD4D8"/>
            <w:vAlign w:val="bottom"/>
          </w:tcPr>
          <w:p w:rsidR="0073298C" w:rsidRDefault="0073298C" w:rsidP="0073298C">
            <w:pPr>
              <w:spacing w:before="22" w:after="22"/>
              <w:ind w:left="22" w:right="22"/>
              <w:rPr>
                <w:color w:val="000000"/>
              </w:rPr>
            </w:pPr>
            <w:r>
              <w:rPr>
                <w:color w:val="000000"/>
              </w:rPr>
              <w:t> </w:t>
            </w:r>
          </w:p>
        </w:tc>
        <w:tc>
          <w:tcPr>
            <w:tcW w:w="1138" w:type="dxa"/>
            <w:tcBorders>
              <w:top w:val="nil"/>
              <w:left w:val="nil"/>
              <w:bottom w:val="nil"/>
              <w:right w:val="nil"/>
            </w:tcBorders>
            <w:shd w:val="clear" w:color="CFD4D8" w:fill="CFD4D8"/>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46.0</w:t>
            </w:r>
          </w:p>
        </w:tc>
        <w:tc>
          <w:tcPr>
            <w:tcW w:w="239" w:type="dxa"/>
            <w:tcBorders>
              <w:top w:val="nil"/>
              <w:left w:val="nil"/>
              <w:bottom w:val="nil"/>
              <w:right w:val="nil"/>
            </w:tcBorders>
            <w:shd w:val="clear" w:color="CFD4D8" w:fill="CFD4D8"/>
            <w:vAlign w:val="center"/>
          </w:tcPr>
          <w:p w:rsidR="0073298C" w:rsidRDefault="0073298C" w:rsidP="0073298C">
            <w:pPr>
              <w:spacing w:before="22" w:after="22"/>
              <w:ind w:right="22"/>
              <w:rPr>
                <w:rFonts w:ascii="Arial" w:hAnsi="Arial" w:cs="Arial"/>
                <w:color w:val="000000"/>
                <w:sz w:val="18"/>
                <w:szCs w:val="18"/>
              </w:rPr>
            </w:pPr>
            <w:r>
              <w:rPr>
                <w:rFonts w:ascii="Arial" w:hAnsi="Arial" w:cs="Arial"/>
                <w:color w:val="000000"/>
                <w:sz w:val="18"/>
                <w:szCs w:val="18"/>
              </w:rPr>
              <w:t> %</w:t>
            </w:r>
          </w:p>
        </w:tc>
        <w:tc>
          <w:tcPr>
            <w:tcW w:w="105" w:type="dxa"/>
            <w:tcBorders>
              <w:top w:val="nil"/>
              <w:left w:val="nil"/>
              <w:bottom w:val="nil"/>
              <w:right w:val="nil"/>
            </w:tcBorders>
            <w:shd w:val="clear" w:color="CFD4D8" w:fill="CFD4D8"/>
            <w:vAlign w:val="bottom"/>
          </w:tcPr>
          <w:p w:rsidR="0073298C" w:rsidRDefault="0073298C" w:rsidP="0073298C">
            <w:pPr>
              <w:spacing w:before="22" w:after="22"/>
              <w:ind w:left="22" w:right="22"/>
              <w:rPr>
                <w:color w:val="000000"/>
              </w:rPr>
            </w:pPr>
            <w:r>
              <w:rPr>
                <w:color w:val="000000"/>
              </w:rPr>
              <w:t> </w:t>
            </w:r>
          </w:p>
        </w:tc>
        <w:tc>
          <w:tcPr>
            <w:tcW w:w="120" w:type="dxa"/>
            <w:tcBorders>
              <w:top w:val="nil"/>
              <w:left w:val="nil"/>
              <w:bottom w:val="nil"/>
              <w:right w:val="nil"/>
            </w:tcBorders>
            <w:shd w:val="clear" w:color="CFD4D8" w:fill="CFD4D8"/>
            <w:vAlign w:val="center"/>
          </w:tcPr>
          <w:p w:rsidR="0073298C" w:rsidRDefault="0073298C" w:rsidP="0073298C">
            <w:pPr>
              <w:spacing w:before="22" w:after="22"/>
              <w:ind w:left="22"/>
              <w:rPr>
                <w:rFonts w:ascii="Arial" w:hAnsi="Arial" w:cs="Arial"/>
                <w:color w:val="000000"/>
                <w:sz w:val="18"/>
                <w:szCs w:val="18"/>
              </w:rPr>
            </w:pPr>
            <w:r>
              <w:rPr>
                <w:rFonts w:ascii="Arial" w:hAnsi="Arial" w:cs="Arial"/>
                <w:color w:val="000000"/>
                <w:sz w:val="18"/>
                <w:szCs w:val="18"/>
              </w:rPr>
              <w:t>$</w:t>
            </w:r>
          </w:p>
        </w:tc>
        <w:tc>
          <w:tcPr>
            <w:tcW w:w="1051" w:type="dxa"/>
            <w:tcBorders>
              <w:top w:val="nil"/>
              <w:left w:val="nil"/>
              <w:bottom w:val="nil"/>
              <w:right w:val="nil"/>
            </w:tcBorders>
            <w:shd w:val="clear" w:color="CFD4D8" w:fill="CFD4D8"/>
            <w:vAlign w:val="center"/>
          </w:tcPr>
          <w:p w:rsidR="0073298C" w:rsidRDefault="0073298C" w:rsidP="0073298C">
            <w:pPr>
              <w:spacing w:before="22" w:after="22"/>
              <w:jc w:val="right"/>
              <w:rPr>
                <w:rFonts w:ascii="Arial" w:hAnsi="Arial" w:cs="Arial"/>
                <w:color w:val="000000"/>
                <w:sz w:val="18"/>
                <w:szCs w:val="18"/>
              </w:rPr>
            </w:pPr>
            <w:r>
              <w:rPr>
                <w:rFonts w:ascii="Arial" w:hAnsi="Arial" w:cs="Arial"/>
                <w:color w:val="000000"/>
                <w:sz w:val="18"/>
                <w:szCs w:val="18"/>
              </w:rPr>
              <w:t>136,229</w:t>
            </w:r>
          </w:p>
        </w:tc>
        <w:tc>
          <w:tcPr>
            <w:tcW w:w="104" w:type="dxa"/>
            <w:tcBorders>
              <w:top w:val="nil"/>
              <w:left w:val="nil"/>
              <w:bottom w:val="nil"/>
              <w:right w:val="nil"/>
            </w:tcBorders>
            <w:shd w:val="clear" w:color="CFD4D8" w:fill="CFD4D8"/>
            <w:vAlign w:val="bottom"/>
          </w:tcPr>
          <w:p w:rsidR="0073298C" w:rsidRDefault="0073298C" w:rsidP="0073298C">
            <w:pPr>
              <w:spacing w:before="22" w:after="22"/>
              <w:jc w:val="right"/>
              <w:rPr>
                <w:rFonts w:ascii="Arial" w:hAnsi="Arial" w:cs="Arial"/>
                <w:color w:val="000000"/>
                <w:sz w:val="18"/>
                <w:szCs w:val="18"/>
              </w:rPr>
            </w:pPr>
          </w:p>
          <w:p w:rsidR="0073298C" w:rsidRDefault="0073298C" w:rsidP="0073298C">
            <w:pPr>
              <w:rPr>
                <w:sz w:val="16"/>
                <w:szCs w:val="16"/>
              </w:rPr>
            </w:pPr>
            <w:r>
              <w:rPr>
                <w:sz w:val="16"/>
                <w:szCs w:val="16"/>
              </w:rPr>
              <w:t> </w:t>
            </w:r>
          </w:p>
        </w:tc>
        <w:tc>
          <w:tcPr>
            <w:tcW w:w="105" w:type="dxa"/>
            <w:tcBorders>
              <w:top w:val="nil"/>
              <w:left w:val="nil"/>
              <w:bottom w:val="nil"/>
              <w:right w:val="nil"/>
            </w:tcBorders>
            <w:shd w:val="clear" w:color="CFD4D8" w:fill="CFD4D8"/>
            <w:vAlign w:val="bottom"/>
          </w:tcPr>
          <w:p w:rsidR="0073298C" w:rsidRDefault="0073298C" w:rsidP="0073298C">
            <w:pPr>
              <w:spacing w:before="22" w:after="22"/>
              <w:ind w:left="22" w:right="22"/>
              <w:rPr>
                <w:color w:val="000000"/>
              </w:rPr>
            </w:pPr>
            <w:r>
              <w:rPr>
                <w:color w:val="000000"/>
              </w:rPr>
              <w:t> </w:t>
            </w:r>
          </w:p>
        </w:tc>
        <w:tc>
          <w:tcPr>
            <w:tcW w:w="1152" w:type="dxa"/>
            <w:tcBorders>
              <w:top w:val="nil"/>
              <w:left w:val="nil"/>
              <w:bottom w:val="nil"/>
              <w:right w:val="nil"/>
            </w:tcBorders>
            <w:shd w:val="clear" w:color="CFD4D8" w:fill="CFD4D8"/>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91.7</w:t>
            </w:r>
          </w:p>
        </w:tc>
        <w:tc>
          <w:tcPr>
            <w:tcW w:w="180" w:type="dxa"/>
            <w:tcBorders>
              <w:top w:val="nil"/>
              <w:left w:val="nil"/>
              <w:bottom w:val="nil"/>
              <w:right w:val="nil"/>
            </w:tcBorders>
            <w:shd w:val="clear" w:color="CFD4D8" w:fill="CFD4D8"/>
            <w:vAlign w:val="center"/>
          </w:tcPr>
          <w:p w:rsidR="0073298C" w:rsidRDefault="0073298C" w:rsidP="0073298C">
            <w:pPr>
              <w:spacing w:before="22" w:after="22"/>
              <w:ind w:right="22"/>
              <w:rPr>
                <w:rFonts w:ascii="Arial" w:hAnsi="Arial" w:cs="Arial"/>
                <w:color w:val="000000"/>
                <w:sz w:val="18"/>
                <w:szCs w:val="18"/>
              </w:rPr>
            </w:pPr>
            <w:r>
              <w:rPr>
                <w:rFonts w:ascii="Arial" w:hAnsi="Arial" w:cs="Arial"/>
                <w:color w:val="000000"/>
                <w:sz w:val="18"/>
                <w:szCs w:val="18"/>
              </w:rPr>
              <w:t>%</w:t>
            </w:r>
          </w:p>
        </w:tc>
        <w:tc>
          <w:tcPr>
            <w:tcW w:w="105" w:type="dxa"/>
            <w:tcBorders>
              <w:top w:val="nil"/>
              <w:left w:val="nil"/>
              <w:bottom w:val="nil"/>
              <w:right w:val="nil"/>
            </w:tcBorders>
            <w:shd w:val="clear" w:color="CFD4D8" w:fill="CFD4D8"/>
            <w:vAlign w:val="bottom"/>
          </w:tcPr>
          <w:p w:rsidR="0073298C" w:rsidRDefault="0073298C" w:rsidP="0073298C">
            <w:pPr>
              <w:spacing w:before="22" w:after="22"/>
              <w:ind w:left="22" w:right="22"/>
              <w:rPr>
                <w:color w:val="000000"/>
              </w:rPr>
            </w:pPr>
            <w:r>
              <w:rPr>
                <w:color w:val="000000"/>
              </w:rPr>
              <w:t> </w:t>
            </w:r>
          </w:p>
        </w:tc>
        <w:tc>
          <w:tcPr>
            <w:tcW w:w="120" w:type="dxa"/>
            <w:tcBorders>
              <w:top w:val="nil"/>
              <w:left w:val="nil"/>
              <w:bottom w:val="nil"/>
              <w:right w:val="nil"/>
            </w:tcBorders>
            <w:shd w:val="clear" w:color="CFD4D8" w:fill="CFD4D8"/>
            <w:vAlign w:val="center"/>
          </w:tcPr>
          <w:p w:rsidR="0073298C" w:rsidRDefault="0073298C" w:rsidP="0073298C">
            <w:pPr>
              <w:spacing w:before="22" w:after="22"/>
              <w:ind w:left="22"/>
              <w:rPr>
                <w:rFonts w:ascii="Arial" w:hAnsi="Arial" w:cs="Arial"/>
                <w:color w:val="000000"/>
                <w:sz w:val="18"/>
                <w:szCs w:val="18"/>
              </w:rPr>
            </w:pPr>
            <w:r>
              <w:rPr>
                <w:rFonts w:ascii="Arial" w:hAnsi="Arial" w:cs="Arial"/>
                <w:color w:val="000000"/>
                <w:sz w:val="18"/>
                <w:szCs w:val="18"/>
              </w:rPr>
              <w:t>$</w:t>
            </w:r>
          </w:p>
        </w:tc>
        <w:tc>
          <w:tcPr>
            <w:tcW w:w="1051" w:type="dxa"/>
            <w:tcBorders>
              <w:top w:val="nil"/>
              <w:left w:val="nil"/>
              <w:bottom w:val="nil"/>
              <w:right w:val="nil"/>
            </w:tcBorders>
            <w:shd w:val="clear" w:color="CFD4D8" w:fill="CFD4D8"/>
            <w:vAlign w:val="center"/>
          </w:tcPr>
          <w:p w:rsidR="0073298C" w:rsidRDefault="0073298C" w:rsidP="0073298C">
            <w:pPr>
              <w:spacing w:before="22" w:after="22"/>
              <w:jc w:val="right"/>
              <w:rPr>
                <w:rFonts w:ascii="Arial" w:hAnsi="Arial" w:cs="Arial"/>
                <w:color w:val="000000"/>
                <w:sz w:val="18"/>
                <w:szCs w:val="18"/>
              </w:rPr>
            </w:pPr>
            <w:r>
              <w:rPr>
                <w:rFonts w:ascii="Arial" w:hAnsi="Arial" w:cs="Arial"/>
                <w:color w:val="000000"/>
                <w:sz w:val="18"/>
                <w:szCs w:val="18"/>
              </w:rPr>
              <w:t>162,143</w:t>
            </w:r>
          </w:p>
        </w:tc>
        <w:tc>
          <w:tcPr>
            <w:tcW w:w="104" w:type="dxa"/>
            <w:tcBorders>
              <w:top w:val="nil"/>
              <w:left w:val="nil"/>
              <w:bottom w:val="nil"/>
              <w:right w:val="nil"/>
            </w:tcBorders>
            <w:shd w:val="clear" w:color="CFD4D8" w:fill="CFD4D8"/>
            <w:vAlign w:val="bottom"/>
          </w:tcPr>
          <w:p w:rsidR="0073298C" w:rsidRDefault="0073298C" w:rsidP="0073298C">
            <w:pPr>
              <w:spacing w:before="22" w:after="22"/>
              <w:jc w:val="right"/>
              <w:rPr>
                <w:rFonts w:ascii="Arial" w:hAnsi="Arial" w:cs="Arial"/>
                <w:color w:val="000000"/>
                <w:sz w:val="18"/>
                <w:szCs w:val="18"/>
              </w:rPr>
            </w:pPr>
          </w:p>
          <w:p w:rsidR="0073298C" w:rsidRDefault="0073298C" w:rsidP="0073298C">
            <w:pPr>
              <w:rPr>
                <w:sz w:val="16"/>
                <w:szCs w:val="16"/>
              </w:rPr>
            </w:pPr>
            <w:r>
              <w:rPr>
                <w:sz w:val="16"/>
                <w:szCs w:val="16"/>
              </w:rPr>
              <w:t> </w:t>
            </w:r>
          </w:p>
        </w:tc>
        <w:tc>
          <w:tcPr>
            <w:tcW w:w="105" w:type="dxa"/>
            <w:tcBorders>
              <w:top w:val="nil"/>
              <w:left w:val="nil"/>
              <w:bottom w:val="nil"/>
              <w:right w:val="nil"/>
            </w:tcBorders>
            <w:shd w:val="clear" w:color="CFD4D8" w:fill="CFD4D8"/>
            <w:vAlign w:val="bottom"/>
          </w:tcPr>
          <w:p w:rsidR="0073298C" w:rsidRDefault="0073298C" w:rsidP="0073298C">
            <w:pPr>
              <w:spacing w:before="22" w:after="22"/>
              <w:ind w:left="22" w:right="22"/>
              <w:rPr>
                <w:color w:val="000000"/>
              </w:rPr>
            </w:pPr>
            <w:r>
              <w:rPr>
                <w:color w:val="000000"/>
              </w:rPr>
              <w:t> </w:t>
            </w:r>
          </w:p>
        </w:tc>
        <w:tc>
          <w:tcPr>
            <w:tcW w:w="1152" w:type="dxa"/>
            <w:tcBorders>
              <w:top w:val="nil"/>
              <w:left w:val="nil"/>
              <w:bottom w:val="nil"/>
              <w:right w:val="nil"/>
            </w:tcBorders>
            <w:shd w:val="clear" w:color="CFD4D8" w:fill="CFD4D8"/>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91.1</w:t>
            </w:r>
          </w:p>
        </w:tc>
        <w:tc>
          <w:tcPr>
            <w:tcW w:w="188" w:type="dxa"/>
            <w:tcBorders>
              <w:top w:val="nil"/>
              <w:left w:val="nil"/>
              <w:bottom w:val="nil"/>
              <w:right w:val="single" w:sz="6" w:space="0" w:color="00467E"/>
            </w:tcBorders>
            <w:shd w:val="clear" w:color="CFD4D8" w:fill="CFD4D8"/>
            <w:vAlign w:val="center"/>
          </w:tcPr>
          <w:p w:rsidR="0073298C" w:rsidRDefault="0073298C" w:rsidP="0073298C">
            <w:pPr>
              <w:spacing w:before="22" w:after="22"/>
              <w:ind w:right="22"/>
              <w:rPr>
                <w:rFonts w:ascii="Arial" w:hAnsi="Arial" w:cs="Arial"/>
                <w:color w:val="000000"/>
                <w:sz w:val="18"/>
                <w:szCs w:val="18"/>
              </w:rPr>
            </w:pPr>
            <w:r>
              <w:rPr>
                <w:rFonts w:ascii="Arial" w:hAnsi="Arial" w:cs="Arial"/>
                <w:color w:val="000000"/>
                <w:sz w:val="18"/>
                <w:szCs w:val="18"/>
              </w:rPr>
              <w:t>%</w:t>
            </w:r>
          </w:p>
        </w:tc>
      </w:tr>
      <w:tr w:rsidR="0073298C" w:rsidTr="0073298C">
        <w:tblPrEx>
          <w:tblCellMar>
            <w:top w:w="0" w:type="dxa"/>
            <w:left w:w="0" w:type="dxa"/>
            <w:bottom w:w="0" w:type="dxa"/>
            <w:right w:w="0" w:type="dxa"/>
          </w:tblCellMar>
        </w:tblPrEx>
        <w:trPr>
          <w:trHeight w:val="281"/>
          <w:jc w:val="center"/>
        </w:trPr>
        <w:tc>
          <w:tcPr>
            <w:tcW w:w="2399" w:type="dxa"/>
            <w:tcBorders>
              <w:top w:val="nil"/>
              <w:left w:val="single" w:sz="6" w:space="0" w:color="00467E"/>
              <w:bottom w:val="nil"/>
              <w:right w:val="nil"/>
            </w:tcBorders>
            <w:vAlign w:val="center"/>
          </w:tcPr>
          <w:p w:rsidR="0073298C" w:rsidRDefault="0073298C" w:rsidP="0073298C">
            <w:pPr>
              <w:spacing w:before="22" w:after="22"/>
              <w:ind w:left="22" w:right="22"/>
              <w:rPr>
                <w:rFonts w:ascii="Arial" w:hAnsi="Arial" w:cs="Arial"/>
                <w:color w:val="000000"/>
                <w:sz w:val="18"/>
                <w:szCs w:val="18"/>
              </w:rPr>
            </w:pPr>
            <w:r>
              <w:rPr>
                <w:rFonts w:ascii="Arial" w:hAnsi="Arial" w:cs="Arial"/>
                <w:color w:val="000000"/>
                <w:sz w:val="18"/>
                <w:szCs w:val="18"/>
              </w:rPr>
              <w:t>Knight – Logistics</w:t>
            </w:r>
          </w:p>
        </w:tc>
        <w:tc>
          <w:tcPr>
            <w:tcW w:w="120" w:type="dxa"/>
            <w:tcBorders>
              <w:top w:val="nil"/>
              <w:left w:val="nil"/>
              <w:bottom w:val="nil"/>
              <w:right w:val="nil"/>
            </w:tcBorders>
            <w:vAlign w:val="center"/>
          </w:tcPr>
          <w:p w:rsidR="0073298C" w:rsidRDefault="0073298C" w:rsidP="0073298C">
            <w:pPr>
              <w:spacing w:before="22" w:after="22"/>
              <w:ind w:left="22"/>
              <w:rPr>
                <w:rFonts w:ascii="Arial" w:hAnsi="Arial" w:cs="Arial"/>
                <w:color w:val="000000"/>
                <w:sz w:val="18"/>
                <w:szCs w:val="18"/>
              </w:rPr>
            </w:pPr>
            <w:r>
              <w:rPr>
                <w:rFonts w:ascii="Arial" w:hAnsi="Arial" w:cs="Arial"/>
                <w:color w:val="000000"/>
                <w:sz w:val="18"/>
                <w:szCs w:val="18"/>
              </w:rPr>
              <w:t>$</w:t>
            </w:r>
          </w:p>
        </w:tc>
        <w:tc>
          <w:tcPr>
            <w:tcW w:w="1051" w:type="dxa"/>
            <w:tcBorders>
              <w:top w:val="nil"/>
              <w:left w:val="nil"/>
              <w:bottom w:val="nil"/>
              <w:right w:val="nil"/>
            </w:tcBorders>
            <w:vAlign w:val="center"/>
          </w:tcPr>
          <w:p w:rsidR="0073298C" w:rsidRDefault="0073298C" w:rsidP="0073298C">
            <w:pPr>
              <w:spacing w:before="22" w:after="22"/>
              <w:jc w:val="right"/>
              <w:rPr>
                <w:rFonts w:ascii="Arial" w:hAnsi="Arial" w:cs="Arial"/>
                <w:color w:val="000000"/>
                <w:sz w:val="18"/>
                <w:szCs w:val="18"/>
              </w:rPr>
            </w:pPr>
            <w:r>
              <w:rPr>
                <w:rFonts w:ascii="Arial" w:hAnsi="Arial" w:cs="Arial"/>
                <w:color w:val="000000"/>
                <w:sz w:val="18"/>
                <w:szCs w:val="18"/>
              </w:rPr>
              <w:t>12,600</w:t>
            </w:r>
          </w:p>
        </w:tc>
        <w:tc>
          <w:tcPr>
            <w:tcW w:w="106" w:type="dxa"/>
            <w:tcBorders>
              <w:top w:val="nil"/>
              <w:left w:val="nil"/>
              <w:bottom w:val="nil"/>
              <w:right w:val="nil"/>
            </w:tcBorders>
            <w:vAlign w:val="bottom"/>
          </w:tcPr>
          <w:p w:rsidR="0073298C" w:rsidRDefault="0073298C" w:rsidP="0073298C">
            <w:pPr>
              <w:spacing w:before="22" w:after="22"/>
              <w:jc w:val="right"/>
              <w:rPr>
                <w:rFonts w:ascii="Arial" w:hAnsi="Arial" w:cs="Arial"/>
                <w:color w:val="000000"/>
                <w:sz w:val="18"/>
                <w:szCs w:val="18"/>
              </w:rPr>
            </w:pPr>
          </w:p>
          <w:p w:rsidR="0073298C" w:rsidRDefault="0073298C" w:rsidP="0073298C">
            <w:pPr>
              <w:rPr>
                <w:sz w:val="16"/>
                <w:szCs w:val="16"/>
              </w:rPr>
            </w:pPr>
            <w:r>
              <w:rPr>
                <w:sz w:val="16"/>
                <w:szCs w:val="16"/>
              </w:rPr>
              <w:t> </w:t>
            </w:r>
          </w:p>
        </w:tc>
        <w:tc>
          <w:tcPr>
            <w:tcW w:w="105" w:type="dxa"/>
            <w:tcBorders>
              <w:top w:val="nil"/>
              <w:left w:val="nil"/>
              <w:bottom w:val="nil"/>
              <w:right w:val="nil"/>
            </w:tcBorders>
            <w:vAlign w:val="bottom"/>
          </w:tcPr>
          <w:p w:rsidR="0073298C" w:rsidRDefault="0073298C" w:rsidP="0073298C">
            <w:pPr>
              <w:spacing w:before="22" w:after="22"/>
              <w:ind w:left="22" w:right="22"/>
              <w:rPr>
                <w:color w:val="000000"/>
              </w:rPr>
            </w:pPr>
            <w:r>
              <w:rPr>
                <w:color w:val="000000"/>
              </w:rPr>
              <w:t> </w:t>
            </w:r>
          </w:p>
        </w:tc>
        <w:tc>
          <w:tcPr>
            <w:tcW w:w="1138" w:type="dxa"/>
            <w:tcBorders>
              <w:top w:val="nil"/>
              <w:left w:val="nil"/>
              <w:bottom w:val="nil"/>
              <w:right w:val="nil"/>
            </w:tcBorders>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6.3</w:t>
            </w:r>
          </w:p>
        </w:tc>
        <w:tc>
          <w:tcPr>
            <w:tcW w:w="239" w:type="dxa"/>
            <w:tcBorders>
              <w:top w:val="nil"/>
              <w:left w:val="nil"/>
              <w:bottom w:val="nil"/>
              <w:right w:val="nil"/>
            </w:tcBorders>
            <w:vAlign w:val="center"/>
          </w:tcPr>
          <w:p w:rsidR="0073298C" w:rsidRDefault="0073298C" w:rsidP="0073298C">
            <w:pPr>
              <w:spacing w:before="22" w:after="22"/>
              <w:ind w:right="22"/>
              <w:rPr>
                <w:rFonts w:ascii="Arial" w:hAnsi="Arial" w:cs="Arial"/>
                <w:color w:val="000000"/>
                <w:sz w:val="18"/>
                <w:szCs w:val="18"/>
              </w:rPr>
            </w:pPr>
            <w:r>
              <w:rPr>
                <w:rFonts w:ascii="Arial" w:hAnsi="Arial" w:cs="Arial"/>
                <w:color w:val="000000"/>
                <w:sz w:val="18"/>
                <w:szCs w:val="18"/>
              </w:rPr>
              <w:t> %</w:t>
            </w:r>
          </w:p>
        </w:tc>
        <w:tc>
          <w:tcPr>
            <w:tcW w:w="105" w:type="dxa"/>
            <w:tcBorders>
              <w:top w:val="nil"/>
              <w:left w:val="nil"/>
              <w:bottom w:val="nil"/>
              <w:right w:val="nil"/>
            </w:tcBorders>
            <w:vAlign w:val="bottom"/>
          </w:tcPr>
          <w:p w:rsidR="0073298C" w:rsidRDefault="0073298C" w:rsidP="0073298C">
            <w:pPr>
              <w:spacing w:before="22" w:after="22"/>
              <w:ind w:left="22" w:right="22"/>
              <w:rPr>
                <w:color w:val="000000"/>
              </w:rPr>
            </w:pPr>
            <w:r>
              <w:rPr>
                <w:color w:val="000000"/>
              </w:rPr>
              <w:t> </w:t>
            </w:r>
          </w:p>
        </w:tc>
        <w:tc>
          <w:tcPr>
            <w:tcW w:w="120" w:type="dxa"/>
            <w:tcBorders>
              <w:top w:val="nil"/>
              <w:left w:val="nil"/>
              <w:bottom w:val="nil"/>
              <w:right w:val="nil"/>
            </w:tcBorders>
            <w:vAlign w:val="center"/>
          </w:tcPr>
          <w:p w:rsidR="0073298C" w:rsidRDefault="0073298C" w:rsidP="0073298C">
            <w:pPr>
              <w:spacing w:before="22" w:after="22"/>
              <w:ind w:left="22"/>
              <w:rPr>
                <w:rFonts w:ascii="Arial" w:hAnsi="Arial" w:cs="Arial"/>
                <w:color w:val="000000"/>
                <w:sz w:val="18"/>
                <w:szCs w:val="18"/>
              </w:rPr>
            </w:pPr>
            <w:r>
              <w:rPr>
                <w:rFonts w:ascii="Arial" w:hAnsi="Arial" w:cs="Arial"/>
                <w:color w:val="000000"/>
                <w:sz w:val="18"/>
                <w:szCs w:val="18"/>
              </w:rPr>
              <w:t>$</w:t>
            </w:r>
          </w:p>
        </w:tc>
        <w:tc>
          <w:tcPr>
            <w:tcW w:w="1051" w:type="dxa"/>
            <w:tcBorders>
              <w:top w:val="nil"/>
              <w:left w:val="nil"/>
              <w:bottom w:val="nil"/>
              <w:right w:val="nil"/>
            </w:tcBorders>
            <w:vAlign w:val="center"/>
          </w:tcPr>
          <w:p w:rsidR="0073298C" w:rsidRDefault="0073298C" w:rsidP="0073298C">
            <w:pPr>
              <w:spacing w:before="22" w:after="22"/>
              <w:jc w:val="right"/>
              <w:rPr>
                <w:rFonts w:ascii="Arial" w:hAnsi="Arial" w:cs="Arial"/>
                <w:color w:val="000000"/>
                <w:sz w:val="18"/>
                <w:szCs w:val="18"/>
              </w:rPr>
            </w:pPr>
            <w:r>
              <w:rPr>
                <w:rFonts w:ascii="Arial" w:hAnsi="Arial" w:cs="Arial"/>
                <w:color w:val="000000"/>
                <w:sz w:val="18"/>
                <w:szCs w:val="18"/>
              </w:rPr>
              <w:t>12,250</w:t>
            </w:r>
          </w:p>
        </w:tc>
        <w:tc>
          <w:tcPr>
            <w:tcW w:w="104" w:type="dxa"/>
            <w:tcBorders>
              <w:top w:val="nil"/>
              <w:left w:val="nil"/>
              <w:bottom w:val="nil"/>
              <w:right w:val="nil"/>
            </w:tcBorders>
            <w:vAlign w:val="bottom"/>
          </w:tcPr>
          <w:p w:rsidR="0073298C" w:rsidRDefault="0073298C" w:rsidP="0073298C">
            <w:pPr>
              <w:spacing w:before="22" w:after="22"/>
              <w:jc w:val="right"/>
              <w:rPr>
                <w:rFonts w:ascii="Arial" w:hAnsi="Arial" w:cs="Arial"/>
                <w:color w:val="000000"/>
                <w:sz w:val="18"/>
                <w:szCs w:val="18"/>
              </w:rPr>
            </w:pPr>
          </w:p>
          <w:p w:rsidR="0073298C" w:rsidRDefault="0073298C" w:rsidP="0073298C">
            <w:pPr>
              <w:rPr>
                <w:sz w:val="16"/>
                <w:szCs w:val="16"/>
              </w:rPr>
            </w:pPr>
            <w:r>
              <w:rPr>
                <w:sz w:val="16"/>
                <w:szCs w:val="16"/>
              </w:rPr>
              <w:t> </w:t>
            </w:r>
          </w:p>
        </w:tc>
        <w:tc>
          <w:tcPr>
            <w:tcW w:w="105" w:type="dxa"/>
            <w:tcBorders>
              <w:top w:val="nil"/>
              <w:left w:val="nil"/>
              <w:bottom w:val="nil"/>
              <w:right w:val="nil"/>
            </w:tcBorders>
            <w:vAlign w:val="bottom"/>
          </w:tcPr>
          <w:p w:rsidR="0073298C" w:rsidRDefault="0073298C" w:rsidP="0073298C">
            <w:pPr>
              <w:spacing w:before="22" w:after="22"/>
              <w:ind w:left="22" w:right="22"/>
              <w:rPr>
                <w:color w:val="000000"/>
              </w:rPr>
            </w:pPr>
            <w:r>
              <w:rPr>
                <w:color w:val="000000"/>
              </w:rPr>
              <w:t> </w:t>
            </w:r>
          </w:p>
        </w:tc>
        <w:tc>
          <w:tcPr>
            <w:tcW w:w="1152" w:type="dxa"/>
            <w:tcBorders>
              <w:top w:val="nil"/>
              <w:left w:val="nil"/>
              <w:bottom w:val="nil"/>
              <w:right w:val="nil"/>
            </w:tcBorders>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8.3</w:t>
            </w:r>
          </w:p>
        </w:tc>
        <w:tc>
          <w:tcPr>
            <w:tcW w:w="180" w:type="dxa"/>
            <w:tcBorders>
              <w:top w:val="nil"/>
              <w:left w:val="nil"/>
              <w:bottom w:val="nil"/>
              <w:right w:val="nil"/>
            </w:tcBorders>
            <w:vAlign w:val="center"/>
          </w:tcPr>
          <w:p w:rsidR="0073298C" w:rsidRDefault="0073298C" w:rsidP="0073298C">
            <w:pPr>
              <w:spacing w:before="22" w:after="22"/>
              <w:ind w:right="22"/>
              <w:rPr>
                <w:rFonts w:ascii="Arial" w:hAnsi="Arial" w:cs="Arial"/>
                <w:color w:val="000000"/>
                <w:sz w:val="18"/>
                <w:szCs w:val="18"/>
              </w:rPr>
            </w:pPr>
            <w:r>
              <w:rPr>
                <w:rFonts w:ascii="Arial" w:hAnsi="Arial" w:cs="Arial"/>
                <w:color w:val="000000"/>
                <w:sz w:val="18"/>
                <w:szCs w:val="18"/>
              </w:rPr>
              <w:t>%</w:t>
            </w:r>
          </w:p>
        </w:tc>
        <w:tc>
          <w:tcPr>
            <w:tcW w:w="105" w:type="dxa"/>
            <w:tcBorders>
              <w:top w:val="nil"/>
              <w:left w:val="nil"/>
              <w:bottom w:val="nil"/>
              <w:right w:val="nil"/>
            </w:tcBorders>
            <w:vAlign w:val="bottom"/>
          </w:tcPr>
          <w:p w:rsidR="0073298C" w:rsidRDefault="0073298C" w:rsidP="0073298C">
            <w:pPr>
              <w:spacing w:before="22" w:after="22"/>
              <w:ind w:left="22" w:right="22"/>
              <w:rPr>
                <w:color w:val="000000"/>
              </w:rPr>
            </w:pPr>
            <w:r>
              <w:rPr>
                <w:color w:val="000000"/>
              </w:rPr>
              <w:t> </w:t>
            </w:r>
          </w:p>
        </w:tc>
        <w:tc>
          <w:tcPr>
            <w:tcW w:w="120" w:type="dxa"/>
            <w:tcBorders>
              <w:top w:val="nil"/>
              <w:left w:val="nil"/>
              <w:bottom w:val="nil"/>
              <w:right w:val="nil"/>
            </w:tcBorders>
            <w:vAlign w:val="center"/>
          </w:tcPr>
          <w:p w:rsidR="0073298C" w:rsidRDefault="0073298C" w:rsidP="0073298C">
            <w:pPr>
              <w:spacing w:before="22" w:after="22"/>
              <w:ind w:left="22"/>
              <w:rPr>
                <w:rFonts w:ascii="Arial" w:hAnsi="Arial" w:cs="Arial"/>
                <w:color w:val="000000"/>
                <w:sz w:val="18"/>
                <w:szCs w:val="18"/>
              </w:rPr>
            </w:pPr>
            <w:r>
              <w:rPr>
                <w:rFonts w:ascii="Arial" w:hAnsi="Arial" w:cs="Arial"/>
                <w:color w:val="000000"/>
                <w:sz w:val="18"/>
                <w:szCs w:val="18"/>
              </w:rPr>
              <w:t>$</w:t>
            </w:r>
          </w:p>
        </w:tc>
        <w:tc>
          <w:tcPr>
            <w:tcW w:w="1051" w:type="dxa"/>
            <w:tcBorders>
              <w:top w:val="nil"/>
              <w:left w:val="nil"/>
              <w:bottom w:val="nil"/>
              <w:right w:val="nil"/>
            </w:tcBorders>
            <w:vAlign w:val="center"/>
          </w:tcPr>
          <w:p w:rsidR="0073298C" w:rsidRDefault="0073298C" w:rsidP="0073298C">
            <w:pPr>
              <w:spacing w:before="22" w:after="22"/>
              <w:jc w:val="right"/>
              <w:rPr>
                <w:rFonts w:ascii="Arial" w:hAnsi="Arial" w:cs="Arial"/>
                <w:color w:val="000000"/>
                <w:sz w:val="18"/>
                <w:szCs w:val="18"/>
              </w:rPr>
            </w:pPr>
            <w:r>
              <w:rPr>
                <w:rFonts w:ascii="Arial" w:hAnsi="Arial" w:cs="Arial"/>
                <w:color w:val="000000"/>
                <w:sz w:val="18"/>
                <w:szCs w:val="18"/>
              </w:rPr>
              <w:t>15,857</w:t>
            </w:r>
          </w:p>
        </w:tc>
        <w:tc>
          <w:tcPr>
            <w:tcW w:w="104" w:type="dxa"/>
            <w:tcBorders>
              <w:top w:val="nil"/>
              <w:left w:val="nil"/>
              <w:bottom w:val="nil"/>
              <w:right w:val="nil"/>
            </w:tcBorders>
            <w:vAlign w:val="bottom"/>
          </w:tcPr>
          <w:p w:rsidR="0073298C" w:rsidRDefault="0073298C" w:rsidP="0073298C">
            <w:pPr>
              <w:spacing w:before="22" w:after="22"/>
              <w:jc w:val="right"/>
              <w:rPr>
                <w:rFonts w:ascii="Arial" w:hAnsi="Arial" w:cs="Arial"/>
                <w:color w:val="000000"/>
                <w:sz w:val="18"/>
                <w:szCs w:val="18"/>
              </w:rPr>
            </w:pPr>
          </w:p>
          <w:p w:rsidR="0073298C" w:rsidRDefault="0073298C" w:rsidP="0073298C">
            <w:pPr>
              <w:rPr>
                <w:sz w:val="16"/>
                <w:szCs w:val="16"/>
              </w:rPr>
            </w:pPr>
            <w:r>
              <w:rPr>
                <w:sz w:val="16"/>
                <w:szCs w:val="16"/>
              </w:rPr>
              <w:t> </w:t>
            </w:r>
          </w:p>
        </w:tc>
        <w:tc>
          <w:tcPr>
            <w:tcW w:w="105" w:type="dxa"/>
            <w:tcBorders>
              <w:top w:val="nil"/>
              <w:left w:val="nil"/>
              <w:bottom w:val="nil"/>
              <w:right w:val="nil"/>
            </w:tcBorders>
            <w:vAlign w:val="bottom"/>
          </w:tcPr>
          <w:p w:rsidR="0073298C" w:rsidRDefault="0073298C" w:rsidP="0073298C">
            <w:pPr>
              <w:spacing w:before="22" w:after="22"/>
              <w:ind w:left="22" w:right="22"/>
              <w:rPr>
                <w:color w:val="000000"/>
              </w:rPr>
            </w:pPr>
            <w:r>
              <w:rPr>
                <w:color w:val="000000"/>
              </w:rPr>
              <w:t> </w:t>
            </w:r>
          </w:p>
        </w:tc>
        <w:tc>
          <w:tcPr>
            <w:tcW w:w="1152" w:type="dxa"/>
            <w:tcBorders>
              <w:top w:val="nil"/>
              <w:left w:val="nil"/>
              <w:bottom w:val="nil"/>
              <w:right w:val="nil"/>
            </w:tcBorders>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8.9</w:t>
            </w:r>
          </w:p>
        </w:tc>
        <w:tc>
          <w:tcPr>
            <w:tcW w:w="188" w:type="dxa"/>
            <w:tcBorders>
              <w:top w:val="nil"/>
              <w:left w:val="nil"/>
              <w:bottom w:val="nil"/>
              <w:right w:val="single" w:sz="6" w:space="0" w:color="00467E"/>
            </w:tcBorders>
            <w:vAlign w:val="center"/>
          </w:tcPr>
          <w:p w:rsidR="0073298C" w:rsidRDefault="0073298C" w:rsidP="0073298C">
            <w:pPr>
              <w:spacing w:before="22" w:after="22"/>
              <w:ind w:right="22"/>
              <w:rPr>
                <w:rFonts w:ascii="Arial" w:hAnsi="Arial" w:cs="Arial"/>
                <w:color w:val="000000"/>
                <w:sz w:val="18"/>
                <w:szCs w:val="18"/>
              </w:rPr>
            </w:pPr>
            <w:r>
              <w:rPr>
                <w:rFonts w:ascii="Arial" w:hAnsi="Arial" w:cs="Arial"/>
                <w:color w:val="000000"/>
                <w:sz w:val="18"/>
                <w:szCs w:val="18"/>
              </w:rPr>
              <w:t>%</w:t>
            </w:r>
          </w:p>
        </w:tc>
      </w:tr>
      <w:tr w:rsidR="0073298C" w:rsidTr="0073298C">
        <w:tblPrEx>
          <w:tblCellMar>
            <w:top w:w="0" w:type="dxa"/>
            <w:left w:w="0" w:type="dxa"/>
            <w:bottom w:w="0" w:type="dxa"/>
            <w:right w:w="0" w:type="dxa"/>
          </w:tblCellMar>
        </w:tblPrEx>
        <w:trPr>
          <w:trHeight w:val="281"/>
          <w:jc w:val="center"/>
        </w:trPr>
        <w:tc>
          <w:tcPr>
            <w:tcW w:w="2399" w:type="dxa"/>
            <w:tcBorders>
              <w:top w:val="nil"/>
              <w:left w:val="single" w:sz="6" w:space="0" w:color="00467E"/>
              <w:bottom w:val="nil"/>
              <w:right w:val="nil"/>
            </w:tcBorders>
            <w:shd w:val="clear" w:color="CFD4D8" w:fill="CFD4D8"/>
            <w:vAlign w:val="center"/>
          </w:tcPr>
          <w:p w:rsidR="0073298C" w:rsidRDefault="0073298C" w:rsidP="0073298C">
            <w:pPr>
              <w:spacing w:before="22" w:after="22"/>
              <w:ind w:left="22" w:right="22"/>
              <w:rPr>
                <w:rFonts w:ascii="Arial" w:hAnsi="Arial" w:cs="Arial"/>
                <w:color w:val="000000"/>
                <w:sz w:val="18"/>
                <w:szCs w:val="18"/>
              </w:rPr>
            </w:pPr>
            <w:r>
              <w:rPr>
                <w:rFonts w:ascii="Arial" w:hAnsi="Arial" w:cs="Arial"/>
                <w:color w:val="000000"/>
                <w:sz w:val="18"/>
                <w:szCs w:val="18"/>
              </w:rPr>
              <w:t>Swift – Truckload</w:t>
            </w:r>
          </w:p>
        </w:tc>
        <w:tc>
          <w:tcPr>
            <w:tcW w:w="120" w:type="dxa"/>
            <w:tcBorders>
              <w:top w:val="nil"/>
              <w:left w:val="nil"/>
              <w:bottom w:val="nil"/>
              <w:right w:val="nil"/>
            </w:tcBorders>
            <w:shd w:val="clear" w:color="CFD4D8" w:fill="CFD4D8"/>
            <w:vAlign w:val="center"/>
          </w:tcPr>
          <w:p w:rsidR="0073298C" w:rsidRDefault="0073298C" w:rsidP="0073298C">
            <w:pPr>
              <w:spacing w:before="22" w:after="22"/>
              <w:ind w:left="22"/>
              <w:rPr>
                <w:rFonts w:ascii="Arial" w:hAnsi="Arial" w:cs="Arial"/>
                <w:color w:val="000000"/>
                <w:sz w:val="18"/>
                <w:szCs w:val="18"/>
              </w:rPr>
            </w:pPr>
            <w:r>
              <w:rPr>
                <w:rFonts w:ascii="Arial" w:hAnsi="Arial" w:cs="Arial"/>
                <w:color w:val="000000"/>
                <w:sz w:val="18"/>
                <w:szCs w:val="18"/>
              </w:rPr>
              <w:t>$</w:t>
            </w:r>
          </w:p>
        </w:tc>
        <w:tc>
          <w:tcPr>
            <w:tcW w:w="1051" w:type="dxa"/>
            <w:tcBorders>
              <w:top w:val="nil"/>
              <w:left w:val="nil"/>
              <w:bottom w:val="nil"/>
              <w:right w:val="nil"/>
            </w:tcBorders>
            <w:shd w:val="clear" w:color="CFD4D8" w:fill="CFD4D8"/>
            <w:vAlign w:val="center"/>
          </w:tcPr>
          <w:p w:rsidR="0073298C" w:rsidRDefault="0073298C" w:rsidP="0073298C">
            <w:pPr>
              <w:spacing w:before="22" w:after="22"/>
              <w:jc w:val="right"/>
              <w:rPr>
                <w:rFonts w:ascii="Arial" w:hAnsi="Arial" w:cs="Arial"/>
                <w:color w:val="000000"/>
                <w:sz w:val="18"/>
                <w:szCs w:val="18"/>
              </w:rPr>
            </w:pPr>
            <w:r>
              <w:rPr>
                <w:rFonts w:ascii="Arial" w:hAnsi="Arial" w:cs="Arial"/>
                <w:color w:val="000000"/>
                <w:sz w:val="18"/>
                <w:szCs w:val="18"/>
              </w:rPr>
              <w:t>74,924</w:t>
            </w:r>
          </w:p>
        </w:tc>
        <w:tc>
          <w:tcPr>
            <w:tcW w:w="106" w:type="dxa"/>
            <w:tcBorders>
              <w:top w:val="nil"/>
              <w:left w:val="nil"/>
              <w:bottom w:val="nil"/>
              <w:right w:val="nil"/>
            </w:tcBorders>
            <w:shd w:val="clear" w:color="CFD4D8" w:fill="CFD4D8"/>
            <w:vAlign w:val="bottom"/>
          </w:tcPr>
          <w:p w:rsidR="0073298C" w:rsidRDefault="0073298C" w:rsidP="0073298C">
            <w:pPr>
              <w:spacing w:before="22" w:after="22"/>
              <w:jc w:val="right"/>
              <w:rPr>
                <w:rFonts w:ascii="Arial" w:hAnsi="Arial" w:cs="Arial"/>
                <w:color w:val="000000"/>
                <w:sz w:val="18"/>
                <w:szCs w:val="18"/>
              </w:rPr>
            </w:pPr>
          </w:p>
          <w:p w:rsidR="0073298C" w:rsidRDefault="0073298C" w:rsidP="0073298C">
            <w:pPr>
              <w:rPr>
                <w:sz w:val="16"/>
                <w:szCs w:val="16"/>
              </w:rPr>
            </w:pPr>
            <w:r>
              <w:rPr>
                <w:sz w:val="16"/>
                <w:szCs w:val="16"/>
              </w:rPr>
              <w:lastRenderedPageBreak/>
              <w:t> </w:t>
            </w:r>
          </w:p>
        </w:tc>
        <w:tc>
          <w:tcPr>
            <w:tcW w:w="105" w:type="dxa"/>
            <w:tcBorders>
              <w:top w:val="nil"/>
              <w:left w:val="nil"/>
              <w:bottom w:val="nil"/>
              <w:right w:val="nil"/>
            </w:tcBorders>
            <w:shd w:val="clear" w:color="CFD4D8" w:fill="CFD4D8"/>
            <w:vAlign w:val="bottom"/>
          </w:tcPr>
          <w:p w:rsidR="0073298C" w:rsidRDefault="0073298C" w:rsidP="0073298C">
            <w:pPr>
              <w:spacing w:before="22" w:after="22"/>
              <w:ind w:left="22" w:right="22"/>
              <w:rPr>
                <w:color w:val="000000"/>
              </w:rPr>
            </w:pPr>
            <w:r>
              <w:rPr>
                <w:color w:val="000000"/>
              </w:rPr>
              <w:lastRenderedPageBreak/>
              <w:t> </w:t>
            </w:r>
          </w:p>
        </w:tc>
        <w:tc>
          <w:tcPr>
            <w:tcW w:w="1138" w:type="dxa"/>
            <w:tcBorders>
              <w:top w:val="nil"/>
              <w:left w:val="nil"/>
              <w:bottom w:val="nil"/>
              <w:right w:val="nil"/>
            </w:tcBorders>
            <w:shd w:val="clear" w:color="CFD4D8" w:fill="CFD4D8"/>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37.3</w:t>
            </w:r>
          </w:p>
        </w:tc>
        <w:tc>
          <w:tcPr>
            <w:tcW w:w="239" w:type="dxa"/>
            <w:tcBorders>
              <w:top w:val="nil"/>
              <w:left w:val="nil"/>
              <w:bottom w:val="nil"/>
              <w:right w:val="nil"/>
            </w:tcBorders>
            <w:shd w:val="clear" w:color="CFD4D8" w:fill="CFD4D8"/>
            <w:vAlign w:val="center"/>
          </w:tcPr>
          <w:p w:rsidR="0073298C" w:rsidRDefault="0073298C" w:rsidP="0073298C">
            <w:pPr>
              <w:spacing w:before="22" w:after="22"/>
              <w:ind w:right="22"/>
              <w:rPr>
                <w:rFonts w:ascii="Arial" w:hAnsi="Arial" w:cs="Arial"/>
                <w:color w:val="000000"/>
                <w:sz w:val="18"/>
                <w:szCs w:val="18"/>
              </w:rPr>
            </w:pPr>
            <w:r>
              <w:rPr>
                <w:rFonts w:ascii="Arial" w:hAnsi="Arial" w:cs="Arial"/>
                <w:color w:val="000000"/>
                <w:sz w:val="18"/>
                <w:szCs w:val="18"/>
              </w:rPr>
              <w:t> %</w:t>
            </w:r>
          </w:p>
        </w:tc>
        <w:tc>
          <w:tcPr>
            <w:tcW w:w="105" w:type="dxa"/>
            <w:tcBorders>
              <w:top w:val="nil"/>
              <w:left w:val="nil"/>
              <w:bottom w:val="nil"/>
              <w:right w:val="nil"/>
            </w:tcBorders>
            <w:shd w:val="clear" w:color="CFD4D8" w:fill="CFD4D8"/>
            <w:vAlign w:val="bottom"/>
          </w:tcPr>
          <w:p w:rsidR="0073298C" w:rsidRDefault="0073298C" w:rsidP="0073298C">
            <w:pPr>
              <w:spacing w:before="22" w:after="22"/>
              <w:ind w:left="22" w:right="22"/>
              <w:rPr>
                <w:color w:val="000000"/>
              </w:rPr>
            </w:pPr>
            <w:r>
              <w:rPr>
                <w:color w:val="000000"/>
              </w:rPr>
              <w:t> </w:t>
            </w:r>
          </w:p>
        </w:tc>
        <w:tc>
          <w:tcPr>
            <w:tcW w:w="120" w:type="dxa"/>
            <w:tcBorders>
              <w:top w:val="nil"/>
              <w:left w:val="nil"/>
              <w:bottom w:val="nil"/>
              <w:right w:val="nil"/>
            </w:tcBorders>
            <w:shd w:val="clear" w:color="CFD4D8" w:fill="CFD4D8"/>
            <w:vAlign w:val="center"/>
          </w:tcPr>
          <w:p w:rsidR="0073298C" w:rsidRDefault="0073298C" w:rsidP="0073298C">
            <w:pPr>
              <w:spacing w:before="22" w:after="22"/>
              <w:ind w:left="22"/>
              <w:rPr>
                <w:rFonts w:ascii="Arial" w:hAnsi="Arial" w:cs="Arial"/>
                <w:color w:val="000000"/>
                <w:sz w:val="18"/>
                <w:szCs w:val="18"/>
              </w:rPr>
            </w:pPr>
            <w:r>
              <w:rPr>
                <w:rFonts w:ascii="Arial" w:hAnsi="Arial" w:cs="Arial"/>
                <w:color w:val="000000"/>
                <w:sz w:val="18"/>
                <w:szCs w:val="18"/>
              </w:rPr>
              <w:t>$</w:t>
            </w:r>
          </w:p>
        </w:tc>
        <w:tc>
          <w:tcPr>
            <w:tcW w:w="1051" w:type="dxa"/>
            <w:tcBorders>
              <w:top w:val="nil"/>
              <w:left w:val="nil"/>
              <w:bottom w:val="nil"/>
              <w:right w:val="nil"/>
            </w:tcBorders>
            <w:shd w:val="clear" w:color="CFD4D8" w:fill="CFD4D8"/>
            <w:vAlign w:val="center"/>
          </w:tcPr>
          <w:p w:rsidR="0073298C" w:rsidRDefault="0073298C" w:rsidP="0073298C">
            <w:pPr>
              <w:spacing w:before="22" w:after="22"/>
              <w:jc w:val="right"/>
              <w:rPr>
                <w:rFonts w:ascii="Arial" w:hAnsi="Arial" w:cs="Arial"/>
                <w:color w:val="000000"/>
                <w:sz w:val="18"/>
                <w:szCs w:val="18"/>
              </w:rPr>
            </w:pPr>
            <w:r>
              <w:rPr>
                <w:rFonts w:ascii="Arial" w:hAnsi="Arial" w:cs="Arial"/>
                <w:color w:val="000000"/>
                <w:sz w:val="18"/>
                <w:szCs w:val="18"/>
              </w:rPr>
              <w:t>—</w:t>
            </w:r>
          </w:p>
        </w:tc>
        <w:tc>
          <w:tcPr>
            <w:tcW w:w="104" w:type="dxa"/>
            <w:tcBorders>
              <w:top w:val="nil"/>
              <w:left w:val="nil"/>
              <w:bottom w:val="nil"/>
              <w:right w:val="nil"/>
            </w:tcBorders>
            <w:shd w:val="clear" w:color="CFD4D8" w:fill="CFD4D8"/>
            <w:vAlign w:val="bottom"/>
          </w:tcPr>
          <w:p w:rsidR="0073298C" w:rsidRDefault="0073298C" w:rsidP="0073298C">
            <w:pPr>
              <w:spacing w:before="22" w:after="22"/>
              <w:jc w:val="right"/>
              <w:rPr>
                <w:rFonts w:ascii="Arial" w:hAnsi="Arial" w:cs="Arial"/>
                <w:color w:val="000000"/>
                <w:sz w:val="18"/>
                <w:szCs w:val="18"/>
              </w:rPr>
            </w:pPr>
          </w:p>
          <w:p w:rsidR="0073298C" w:rsidRDefault="0073298C" w:rsidP="0073298C">
            <w:pPr>
              <w:rPr>
                <w:sz w:val="16"/>
                <w:szCs w:val="16"/>
              </w:rPr>
            </w:pPr>
            <w:r>
              <w:rPr>
                <w:sz w:val="16"/>
                <w:szCs w:val="16"/>
              </w:rPr>
              <w:lastRenderedPageBreak/>
              <w:t> </w:t>
            </w:r>
          </w:p>
        </w:tc>
        <w:tc>
          <w:tcPr>
            <w:tcW w:w="105" w:type="dxa"/>
            <w:tcBorders>
              <w:top w:val="nil"/>
              <w:left w:val="nil"/>
              <w:bottom w:val="nil"/>
              <w:right w:val="nil"/>
            </w:tcBorders>
            <w:shd w:val="clear" w:color="CFD4D8" w:fill="CFD4D8"/>
            <w:vAlign w:val="bottom"/>
          </w:tcPr>
          <w:p w:rsidR="0073298C" w:rsidRDefault="0073298C" w:rsidP="0073298C">
            <w:pPr>
              <w:spacing w:before="22" w:after="22"/>
              <w:ind w:left="22" w:right="22"/>
              <w:rPr>
                <w:color w:val="000000"/>
              </w:rPr>
            </w:pPr>
            <w:r>
              <w:rPr>
                <w:color w:val="000000"/>
              </w:rPr>
              <w:lastRenderedPageBreak/>
              <w:t> </w:t>
            </w:r>
          </w:p>
        </w:tc>
        <w:tc>
          <w:tcPr>
            <w:tcW w:w="1152" w:type="dxa"/>
            <w:tcBorders>
              <w:top w:val="nil"/>
              <w:left w:val="nil"/>
              <w:bottom w:val="nil"/>
              <w:right w:val="nil"/>
            </w:tcBorders>
            <w:shd w:val="clear" w:color="CFD4D8" w:fill="CFD4D8"/>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w:t>
            </w:r>
          </w:p>
        </w:tc>
        <w:tc>
          <w:tcPr>
            <w:tcW w:w="180" w:type="dxa"/>
            <w:tcBorders>
              <w:top w:val="nil"/>
              <w:left w:val="nil"/>
              <w:bottom w:val="nil"/>
              <w:right w:val="nil"/>
            </w:tcBorders>
            <w:shd w:val="clear" w:color="CFD4D8" w:fill="CFD4D8"/>
            <w:vAlign w:val="center"/>
          </w:tcPr>
          <w:p w:rsidR="0073298C" w:rsidRDefault="0073298C" w:rsidP="0073298C">
            <w:pPr>
              <w:spacing w:before="22" w:after="22"/>
              <w:ind w:right="22"/>
              <w:rPr>
                <w:rFonts w:ascii="Arial" w:hAnsi="Arial" w:cs="Arial"/>
                <w:color w:val="000000"/>
                <w:sz w:val="18"/>
                <w:szCs w:val="18"/>
              </w:rPr>
            </w:pPr>
            <w:r>
              <w:rPr>
                <w:rFonts w:ascii="Arial" w:hAnsi="Arial" w:cs="Arial"/>
                <w:color w:val="000000"/>
                <w:sz w:val="18"/>
                <w:szCs w:val="18"/>
              </w:rPr>
              <w:t>%</w:t>
            </w:r>
          </w:p>
        </w:tc>
        <w:tc>
          <w:tcPr>
            <w:tcW w:w="105" w:type="dxa"/>
            <w:tcBorders>
              <w:top w:val="nil"/>
              <w:left w:val="nil"/>
              <w:bottom w:val="nil"/>
              <w:right w:val="nil"/>
            </w:tcBorders>
            <w:shd w:val="clear" w:color="CFD4D8" w:fill="CFD4D8"/>
            <w:vAlign w:val="bottom"/>
          </w:tcPr>
          <w:p w:rsidR="0073298C" w:rsidRDefault="0073298C" w:rsidP="0073298C">
            <w:pPr>
              <w:spacing w:before="22" w:after="22"/>
              <w:ind w:left="22" w:right="22"/>
              <w:rPr>
                <w:color w:val="000000"/>
              </w:rPr>
            </w:pPr>
            <w:r>
              <w:rPr>
                <w:color w:val="000000"/>
              </w:rPr>
              <w:t> </w:t>
            </w:r>
          </w:p>
        </w:tc>
        <w:tc>
          <w:tcPr>
            <w:tcW w:w="120" w:type="dxa"/>
            <w:tcBorders>
              <w:top w:val="nil"/>
              <w:left w:val="nil"/>
              <w:bottom w:val="nil"/>
              <w:right w:val="nil"/>
            </w:tcBorders>
            <w:shd w:val="clear" w:color="CFD4D8" w:fill="CFD4D8"/>
            <w:vAlign w:val="center"/>
          </w:tcPr>
          <w:p w:rsidR="0073298C" w:rsidRDefault="0073298C" w:rsidP="0073298C">
            <w:pPr>
              <w:spacing w:before="22" w:after="22"/>
              <w:ind w:left="22"/>
              <w:rPr>
                <w:rFonts w:ascii="Arial" w:hAnsi="Arial" w:cs="Arial"/>
                <w:color w:val="000000"/>
                <w:sz w:val="18"/>
                <w:szCs w:val="18"/>
              </w:rPr>
            </w:pPr>
            <w:r>
              <w:rPr>
                <w:rFonts w:ascii="Arial" w:hAnsi="Arial" w:cs="Arial"/>
                <w:color w:val="000000"/>
                <w:sz w:val="18"/>
                <w:szCs w:val="18"/>
              </w:rPr>
              <w:t>$</w:t>
            </w:r>
          </w:p>
        </w:tc>
        <w:tc>
          <w:tcPr>
            <w:tcW w:w="1051" w:type="dxa"/>
            <w:tcBorders>
              <w:top w:val="nil"/>
              <w:left w:val="nil"/>
              <w:bottom w:val="nil"/>
              <w:right w:val="nil"/>
            </w:tcBorders>
            <w:shd w:val="clear" w:color="CFD4D8" w:fill="CFD4D8"/>
            <w:vAlign w:val="center"/>
          </w:tcPr>
          <w:p w:rsidR="0073298C" w:rsidRDefault="0073298C" w:rsidP="0073298C">
            <w:pPr>
              <w:spacing w:before="22" w:after="22"/>
              <w:jc w:val="right"/>
              <w:rPr>
                <w:rFonts w:ascii="Arial" w:hAnsi="Arial" w:cs="Arial"/>
                <w:color w:val="000000"/>
                <w:sz w:val="18"/>
                <w:szCs w:val="18"/>
              </w:rPr>
            </w:pPr>
            <w:r>
              <w:rPr>
                <w:rFonts w:ascii="Arial" w:hAnsi="Arial" w:cs="Arial"/>
                <w:color w:val="000000"/>
                <w:sz w:val="18"/>
                <w:szCs w:val="18"/>
              </w:rPr>
              <w:t>—</w:t>
            </w:r>
          </w:p>
        </w:tc>
        <w:tc>
          <w:tcPr>
            <w:tcW w:w="104" w:type="dxa"/>
            <w:tcBorders>
              <w:top w:val="nil"/>
              <w:left w:val="nil"/>
              <w:bottom w:val="nil"/>
              <w:right w:val="nil"/>
            </w:tcBorders>
            <w:shd w:val="clear" w:color="CFD4D8" w:fill="CFD4D8"/>
            <w:vAlign w:val="bottom"/>
          </w:tcPr>
          <w:p w:rsidR="0073298C" w:rsidRDefault="0073298C" w:rsidP="0073298C">
            <w:pPr>
              <w:spacing w:before="22" w:after="22"/>
              <w:jc w:val="right"/>
              <w:rPr>
                <w:rFonts w:ascii="Arial" w:hAnsi="Arial" w:cs="Arial"/>
                <w:color w:val="000000"/>
                <w:sz w:val="18"/>
                <w:szCs w:val="18"/>
              </w:rPr>
            </w:pPr>
          </w:p>
          <w:p w:rsidR="0073298C" w:rsidRDefault="0073298C" w:rsidP="0073298C">
            <w:pPr>
              <w:rPr>
                <w:sz w:val="16"/>
                <w:szCs w:val="16"/>
              </w:rPr>
            </w:pPr>
            <w:r>
              <w:rPr>
                <w:sz w:val="16"/>
                <w:szCs w:val="16"/>
              </w:rPr>
              <w:lastRenderedPageBreak/>
              <w:t> </w:t>
            </w:r>
          </w:p>
        </w:tc>
        <w:tc>
          <w:tcPr>
            <w:tcW w:w="105" w:type="dxa"/>
            <w:tcBorders>
              <w:top w:val="nil"/>
              <w:left w:val="nil"/>
              <w:bottom w:val="nil"/>
              <w:right w:val="nil"/>
            </w:tcBorders>
            <w:shd w:val="clear" w:color="CFD4D8" w:fill="CFD4D8"/>
            <w:vAlign w:val="bottom"/>
          </w:tcPr>
          <w:p w:rsidR="0073298C" w:rsidRDefault="0073298C" w:rsidP="0073298C">
            <w:pPr>
              <w:spacing w:before="22" w:after="22"/>
              <w:ind w:left="22" w:right="22"/>
              <w:rPr>
                <w:color w:val="000000"/>
              </w:rPr>
            </w:pPr>
            <w:r>
              <w:rPr>
                <w:color w:val="000000"/>
              </w:rPr>
              <w:lastRenderedPageBreak/>
              <w:t> </w:t>
            </w:r>
          </w:p>
        </w:tc>
        <w:tc>
          <w:tcPr>
            <w:tcW w:w="1152" w:type="dxa"/>
            <w:tcBorders>
              <w:top w:val="nil"/>
              <w:left w:val="nil"/>
              <w:bottom w:val="nil"/>
              <w:right w:val="nil"/>
            </w:tcBorders>
            <w:shd w:val="clear" w:color="CFD4D8" w:fill="CFD4D8"/>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w:t>
            </w:r>
          </w:p>
        </w:tc>
        <w:tc>
          <w:tcPr>
            <w:tcW w:w="188" w:type="dxa"/>
            <w:tcBorders>
              <w:top w:val="nil"/>
              <w:left w:val="nil"/>
              <w:bottom w:val="nil"/>
              <w:right w:val="single" w:sz="6" w:space="0" w:color="00467E"/>
            </w:tcBorders>
            <w:shd w:val="clear" w:color="CFD4D8" w:fill="CFD4D8"/>
            <w:vAlign w:val="center"/>
          </w:tcPr>
          <w:p w:rsidR="0073298C" w:rsidRDefault="0073298C" w:rsidP="0073298C">
            <w:pPr>
              <w:spacing w:before="22" w:after="22"/>
              <w:ind w:right="22"/>
              <w:rPr>
                <w:rFonts w:ascii="Arial" w:hAnsi="Arial" w:cs="Arial"/>
                <w:color w:val="000000"/>
                <w:sz w:val="18"/>
                <w:szCs w:val="18"/>
              </w:rPr>
            </w:pPr>
            <w:r>
              <w:rPr>
                <w:rFonts w:ascii="Arial" w:hAnsi="Arial" w:cs="Arial"/>
                <w:color w:val="000000"/>
                <w:sz w:val="18"/>
                <w:szCs w:val="18"/>
              </w:rPr>
              <w:t>%</w:t>
            </w:r>
          </w:p>
        </w:tc>
      </w:tr>
      <w:tr w:rsidR="0073298C" w:rsidTr="0073298C">
        <w:tblPrEx>
          <w:tblCellMar>
            <w:top w:w="0" w:type="dxa"/>
            <w:left w:w="0" w:type="dxa"/>
            <w:bottom w:w="0" w:type="dxa"/>
            <w:right w:w="0" w:type="dxa"/>
          </w:tblCellMar>
        </w:tblPrEx>
        <w:trPr>
          <w:trHeight w:val="281"/>
          <w:jc w:val="center"/>
        </w:trPr>
        <w:tc>
          <w:tcPr>
            <w:tcW w:w="2399" w:type="dxa"/>
            <w:tcBorders>
              <w:top w:val="nil"/>
              <w:left w:val="single" w:sz="6" w:space="0" w:color="00467E"/>
              <w:bottom w:val="nil"/>
              <w:right w:val="nil"/>
            </w:tcBorders>
            <w:vAlign w:val="center"/>
          </w:tcPr>
          <w:p w:rsidR="0073298C" w:rsidRDefault="0073298C" w:rsidP="0073298C">
            <w:pPr>
              <w:spacing w:before="22" w:after="22"/>
              <w:ind w:left="22" w:right="22"/>
              <w:rPr>
                <w:rFonts w:ascii="Arial" w:hAnsi="Arial" w:cs="Arial"/>
                <w:color w:val="000000"/>
                <w:sz w:val="18"/>
                <w:szCs w:val="18"/>
              </w:rPr>
            </w:pPr>
            <w:r>
              <w:rPr>
                <w:rFonts w:ascii="Arial" w:hAnsi="Arial" w:cs="Arial"/>
                <w:color w:val="000000"/>
                <w:sz w:val="18"/>
                <w:szCs w:val="18"/>
              </w:rPr>
              <w:lastRenderedPageBreak/>
              <w:t>Swift – Dedicated</w:t>
            </w:r>
          </w:p>
        </w:tc>
        <w:tc>
          <w:tcPr>
            <w:tcW w:w="120" w:type="dxa"/>
            <w:tcBorders>
              <w:top w:val="nil"/>
              <w:left w:val="nil"/>
              <w:bottom w:val="nil"/>
              <w:right w:val="nil"/>
            </w:tcBorders>
            <w:vAlign w:val="center"/>
          </w:tcPr>
          <w:p w:rsidR="0073298C" w:rsidRDefault="0073298C" w:rsidP="0073298C">
            <w:pPr>
              <w:spacing w:before="22" w:after="22"/>
              <w:ind w:left="22"/>
              <w:rPr>
                <w:rFonts w:ascii="Arial" w:hAnsi="Arial" w:cs="Arial"/>
                <w:color w:val="000000"/>
                <w:sz w:val="18"/>
                <w:szCs w:val="18"/>
              </w:rPr>
            </w:pPr>
            <w:r>
              <w:rPr>
                <w:rFonts w:ascii="Arial" w:hAnsi="Arial" w:cs="Arial"/>
                <w:color w:val="000000"/>
                <w:sz w:val="18"/>
                <w:szCs w:val="18"/>
              </w:rPr>
              <w:t>$</w:t>
            </w:r>
          </w:p>
        </w:tc>
        <w:tc>
          <w:tcPr>
            <w:tcW w:w="1051" w:type="dxa"/>
            <w:tcBorders>
              <w:top w:val="nil"/>
              <w:left w:val="nil"/>
              <w:bottom w:val="nil"/>
              <w:right w:val="nil"/>
            </w:tcBorders>
            <w:vAlign w:val="center"/>
          </w:tcPr>
          <w:p w:rsidR="0073298C" w:rsidRDefault="0073298C" w:rsidP="0073298C">
            <w:pPr>
              <w:spacing w:before="22" w:after="22"/>
              <w:jc w:val="right"/>
              <w:rPr>
                <w:rFonts w:ascii="Arial" w:hAnsi="Arial" w:cs="Arial"/>
                <w:color w:val="000000"/>
                <w:sz w:val="18"/>
                <w:szCs w:val="18"/>
              </w:rPr>
            </w:pPr>
            <w:r>
              <w:rPr>
                <w:rFonts w:ascii="Arial" w:hAnsi="Arial" w:cs="Arial"/>
                <w:color w:val="000000"/>
                <w:sz w:val="18"/>
                <w:szCs w:val="18"/>
              </w:rPr>
              <w:t>22,410</w:t>
            </w:r>
          </w:p>
        </w:tc>
        <w:tc>
          <w:tcPr>
            <w:tcW w:w="106" w:type="dxa"/>
            <w:tcBorders>
              <w:top w:val="nil"/>
              <w:left w:val="nil"/>
              <w:bottom w:val="nil"/>
              <w:right w:val="nil"/>
            </w:tcBorders>
            <w:vAlign w:val="bottom"/>
          </w:tcPr>
          <w:p w:rsidR="0073298C" w:rsidRDefault="0073298C" w:rsidP="0073298C">
            <w:pPr>
              <w:spacing w:before="22" w:after="22"/>
              <w:jc w:val="right"/>
              <w:rPr>
                <w:rFonts w:ascii="Arial" w:hAnsi="Arial" w:cs="Arial"/>
                <w:color w:val="000000"/>
                <w:sz w:val="18"/>
                <w:szCs w:val="18"/>
              </w:rPr>
            </w:pPr>
          </w:p>
          <w:p w:rsidR="0073298C" w:rsidRDefault="0073298C" w:rsidP="0073298C">
            <w:pPr>
              <w:rPr>
                <w:sz w:val="16"/>
                <w:szCs w:val="16"/>
              </w:rPr>
            </w:pPr>
            <w:r>
              <w:rPr>
                <w:sz w:val="16"/>
                <w:szCs w:val="16"/>
              </w:rPr>
              <w:t> </w:t>
            </w:r>
          </w:p>
        </w:tc>
        <w:tc>
          <w:tcPr>
            <w:tcW w:w="105" w:type="dxa"/>
            <w:tcBorders>
              <w:top w:val="nil"/>
              <w:left w:val="nil"/>
              <w:bottom w:val="nil"/>
              <w:right w:val="nil"/>
            </w:tcBorders>
            <w:vAlign w:val="bottom"/>
          </w:tcPr>
          <w:p w:rsidR="0073298C" w:rsidRDefault="0073298C" w:rsidP="0073298C">
            <w:pPr>
              <w:spacing w:before="22" w:after="22"/>
              <w:ind w:left="22" w:right="22"/>
              <w:rPr>
                <w:color w:val="000000"/>
              </w:rPr>
            </w:pPr>
            <w:r>
              <w:rPr>
                <w:color w:val="000000"/>
              </w:rPr>
              <w:t> </w:t>
            </w:r>
          </w:p>
        </w:tc>
        <w:tc>
          <w:tcPr>
            <w:tcW w:w="1138" w:type="dxa"/>
            <w:tcBorders>
              <w:top w:val="nil"/>
              <w:left w:val="nil"/>
              <w:bottom w:val="nil"/>
              <w:right w:val="nil"/>
            </w:tcBorders>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11.2</w:t>
            </w:r>
          </w:p>
        </w:tc>
        <w:tc>
          <w:tcPr>
            <w:tcW w:w="239" w:type="dxa"/>
            <w:tcBorders>
              <w:top w:val="nil"/>
              <w:left w:val="nil"/>
              <w:bottom w:val="nil"/>
              <w:right w:val="nil"/>
            </w:tcBorders>
            <w:vAlign w:val="center"/>
          </w:tcPr>
          <w:p w:rsidR="0073298C" w:rsidRDefault="0073298C" w:rsidP="0073298C">
            <w:pPr>
              <w:spacing w:before="22" w:after="22"/>
              <w:ind w:right="22"/>
              <w:rPr>
                <w:rFonts w:ascii="Arial" w:hAnsi="Arial" w:cs="Arial"/>
                <w:color w:val="000000"/>
                <w:sz w:val="18"/>
                <w:szCs w:val="18"/>
              </w:rPr>
            </w:pPr>
            <w:r>
              <w:rPr>
                <w:rFonts w:ascii="Arial" w:hAnsi="Arial" w:cs="Arial"/>
                <w:color w:val="000000"/>
                <w:sz w:val="18"/>
                <w:szCs w:val="18"/>
              </w:rPr>
              <w:t> %</w:t>
            </w:r>
          </w:p>
        </w:tc>
        <w:tc>
          <w:tcPr>
            <w:tcW w:w="105" w:type="dxa"/>
            <w:tcBorders>
              <w:top w:val="nil"/>
              <w:left w:val="nil"/>
              <w:bottom w:val="nil"/>
              <w:right w:val="nil"/>
            </w:tcBorders>
            <w:vAlign w:val="bottom"/>
          </w:tcPr>
          <w:p w:rsidR="0073298C" w:rsidRDefault="0073298C" w:rsidP="0073298C">
            <w:pPr>
              <w:spacing w:before="22" w:after="22"/>
              <w:ind w:left="22" w:right="22"/>
              <w:rPr>
                <w:color w:val="000000"/>
              </w:rPr>
            </w:pPr>
            <w:r>
              <w:rPr>
                <w:color w:val="000000"/>
              </w:rPr>
              <w:t> </w:t>
            </w:r>
          </w:p>
        </w:tc>
        <w:tc>
          <w:tcPr>
            <w:tcW w:w="120" w:type="dxa"/>
            <w:tcBorders>
              <w:top w:val="nil"/>
              <w:left w:val="nil"/>
              <w:bottom w:val="nil"/>
              <w:right w:val="nil"/>
            </w:tcBorders>
            <w:vAlign w:val="center"/>
          </w:tcPr>
          <w:p w:rsidR="0073298C" w:rsidRDefault="0073298C" w:rsidP="0073298C">
            <w:pPr>
              <w:spacing w:before="22" w:after="22"/>
              <w:ind w:left="22"/>
              <w:rPr>
                <w:rFonts w:ascii="Arial" w:hAnsi="Arial" w:cs="Arial"/>
                <w:color w:val="000000"/>
                <w:sz w:val="18"/>
                <w:szCs w:val="18"/>
              </w:rPr>
            </w:pPr>
            <w:r>
              <w:rPr>
                <w:rFonts w:ascii="Arial" w:hAnsi="Arial" w:cs="Arial"/>
                <w:color w:val="000000"/>
                <w:sz w:val="18"/>
                <w:szCs w:val="18"/>
              </w:rPr>
              <w:t>$</w:t>
            </w:r>
          </w:p>
        </w:tc>
        <w:tc>
          <w:tcPr>
            <w:tcW w:w="1051" w:type="dxa"/>
            <w:tcBorders>
              <w:top w:val="nil"/>
              <w:left w:val="nil"/>
              <w:bottom w:val="nil"/>
              <w:right w:val="nil"/>
            </w:tcBorders>
            <w:vAlign w:val="center"/>
          </w:tcPr>
          <w:p w:rsidR="0073298C" w:rsidRDefault="0073298C" w:rsidP="0073298C">
            <w:pPr>
              <w:spacing w:before="22" w:after="22"/>
              <w:jc w:val="right"/>
              <w:rPr>
                <w:rFonts w:ascii="Arial" w:hAnsi="Arial" w:cs="Arial"/>
                <w:color w:val="000000"/>
                <w:sz w:val="18"/>
                <w:szCs w:val="18"/>
              </w:rPr>
            </w:pPr>
            <w:r>
              <w:rPr>
                <w:rFonts w:ascii="Arial" w:hAnsi="Arial" w:cs="Arial"/>
                <w:color w:val="000000"/>
                <w:sz w:val="18"/>
                <w:szCs w:val="18"/>
              </w:rPr>
              <w:t>—</w:t>
            </w:r>
          </w:p>
        </w:tc>
        <w:tc>
          <w:tcPr>
            <w:tcW w:w="104" w:type="dxa"/>
            <w:tcBorders>
              <w:top w:val="nil"/>
              <w:left w:val="nil"/>
              <w:bottom w:val="nil"/>
              <w:right w:val="nil"/>
            </w:tcBorders>
            <w:vAlign w:val="bottom"/>
          </w:tcPr>
          <w:p w:rsidR="0073298C" w:rsidRDefault="0073298C" w:rsidP="0073298C">
            <w:pPr>
              <w:spacing w:before="22" w:after="22"/>
              <w:jc w:val="right"/>
              <w:rPr>
                <w:rFonts w:ascii="Arial" w:hAnsi="Arial" w:cs="Arial"/>
                <w:color w:val="000000"/>
                <w:sz w:val="18"/>
                <w:szCs w:val="18"/>
              </w:rPr>
            </w:pPr>
          </w:p>
          <w:p w:rsidR="0073298C" w:rsidRDefault="0073298C" w:rsidP="0073298C">
            <w:pPr>
              <w:rPr>
                <w:sz w:val="16"/>
                <w:szCs w:val="16"/>
              </w:rPr>
            </w:pPr>
            <w:r>
              <w:rPr>
                <w:sz w:val="16"/>
                <w:szCs w:val="16"/>
              </w:rPr>
              <w:t> </w:t>
            </w:r>
          </w:p>
        </w:tc>
        <w:tc>
          <w:tcPr>
            <w:tcW w:w="105" w:type="dxa"/>
            <w:tcBorders>
              <w:top w:val="nil"/>
              <w:left w:val="nil"/>
              <w:bottom w:val="nil"/>
              <w:right w:val="nil"/>
            </w:tcBorders>
            <w:vAlign w:val="bottom"/>
          </w:tcPr>
          <w:p w:rsidR="0073298C" w:rsidRDefault="0073298C" w:rsidP="0073298C">
            <w:pPr>
              <w:spacing w:before="22" w:after="22"/>
              <w:ind w:left="22" w:right="22"/>
              <w:rPr>
                <w:color w:val="000000"/>
              </w:rPr>
            </w:pPr>
            <w:r>
              <w:rPr>
                <w:color w:val="000000"/>
              </w:rPr>
              <w:t> </w:t>
            </w:r>
          </w:p>
        </w:tc>
        <w:tc>
          <w:tcPr>
            <w:tcW w:w="1152" w:type="dxa"/>
            <w:tcBorders>
              <w:top w:val="nil"/>
              <w:left w:val="nil"/>
              <w:bottom w:val="nil"/>
              <w:right w:val="nil"/>
            </w:tcBorders>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w:t>
            </w:r>
          </w:p>
        </w:tc>
        <w:tc>
          <w:tcPr>
            <w:tcW w:w="180" w:type="dxa"/>
            <w:tcBorders>
              <w:top w:val="nil"/>
              <w:left w:val="nil"/>
              <w:bottom w:val="nil"/>
              <w:right w:val="nil"/>
            </w:tcBorders>
            <w:vAlign w:val="center"/>
          </w:tcPr>
          <w:p w:rsidR="0073298C" w:rsidRDefault="0073298C" w:rsidP="0073298C">
            <w:pPr>
              <w:spacing w:before="22" w:after="22"/>
              <w:ind w:right="22"/>
              <w:rPr>
                <w:rFonts w:ascii="Arial" w:hAnsi="Arial" w:cs="Arial"/>
                <w:color w:val="000000"/>
                <w:sz w:val="18"/>
                <w:szCs w:val="18"/>
              </w:rPr>
            </w:pPr>
            <w:r>
              <w:rPr>
                <w:rFonts w:ascii="Arial" w:hAnsi="Arial" w:cs="Arial"/>
                <w:color w:val="000000"/>
                <w:sz w:val="18"/>
                <w:szCs w:val="18"/>
              </w:rPr>
              <w:t>%</w:t>
            </w:r>
          </w:p>
        </w:tc>
        <w:tc>
          <w:tcPr>
            <w:tcW w:w="105" w:type="dxa"/>
            <w:tcBorders>
              <w:top w:val="nil"/>
              <w:left w:val="nil"/>
              <w:bottom w:val="nil"/>
              <w:right w:val="nil"/>
            </w:tcBorders>
            <w:vAlign w:val="bottom"/>
          </w:tcPr>
          <w:p w:rsidR="0073298C" w:rsidRDefault="0073298C" w:rsidP="0073298C">
            <w:pPr>
              <w:spacing w:before="22" w:after="22"/>
              <w:ind w:left="22" w:right="22"/>
              <w:rPr>
                <w:color w:val="000000"/>
              </w:rPr>
            </w:pPr>
            <w:r>
              <w:rPr>
                <w:color w:val="000000"/>
              </w:rPr>
              <w:t> </w:t>
            </w:r>
          </w:p>
        </w:tc>
        <w:tc>
          <w:tcPr>
            <w:tcW w:w="120" w:type="dxa"/>
            <w:tcBorders>
              <w:top w:val="nil"/>
              <w:left w:val="nil"/>
              <w:bottom w:val="nil"/>
              <w:right w:val="nil"/>
            </w:tcBorders>
            <w:vAlign w:val="center"/>
          </w:tcPr>
          <w:p w:rsidR="0073298C" w:rsidRDefault="0073298C" w:rsidP="0073298C">
            <w:pPr>
              <w:spacing w:before="22" w:after="22"/>
              <w:ind w:left="22"/>
              <w:rPr>
                <w:rFonts w:ascii="Arial" w:hAnsi="Arial" w:cs="Arial"/>
                <w:color w:val="000000"/>
                <w:sz w:val="18"/>
                <w:szCs w:val="18"/>
              </w:rPr>
            </w:pPr>
            <w:r>
              <w:rPr>
                <w:rFonts w:ascii="Arial" w:hAnsi="Arial" w:cs="Arial"/>
                <w:color w:val="000000"/>
                <w:sz w:val="18"/>
                <w:szCs w:val="18"/>
              </w:rPr>
              <w:t>$</w:t>
            </w:r>
          </w:p>
        </w:tc>
        <w:tc>
          <w:tcPr>
            <w:tcW w:w="1051" w:type="dxa"/>
            <w:tcBorders>
              <w:top w:val="nil"/>
              <w:left w:val="nil"/>
              <w:bottom w:val="nil"/>
              <w:right w:val="nil"/>
            </w:tcBorders>
            <w:vAlign w:val="center"/>
          </w:tcPr>
          <w:p w:rsidR="0073298C" w:rsidRDefault="0073298C" w:rsidP="0073298C">
            <w:pPr>
              <w:spacing w:before="22" w:after="22"/>
              <w:jc w:val="right"/>
              <w:rPr>
                <w:rFonts w:ascii="Arial" w:hAnsi="Arial" w:cs="Arial"/>
                <w:color w:val="000000"/>
                <w:sz w:val="18"/>
                <w:szCs w:val="18"/>
              </w:rPr>
            </w:pPr>
            <w:r>
              <w:rPr>
                <w:rFonts w:ascii="Arial" w:hAnsi="Arial" w:cs="Arial"/>
                <w:color w:val="000000"/>
                <w:sz w:val="18"/>
                <w:szCs w:val="18"/>
              </w:rPr>
              <w:t>—</w:t>
            </w:r>
          </w:p>
        </w:tc>
        <w:tc>
          <w:tcPr>
            <w:tcW w:w="104" w:type="dxa"/>
            <w:tcBorders>
              <w:top w:val="nil"/>
              <w:left w:val="nil"/>
              <w:bottom w:val="nil"/>
              <w:right w:val="nil"/>
            </w:tcBorders>
            <w:vAlign w:val="bottom"/>
          </w:tcPr>
          <w:p w:rsidR="0073298C" w:rsidRDefault="0073298C" w:rsidP="0073298C">
            <w:pPr>
              <w:spacing w:before="22" w:after="22"/>
              <w:jc w:val="right"/>
              <w:rPr>
                <w:rFonts w:ascii="Arial" w:hAnsi="Arial" w:cs="Arial"/>
                <w:color w:val="000000"/>
                <w:sz w:val="18"/>
                <w:szCs w:val="18"/>
              </w:rPr>
            </w:pPr>
          </w:p>
          <w:p w:rsidR="0073298C" w:rsidRDefault="0073298C" w:rsidP="0073298C">
            <w:pPr>
              <w:rPr>
                <w:sz w:val="16"/>
                <w:szCs w:val="16"/>
              </w:rPr>
            </w:pPr>
            <w:r>
              <w:rPr>
                <w:sz w:val="16"/>
                <w:szCs w:val="16"/>
              </w:rPr>
              <w:t> </w:t>
            </w:r>
          </w:p>
        </w:tc>
        <w:tc>
          <w:tcPr>
            <w:tcW w:w="105" w:type="dxa"/>
            <w:tcBorders>
              <w:top w:val="nil"/>
              <w:left w:val="nil"/>
              <w:bottom w:val="nil"/>
              <w:right w:val="nil"/>
            </w:tcBorders>
            <w:vAlign w:val="bottom"/>
          </w:tcPr>
          <w:p w:rsidR="0073298C" w:rsidRDefault="0073298C" w:rsidP="0073298C">
            <w:pPr>
              <w:spacing w:before="22" w:after="22"/>
              <w:ind w:left="22" w:right="22"/>
              <w:rPr>
                <w:color w:val="000000"/>
              </w:rPr>
            </w:pPr>
            <w:r>
              <w:rPr>
                <w:color w:val="000000"/>
              </w:rPr>
              <w:t> </w:t>
            </w:r>
          </w:p>
        </w:tc>
        <w:tc>
          <w:tcPr>
            <w:tcW w:w="1152" w:type="dxa"/>
            <w:tcBorders>
              <w:top w:val="nil"/>
              <w:left w:val="nil"/>
              <w:bottom w:val="nil"/>
              <w:right w:val="nil"/>
            </w:tcBorders>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w:t>
            </w:r>
          </w:p>
        </w:tc>
        <w:tc>
          <w:tcPr>
            <w:tcW w:w="188" w:type="dxa"/>
            <w:tcBorders>
              <w:top w:val="nil"/>
              <w:left w:val="nil"/>
              <w:bottom w:val="nil"/>
              <w:right w:val="single" w:sz="6" w:space="0" w:color="00467E"/>
            </w:tcBorders>
            <w:vAlign w:val="center"/>
          </w:tcPr>
          <w:p w:rsidR="0073298C" w:rsidRDefault="0073298C" w:rsidP="0073298C">
            <w:pPr>
              <w:spacing w:before="22" w:after="22"/>
              <w:ind w:right="22"/>
              <w:rPr>
                <w:rFonts w:ascii="Arial" w:hAnsi="Arial" w:cs="Arial"/>
                <w:color w:val="000000"/>
                <w:sz w:val="18"/>
                <w:szCs w:val="18"/>
              </w:rPr>
            </w:pPr>
            <w:r>
              <w:rPr>
                <w:rFonts w:ascii="Arial" w:hAnsi="Arial" w:cs="Arial"/>
                <w:color w:val="000000"/>
                <w:sz w:val="18"/>
                <w:szCs w:val="18"/>
              </w:rPr>
              <w:t>%</w:t>
            </w:r>
          </w:p>
        </w:tc>
      </w:tr>
      <w:tr w:rsidR="0073298C" w:rsidTr="0073298C">
        <w:tblPrEx>
          <w:tblCellMar>
            <w:top w:w="0" w:type="dxa"/>
            <w:left w:w="0" w:type="dxa"/>
            <w:bottom w:w="0" w:type="dxa"/>
            <w:right w:w="0" w:type="dxa"/>
          </w:tblCellMar>
        </w:tblPrEx>
        <w:trPr>
          <w:trHeight w:val="281"/>
          <w:jc w:val="center"/>
        </w:trPr>
        <w:tc>
          <w:tcPr>
            <w:tcW w:w="2399" w:type="dxa"/>
            <w:tcBorders>
              <w:top w:val="nil"/>
              <w:left w:val="single" w:sz="6" w:space="0" w:color="00467E"/>
              <w:bottom w:val="nil"/>
              <w:right w:val="nil"/>
            </w:tcBorders>
            <w:shd w:val="clear" w:color="CFD4D8" w:fill="CFD4D8"/>
            <w:vAlign w:val="center"/>
          </w:tcPr>
          <w:p w:rsidR="0073298C" w:rsidRDefault="0073298C" w:rsidP="0073298C">
            <w:pPr>
              <w:spacing w:before="22" w:after="22"/>
              <w:ind w:left="22" w:right="22"/>
              <w:rPr>
                <w:rFonts w:ascii="Arial" w:hAnsi="Arial" w:cs="Arial"/>
                <w:color w:val="000000"/>
                <w:sz w:val="18"/>
                <w:szCs w:val="18"/>
              </w:rPr>
            </w:pPr>
            <w:r>
              <w:rPr>
                <w:rFonts w:ascii="Arial" w:hAnsi="Arial" w:cs="Arial"/>
                <w:color w:val="000000"/>
                <w:sz w:val="18"/>
                <w:szCs w:val="18"/>
              </w:rPr>
              <w:t>Swift – Refrigerated</w:t>
            </w:r>
          </w:p>
        </w:tc>
        <w:tc>
          <w:tcPr>
            <w:tcW w:w="120" w:type="dxa"/>
            <w:tcBorders>
              <w:top w:val="nil"/>
              <w:left w:val="nil"/>
              <w:bottom w:val="nil"/>
              <w:right w:val="nil"/>
            </w:tcBorders>
            <w:shd w:val="clear" w:color="CFD4D8" w:fill="CFD4D8"/>
            <w:vAlign w:val="center"/>
          </w:tcPr>
          <w:p w:rsidR="0073298C" w:rsidRDefault="0073298C" w:rsidP="0073298C">
            <w:pPr>
              <w:spacing w:before="22" w:after="22"/>
              <w:ind w:left="22"/>
              <w:rPr>
                <w:rFonts w:ascii="Arial" w:hAnsi="Arial" w:cs="Arial"/>
                <w:color w:val="000000"/>
                <w:sz w:val="18"/>
                <w:szCs w:val="18"/>
              </w:rPr>
            </w:pPr>
            <w:r>
              <w:rPr>
                <w:rFonts w:ascii="Arial" w:hAnsi="Arial" w:cs="Arial"/>
                <w:color w:val="000000"/>
                <w:sz w:val="18"/>
                <w:szCs w:val="18"/>
              </w:rPr>
              <w:t>$</w:t>
            </w:r>
          </w:p>
        </w:tc>
        <w:tc>
          <w:tcPr>
            <w:tcW w:w="1051" w:type="dxa"/>
            <w:tcBorders>
              <w:top w:val="nil"/>
              <w:left w:val="nil"/>
              <w:bottom w:val="nil"/>
              <w:right w:val="nil"/>
            </w:tcBorders>
            <w:shd w:val="clear" w:color="CFD4D8" w:fill="CFD4D8"/>
            <w:vAlign w:val="center"/>
          </w:tcPr>
          <w:p w:rsidR="0073298C" w:rsidRDefault="0073298C" w:rsidP="0073298C">
            <w:pPr>
              <w:spacing w:before="22" w:after="22"/>
              <w:jc w:val="right"/>
              <w:rPr>
                <w:rFonts w:ascii="Arial" w:hAnsi="Arial" w:cs="Arial"/>
                <w:color w:val="000000"/>
                <w:sz w:val="18"/>
                <w:szCs w:val="18"/>
              </w:rPr>
            </w:pPr>
            <w:r>
              <w:rPr>
                <w:rFonts w:ascii="Arial" w:hAnsi="Arial" w:cs="Arial"/>
                <w:color w:val="000000"/>
                <w:sz w:val="18"/>
                <w:szCs w:val="18"/>
              </w:rPr>
              <w:t>13,626</w:t>
            </w:r>
          </w:p>
        </w:tc>
        <w:tc>
          <w:tcPr>
            <w:tcW w:w="106" w:type="dxa"/>
            <w:tcBorders>
              <w:top w:val="nil"/>
              <w:left w:val="nil"/>
              <w:bottom w:val="nil"/>
              <w:right w:val="nil"/>
            </w:tcBorders>
            <w:shd w:val="clear" w:color="CFD4D8" w:fill="CFD4D8"/>
            <w:vAlign w:val="bottom"/>
          </w:tcPr>
          <w:p w:rsidR="0073298C" w:rsidRDefault="0073298C" w:rsidP="0073298C">
            <w:pPr>
              <w:spacing w:before="22" w:after="22"/>
              <w:jc w:val="right"/>
              <w:rPr>
                <w:rFonts w:ascii="Arial" w:hAnsi="Arial" w:cs="Arial"/>
                <w:color w:val="000000"/>
                <w:sz w:val="18"/>
                <w:szCs w:val="18"/>
              </w:rPr>
            </w:pPr>
          </w:p>
          <w:p w:rsidR="0073298C" w:rsidRDefault="0073298C" w:rsidP="0073298C">
            <w:pPr>
              <w:rPr>
                <w:sz w:val="16"/>
                <w:szCs w:val="16"/>
              </w:rPr>
            </w:pPr>
            <w:r>
              <w:rPr>
                <w:sz w:val="16"/>
                <w:szCs w:val="16"/>
              </w:rPr>
              <w:t> </w:t>
            </w:r>
          </w:p>
        </w:tc>
        <w:tc>
          <w:tcPr>
            <w:tcW w:w="105" w:type="dxa"/>
            <w:tcBorders>
              <w:top w:val="nil"/>
              <w:left w:val="nil"/>
              <w:bottom w:val="nil"/>
              <w:right w:val="nil"/>
            </w:tcBorders>
            <w:shd w:val="clear" w:color="CFD4D8" w:fill="CFD4D8"/>
            <w:vAlign w:val="bottom"/>
          </w:tcPr>
          <w:p w:rsidR="0073298C" w:rsidRDefault="0073298C" w:rsidP="0073298C">
            <w:pPr>
              <w:spacing w:before="22" w:after="22"/>
              <w:ind w:left="22" w:right="22"/>
              <w:rPr>
                <w:color w:val="000000"/>
              </w:rPr>
            </w:pPr>
            <w:r>
              <w:rPr>
                <w:color w:val="000000"/>
              </w:rPr>
              <w:t> </w:t>
            </w:r>
          </w:p>
        </w:tc>
        <w:tc>
          <w:tcPr>
            <w:tcW w:w="1138" w:type="dxa"/>
            <w:tcBorders>
              <w:top w:val="nil"/>
              <w:left w:val="nil"/>
              <w:bottom w:val="nil"/>
              <w:right w:val="nil"/>
            </w:tcBorders>
            <w:shd w:val="clear" w:color="CFD4D8" w:fill="CFD4D8"/>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6.8</w:t>
            </w:r>
          </w:p>
        </w:tc>
        <w:tc>
          <w:tcPr>
            <w:tcW w:w="239" w:type="dxa"/>
            <w:tcBorders>
              <w:top w:val="nil"/>
              <w:left w:val="nil"/>
              <w:bottom w:val="nil"/>
              <w:right w:val="nil"/>
            </w:tcBorders>
            <w:shd w:val="clear" w:color="CFD4D8" w:fill="CFD4D8"/>
            <w:vAlign w:val="center"/>
          </w:tcPr>
          <w:p w:rsidR="0073298C" w:rsidRDefault="0073298C" w:rsidP="0073298C">
            <w:pPr>
              <w:spacing w:before="22" w:after="22"/>
              <w:ind w:right="22"/>
              <w:rPr>
                <w:rFonts w:ascii="Arial" w:hAnsi="Arial" w:cs="Arial"/>
                <w:color w:val="000000"/>
                <w:sz w:val="18"/>
                <w:szCs w:val="18"/>
              </w:rPr>
            </w:pPr>
            <w:r>
              <w:rPr>
                <w:rFonts w:ascii="Arial" w:hAnsi="Arial" w:cs="Arial"/>
                <w:color w:val="000000"/>
                <w:sz w:val="18"/>
                <w:szCs w:val="18"/>
              </w:rPr>
              <w:t> %</w:t>
            </w:r>
          </w:p>
        </w:tc>
        <w:tc>
          <w:tcPr>
            <w:tcW w:w="105" w:type="dxa"/>
            <w:tcBorders>
              <w:top w:val="nil"/>
              <w:left w:val="nil"/>
              <w:bottom w:val="nil"/>
              <w:right w:val="nil"/>
            </w:tcBorders>
            <w:shd w:val="clear" w:color="CFD4D8" w:fill="CFD4D8"/>
            <w:vAlign w:val="bottom"/>
          </w:tcPr>
          <w:p w:rsidR="0073298C" w:rsidRDefault="0073298C" w:rsidP="0073298C">
            <w:pPr>
              <w:spacing w:before="22" w:after="22"/>
              <w:ind w:left="22" w:right="22"/>
              <w:rPr>
                <w:color w:val="000000"/>
              </w:rPr>
            </w:pPr>
            <w:r>
              <w:rPr>
                <w:color w:val="000000"/>
              </w:rPr>
              <w:t> </w:t>
            </w:r>
          </w:p>
        </w:tc>
        <w:tc>
          <w:tcPr>
            <w:tcW w:w="120" w:type="dxa"/>
            <w:tcBorders>
              <w:top w:val="nil"/>
              <w:left w:val="nil"/>
              <w:bottom w:val="nil"/>
              <w:right w:val="nil"/>
            </w:tcBorders>
            <w:shd w:val="clear" w:color="CFD4D8" w:fill="CFD4D8"/>
            <w:vAlign w:val="center"/>
          </w:tcPr>
          <w:p w:rsidR="0073298C" w:rsidRDefault="0073298C" w:rsidP="0073298C">
            <w:pPr>
              <w:spacing w:before="22" w:after="22"/>
              <w:ind w:left="22"/>
              <w:rPr>
                <w:rFonts w:ascii="Arial" w:hAnsi="Arial" w:cs="Arial"/>
                <w:color w:val="000000"/>
                <w:sz w:val="18"/>
                <w:szCs w:val="18"/>
              </w:rPr>
            </w:pPr>
            <w:r>
              <w:rPr>
                <w:rFonts w:ascii="Arial" w:hAnsi="Arial" w:cs="Arial"/>
                <w:color w:val="000000"/>
                <w:sz w:val="18"/>
                <w:szCs w:val="18"/>
              </w:rPr>
              <w:t>$</w:t>
            </w:r>
          </w:p>
        </w:tc>
        <w:tc>
          <w:tcPr>
            <w:tcW w:w="1051" w:type="dxa"/>
            <w:tcBorders>
              <w:top w:val="nil"/>
              <w:left w:val="nil"/>
              <w:bottom w:val="nil"/>
              <w:right w:val="nil"/>
            </w:tcBorders>
            <w:shd w:val="clear" w:color="CFD4D8" w:fill="CFD4D8"/>
            <w:vAlign w:val="center"/>
          </w:tcPr>
          <w:p w:rsidR="0073298C" w:rsidRDefault="0073298C" w:rsidP="0073298C">
            <w:pPr>
              <w:spacing w:before="22" w:after="22"/>
              <w:jc w:val="right"/>
              <w:rPr>
                <w:rFonts w:ascii="Arial" w:hAnsi="Arial" w:cs="Arial"/>
                <w:color w:val="000000"/>
                <w:sz w:val="18"/>
                <w:szCs w:val="18"/>
              </w:rPr>
            </w:pPr>
            <w:r>
              <w:rPr>
                <w:rFonts w:ascii="Arial" w:hAnsi="Arial" w:cs="Arial"/>
                <w:color w:val="000000"/>
                <w:sz w:val="18"/>
                <w:szCs w:val="18"/>
              </w:rPr>
              <w:t>—</w:t>
            </w:r>
          </w:p>
        </w:tc>
        <w:tc>
          <w:tcPr>
            <w:tcW w:w="104" w:type="dxa"/>
            <w:tcBorders>
              <w:top w:val="nil"/>
              <w:left w:val="nil"/>
              <w:bottom w:val="nil"/>
              <w:right w:val="nil"/>
            </w:tcBorders>
            <w:shd w:val="clear" w:color="CFD4D8" w:fill="CFD4D8"/>
            <w:vAlign w:val="bottom"/>
          </w:tcPr>
          <w:p w:rsidR="0073298C" w:rsidRDefault="0073298C" w:rsidP="0073298C">
            <w:pPr>
              <w:spacing w:before="22" w:after="22"/>
              <w:jc w:val="right"/>
              <w:rPr>
                <w:rFonts w:ascii="Arial" w:hAnsi="Arial" w:cs="Arial"/>
                <w:color w:val="000000"/>
                <w:sz w:val="18"/>
                <w:szCs w:val="18"/>
              </w:rPr>
            </w:pPr>
          </w:p>
          <w:p w:rsidR="0073298C" w:rsidRDefault="0073298C" w:rsidP="0073298C">
            <w:pPr>
              <w:rPr>
                <w:sz w:val="16"/>
                <w:szCs w:val="16"/>
              </w:rPr>
            </w:pPr>
            <w:r>
              <w:rPr>
                <w:sz w:val="16"/>
                <w:szCs w:val="16"/>
              </w:rPr>
              <w:t> </w:t>
            </w:r>
          </w:p>
        </w:tc>
        <w:tc>
          <w:tcPr>
            <w:tcW w:w="105" w:type="dxa"/>
            <w:tcBorders>
              <w:top w:val="nil"/>
              <w:left w:val="nil"/>
              <w:bottom w:val="nil"/>
              <w:right w:val="nil"/>
            </w:tcBorders>
            <w:shd w:val="clear" w:color="CFD4D8" w:fill="CFD4D8"/>
            <w:vAlign w:val="bottom"/>
          </w:tcPr>
          <w:p w:rsidR="0073298C" w:rsidRDefault="0073298C" w:rsidP="0073298C">
            <w:pPr>
              <w:spacing w:before="22" w:after="22"/>
              <w:ind w:left="22" w:right="22"/>
              <w:rPr>
                <w:color w:val="000000"/>
              </w:rPr>
            </w:pPr>
            <w:r>
              <w:rPr>
                <w:color w:val="000000"/>
              </w:rPr>
              <w:t> </w:t>
            </w:r>
          </w:p>
        </w:tc>
        <w:tc>
          <w:tcPr>
            <w:tcW w:w="1152" w:type="dxa"/>
            <w:tcBorders>
              <w:top w:val="nil"/>
              <w:left w:val="nil"/>
              <w:bottom w:val="nil"/>
              <w:right w:val="nil"/>
            </w:tcBorders>
            <w:shd w:val="clear" w:color="CFD4D8" w:fill="CFD4D8"/>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w:t>
            </w:r>
          </w:p>
        </w:tc>
        <w:tc>
          <w:tcPr>
            <w:tcW w:w="180" w:type="dxa"/>
            <w:tcBorders>
              <w:top w:val="nil"/>
              <w:left w:val="nil"/>
              <w:bottom w:val="nil"/>
              <w:right w:val="nil"/>
            </w:tcBorders>
            <w:shd w:val="clear" w:color="CFD4D8" w:fill="CFD4D8"/>
            <w:vAlign w:val="center"/>
          </w:tcPr>
          <w:p w:rsidR="0073298C" w:rsidRDefault="0073298C" w:rsidP="0073298C">
            <w:pPr>
              <w:spacing w:before="22" w:after="22"/>
              <w:ind w:right="22"/>
              <w:rPr>
                <w:rFonts w:ascii="Arial" w:hAnsi="Arial" w:cs="Arial"/>
                <w:color w:val="000000"/>
                <w:sz w:val="18"/>
                <w:szCs w:val="18"/>
              </w:rPr>
            </w:pPr>
            <w:r>
              <w:rPr>
                <w:rFonts w:ascii="Arial" w:hAnsi="Arial" w:cs="Arial"/>
                <w:color w:val="000000"/>
                <w:sz w:val="18"/>
                <w:szCs w:val="18"/>
              </w:rPr>
              <w:t>%</w:t>
            </w:r>
          </w:p>
        </w:tc>
        <w:tc>
          <w:tcPr>
            <w:tcW w:w="105" w:type="dxa"/>
            <w:tcBorders>
              <w:top w:val="nil"/>
              <w:left w:val="nil"/>
              <w:bottom w:val="nil"/>
              <w:right w:val="nil"/>
            </w:tcBorders>
            <w:shd w:val="clear" w:color="CFD4D8" w:fill="CFD4D8"/>
            <w:vAlign w:val="bottom"/>
          </w:tcPr>
          <w:p w:rsidR="0073298C" w:rsidRDefault="0073298C" w:rsidP="0073298C">
            <w:pPr>
              <w:spacing w:before="22" w:after="22"/>
              <w:ind w:left="22" w:right="22"/>
              <w:rPr>
                <w:color w:val="000000"/>
              </w:rPr>
            </w:pPr>
            <w:r>
              <w:rPr>
                <w:color w:val="000000"/>
              </w:rPr>
              <w:t> </w:t>
            </w:r>
          </w:p>
        </w:tc>
        <w:tc>
          <w:tcPr>
            <w:tcW w:w="120" w:type="dxa"/>
            <w:tcBorders>
              <w:top w:val="nil"/>
              <w:left w:val="nil"/>
              <w:bottom w:val="nil"/>
              <w:right w:val="nil"/>
            </w:tcBorders>
            <w:shd w:val="clear" w:color="CFD4D8" w:fill="CFD4D8"/>
            <w:vAlign w:val="center"/>
          </w:tcPr>
          <w:p w:rsidR="0073298C" w:rsidRDefault="0073298C" w:rsidP="0073298C">
            <w:pPr>
              <w:spacing w:before="22" w:after="22"/>
              <w:ind w:left="22"/>
              <w:rPr>
                <w:rFonts w:ascii="Arial" w:hAnsi="Arial" w:cs="Arial"/>
                <w:color w:val="000000"/>
                <w:sz w:val="18"/>
                <w:szCs w:val="18"/>
              </w:rPr>
            </w:pPr>
            <w:r>
              <w:rPr>
                <w:rFonts w:ascii="Arial" w:hAnsi="Arial" w:cs="Arial"/>
                <w:color w:val="000000"/>
                <w:sz w:val="18"/>
                <w:szCs w:val="18"/>
              </w:rPr>
              <w:t>$</w:t>
            </w:r>
          </w:p>
        </w:tc>
        <w:tc>
          <w:tcPr>
            <w:tcW w:w="1051" w:type="dxa"/>
            <w:tcBorders>
              <w:top w:val="nil"/>
              <w:left w:val="nil"/>
              <w:bottom w:val="nil"/>
              <w:right w:val="nil"/>
            </w:tcBorders>
            <w:shd w:val="clear" w:color="CFD4D8" w:fill="CFD4D8"/>
            <w:vAlign w:val="center"/>
          </w:tcPr>
          <w:p w:rsidR="0073298C" w:rsidRDefault="0073298C" w:rsidP="0073298C">
            <w:pPr>
              <w:spacing w:before="22" w:after="22"/>
              <w:jc w:val="right"/>
              <w:rPr>
                <w:rFonts w:ascii="Arial" w:hAnsi="Arial" w:cs="Arial"/>
                <w:color w:val="000000"/>
                <w:sz w:val="18"/>
                <w:szCs w:val="18"/>
              </w:rPr>
            </w:pPr>
            <w:r>
              <w:rPr>
                <w:rFonts w:ascii="Arial" w:hAnsi="Arial" w:cs="Arial"/>
                <w:color w:val="000000"/>
                <w:sz w:val="18"/>
                <w:szCs w:val="18"/>
              </w:rPr>
              <w:t>—</w:t>
            </w:r>
          </w:p>
        </w:tc>
        <w:tc>
          <w:tcPr>
            <w:tcW w:w="104" w:type="dxa"/>
            <w:tcBorders>
              <w:top w:val="nil"/>
              <w:left w:val="nil"/>
              <w:bottom w:val="nil"/>
              <w:right w:val="nil"/>
            </w:tcBorders>
            <w:shd w:val="clear" w:color="CFD4D8" w:fill="CFD4D8"/>
            <w:vAlign w:val="bottom"/>
          </w:tcPr>
          <w:p w:rsidR="0073298C" w:rsidRDefault="0073298C" w:rsidP="0073298C">
            <w:pPr>
              <w:spacing w:before="22" w:after="22"/>
              <w:jc w:val="right"/>
              <w:rPr>
                <w:rFonts w:ascii="Arial" w:hAnsi="Arial" w:cs="Arial"/>
                <w:color w:val="000000"/>
                <w:sz w:val="18"/>
                <w:szCs w:val="18"/>
              </w:rPr>
            </w:pPr>
          </w:p>
          <w:p w:rsidR="0073298C" w:rsidRDefault="0073298C" w:rsidP="0073298C">
            <w:pPr>
              <w:rPr>
                <w:sz w:val="16"/>
                <w:szCs w:val="16"/>
              </w:rPr>
            </w:pPr>
            <w:r>
              <w:rPr>
                <w:sz w:val="16"/>
                <w:szCs w:val="16"/>
              </w:rPr>
              <w:t> </w:t>
            </w:r>
          </w:p>
        </w:tc>
        <w:tc>
          <w:tcPr>
            <w:tcW w:w="105" w:type="dxa"/>
            <w:tcBorders>
              <w:top w:val="nil"/>
              <w:left w:val="nil"/>
              <w:bottom w:val="nil"/>
              <w:right w:val="nil"/>
            </w:tcBorders>
            <w:shd w:val="clear" w:color="CFD4D8" w:fill="CFD4D8"/>
            <w:vAlign w:val="bottom"/>
          </w:tcPr>
          <w:p w:rsidR="0073298C" w:rsidRDefault="0073298C" w:rsidP="0073298C">
            <w:pPr>
              <w:spacing w:before="22" w:after="22"/>
              <w:ind w:left="22" w:right="22"/>
              <w:rPr>
                <w:color w:val="000000"/>
              </w:rPr>
            </w:pPr>
            <w:r>
              <w:rPr>
                <w:color w:val="000000"/>
              </w:rPr>
              <w:t> </w:t>
            </w:r>
          </w:p>
        </w:tc>
        <w:tc>
          <w:tcPr>
            <w:tcW w:w="1152" w:type="dxa"/>
            <w:tcBorders>
              <w:top w:val="nil"/>
              <w:left w:val="nil"/>
              <w:bottom w:val="nil"/>
              <w:right w:val="nil"/>
            </w:tcBorders>
            <w:shd w:val="clear" w:color="CFD4D8" w:fill="CFD4D8"/>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w:t>
            </w:r>
          </w:p>
        </w:tc>
        <w:tc>
          <w:tcPr>
            <w:tcW w:w="188" w:type="dxa"/>
            <w:tcBorders>
              <w:top w:val="nil"/>
              <w:left w:val="nil"/>
              <w:bottom w:val="nil"/>
              <w:right w:val="single" w:sz="6" w:space="0" w:color="00467E"/>
            </w:tcBorders>
            <w:shd w:val="clear" w:color="CFD4D8" w:fill="CFD4D8"/>
            <w:vAlign w:val="center"/>
          </w:tcPr>
          <w:p w:rsidR="0073298C" w:rsidRDefault="0073298C" w:rsidP="0073298C">
            <w:pPr>
              <w:spacing w:before="22" w:after="22"/>
              <w:ind w:right="22"/>
              <w:rPr>
                <w:rFonts w:ascii="Arial" w:hAnsi="Arial" w:cs="Arial"/>
                <w:color w:val="000000"/>
                <w:sz w:val="18"/>
                <w:szCs w:val="18"/>
              </w:rPr>
            </w:pPr>
            <w:r>
              <w:rPr>
                <w:rFonts w:ascii="Arial" w:hAnsi="Arial" w:cs="Arial"/>
                <w:color w:val="000000"/>
                <w:sz w:val="18"/>
                <w:szCs w:val="18"/>
              </w:rPr>
              <w:t>%</w:t>
            </w:r>
          </w:p>
        </w:tc>
      </w:tr>
      <w:tr w:rsidR="0073298C" w:rsidTr="0073298C">
        <w:tblPrEx>
          <w:tblCellMar>
            <w:top w:w="0" w:type="dxa"/>
            <w:left w:w="0" w:type="dxa"/>
            <w:bottom w:w="0" w:type="dxa"/>
            <w:right w:w="0" w:type="dxa"/>
          </w:tblCellMar>
        </w:tblPrEx>
        <w:trPr>
          <w:trHeight w:val="281"/>
          <w:jc w:val="center"/>
        </w:trPr>
        <w:tc>
          <w:tcPr>
            <w:tcW w:w="2399" w:type="dxa"/>
            <w:tcBorders>
              <w:top w:val="nil"/>
              <w:left w:val="single" w:sz="6" w:space="0" w:color="00467E"/>
              <w:bottom w:val="nil"/>
              <w:right w:val="nil"/>
            </w:tcBorders>
            <w:vAlign w:val="center"/>
          </w:tcPr>
          <w:p w:rsidR="0073298C" w:rsidRDefault="0073298C" w:rsidP="0073298C">
            <w:pPr>
              <w:spacing w:before="22" w:after="22"/>
              <w:ind w:left="22" w:right="22"/>
              <w:rPr>
                <w:rFonts w:ascii="Arial" w:hAnsi="Arial" w:cs="Arial"/>
                <w:color w:val="000000"/>
                <w:sz w:val="18"/>
                <w:szCs w:val="18"/>
              </w:rPr>
            </w:pPr>
            <w:r>
              <w:rPr>
                <w:rFonts w:ascii="Arial" w:hAnsi="Arial" w:cs="Arial"/>
                <w:color w:val="000000"/>
                <w:sz w:val="18"/>
                <w:szCs w:val="18"/>
              </w:rPr>
              <w:t>Swift – Intermodal</w:t>
            </w:r>
          </w:p>
        </w:tc>
        <w:tc>
          <w:tcPr>
            <w:tcW w:w="120" w:type="dxa"/>
            <w:tcBorders>
              <w:top w:val="nil"/>
              <w:left w:val="nil"/>
              <w:bottom w:val="single" w:sz="6" w:space="0" w:color="000000"/>
              <w:right w:val="nil"/>
            </w:tcBorders>
            <w:vAlign w:val="center"/>
          </w:tcPr>
          <w:p w:rsidR="0073298C" w:rsidRDefault="0073298C" w:rsidP="0073298C">
            <w:pPr>
              <w:spacing w:before="22" w:after="22"/>
              <w:ind w:left="22"/>
              <w:rPr>
                <w:rFonts w:ascii="Arial" w:hAnsi="Arial" w:cs="Arial"/>
                <w:color w:val="000000"/>
                <w:sz w:val="18"/>
                <w:szCs w:val="18"/>
              </w:rPr>
            </w:pPr>
            <w:r>
              <w:rPr>
                <w:rFonts w:ascii="Arial" w:hAnsi="Arial" w:cs="Arial"/>
                <w:color w:val="000000"/>
                <w:sz w:val="18"/>
                <w:szCs w:val="18"/>
              </w:rPr>
              <w:t>$</w:t>
            </w:r>
          </w:p>
        </w:tc>
        <w:tc>
          <w:tcPr>
            <w:tcW w:w="1051" w:type="dxa"/>
            <w:tcBorders>
              <w:top w:val="nil"/>
              <w:left w:val="nil"/>
              <w:bottom w:val="single" w:sz="6" w:space="0" w:color="000000"/>
              <w:right w:val="nil"/>
            </w:tcBorders>
            <w:vAlign w:val="center"/>
          </w:tcPr>
          <w:p w:rsidR="0073298C" w:rsidRDefault="0073298C" w:rsidP="0073298C">
            <w:pPr>
              <w:spacing w:before="22" w:after="22"/>
              <w:jc w:val="right"/>
              <w:rPr>
                <w:rFonts w:ascii="Arial" w:hAnsi="Arial" w:cs="Arial"/>
                <w:color w:val="000000"/>
                <w:sz w:val="18"/>
                <w:szCs w:val="18"/>
              </w:rPr>
            </w:pPr>
            <w:r>
              <w:rPr>
                <w:rFonts w:ascii="Arial" w:hAnsi="Arial" w:cs="Arial"/>
                <w:color w:val="000000"/>
                <w:sz w:val="18"/>
                <w:szCs w:val="18"/>
              </w:rPr>
              <w:t>5,977</w:t>
            </w:r>
          </w:p>
        </w:tc>
        <w:tc>
          <w:tcPr>
            <w:tcW w:w="106" w:type="dxa"/>
            <w:tcBorders>
              <w:top w:val="nil"/>
              <w:left w:val="nil"/>
              <w:bottom w:val="single" w:sz="6" w:space="0" w:color="000000"/>
              <w:right w:val="nil"/>
            </w:tcBorders>
            <w:vAlign w:val="bottom"/>
          </w:tcPr>
          <w:p w:rsidR="0073298C" w:rsidRDefault="0073298C" w:rsidP="0073298C">
            <w:pPr>
              <w:spacing w:before="22" w:after="22"/>
              <w:jc w:val="right"/>
              <w:rPr>
                <w:rFonts w:ascii="Arial" w:hAnsi="Arial" w:cs="Arial"/>
                <w:color w:val="000000"/>
                <w:sz w:val="18"/>
                <w:szCs w:val="18"/>
              </w:rPr>
            </w:pPr>
          </w:p>
          <w:p w:rsidR="0073298C" w:rsidRDefault="0073298C" w:rsidP="0073298C">
            <w:pPr>
              <w:rPr>
                <w:sz w:val="16"/>
                <w:szCs w:val="16"/>
              </w:rPr>
            </w:pPr>
            <w:r>
              <w:rPr>
                <w:sz w:val="16"/>
                <w:szCs w:val="16"/>
              </w:rPr>
              <w:t> </w:t>
            </w:r>
          </w:p>
        </w:tc>
        <w:tc>
          <w:tcPr>
            <w:tcW w:w="105" w:type="dxa"/>
            <w:tcBorders>
              <w:top w:val="nil"/>
              <w:left w:val="nil"/>
              <w:bottom w:val="nil"/>
              <w:right w:val="nil"/>
            </w:tcBorders>
            <w:vAlign w:val="bottom"/>
          </w:tcPr>
          <w:p w:rsidR="0073298C" w:rsidRDefault="0073298C" w:rsidP="0073298C">
            <w:pPr>
              <w:spacing w:before="22" w:after="22"/>
              <w:ind w:left="22" w:right="22"/>
              <w:rPr>
                <w:color w:val="000000"/>
              </w:rPr>
            </w:pPr>
            <w:r>
              <w:rPr>
                <w:color w:val="000000"/>
              </w:rPr>
              <w:t> </w:t>
            </w:r>
          </w:p>
        </w:tc>
        <w:tc>
          <w:tcPr>
            <w:tcW w:w="1138" w:type="dxa"/>
            <w:tcBorders>
              <w:top w:val="nil"/>
              <w:left w:val="nil"/>
              <w:bottom w:val="single" w:sz="6" w:space="0" w:color="000000"/>
              <w:right w:val="nil"/>
            </w:tcBorders>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3.0</w:t>
            </w:r>
          </w:p>
        </w:tc>
        <w:tc>
          <w:tcPr>
            <w:tcW w:w="239" w:type="dxa"/>
            <w:tcBorders>
              <w:top w:val="nil"/>
              <w:left w:val="nil"/>
              <w:bottom w:val="single" w:sz="6" w:space="0" w:color="000000"/>
              <w:right w:val="nil"/>
            </w:tcBorders>
            <w:vAlign w:val="center"/>
          </w:tcPr>
          <w:p w:rsidR="0073298C" w:rsidRDefault="0073298C" w:rsidP="0073298C">
            <w:pPr>
              <w:spacing w:before="22" w:after="22"/>
              <w:ind w:right="22"/>
              <w:rPr>
                <w:rFonts w:ascii="Arial" w:hAnsi="Arial" w:cs="Arial"/>
                <w:color w:val="000000"/>
                <w:sz w:val="18"/>
                <w:szCs w:val="18"/>
              </w:rPr>
            </w:pPr>
            <w:r>
              <w:rPr>
                <w:rFonts w:ascii="Arial" w:hAnsi="Arial" w:cs="Arial"/>
                <w:color w:val="000000"/>
                <w:sz w:val="18"/>
                <w:szCs w:val="18"/>
              </w:rPr>
              <w:t> %</w:t>
            </w:r>
          </w:p>
        </w:tc>
        <w:tc>
          <w:tcPr>
            <w:tcW w:w="105" w:type="dxa"/>
            <w:tcBorders>
              <w:top w:val="nil"/>
              <w:left w:val="nil"/>
              <w:bottom w:val="nil"/>
              <w:right w:val="nil"/>
            </w:tcBorders>
            <w:vAlign w:val="bottom"/>
          </w:tcPr>
          <w:p w:rsidR="0073298C" w:rsidRDefault="0073298C" w:rsidP="0073298C">
            <w:pPr>
              <w:spacing w:before="22" w:after="22"/>
              <w:ind w:left="22" w:right="22"/>
              <w:rPr>
                <w:color w:val="000000"/>
              </w:rPr>
            </w:pPr>
            <w:r>
              <w:rPr>
                <w:color w:val="000000"/>
              </w:rPr>
              <w:t> </w:t>
            </w:r>
          </w:p>
        </w:tc>
        <w:tc>
          <w:tcPr>
            <w:tcW w:w="120" w:type="dxa"/>
            <w:tcBorders>
              <w:top w:val="nil"/>
              <w:left w:val="nil"/>
              <w:bottom w:val="single" w:sz="6" w:space="0" w:color="000000"/>
              <w:right w:val="nil"/>
            </w:tcBorders>
            <w:vAlign w:val="center"/>
          </w:tcPr>
          <w:p w:rsidR="0073298C" w:rsidRDefault="0073298C" w:rsidP="0073298C">
            <w:pPr>
              <w:spacing w:before="22" w:after="22"/>
              <w:ind w:left="22"/>
              <w:rPr>
                <w:rFonts w:ascii="Arial" w:hAnsi="Arial" w:cs="Arial"/>
                <w:color w:val="000000"/>
                <w:sz w:val="18"/>
                <w:szCs w:val="18"/>
              </w:rPr>
            </w:pPr>
            <w:r>
              <w:rPr>
                <w:rFonts w:ascii="Arial" w:hAnsi="Arial" w:cs="Arial"/>
                <w:color w:val="000000"/>
                <w:sz w:val="18"/>
                <w:szCs w:val="18"/>
              </w:rPr>
              <w:t>$</w:t>
            </w:r>
          </w:p>
        </w:tc>
        <w:tc>
          <w:tcPr>
            <w:tcW w:w="1051" w:type="dxa"/>
            <w:tcBorders>
              <w:top w:val="nil"/>
              <w:left w:val="nil"/>
              <w:bottom w:val="single" w:sz="6" w:space="0" w:color="000000"/>
              <w:right w:val="nil"/>
            </w:tcBorders>
            <w:vAlign w:val="center"/>
          </w:tcPr>
          <w:p w:rsidR="0073298C" w:rsidRDefault="0073298C" w:rsidP="0073298C">
            <w:pPr>
              <w:spacing w:before="22" w:after="22"/>
              <w:jc w:val="right"/>
              <w:rPr>
                <w:rFonts w:ascii="Arial" w:hAnsi="Arial" w:cs="Arial"/>
                <w:color w:val="000000"/>
                <w:sz w:val="18"/>
                <w:szCs w:val="18"/>
              </w:rPr>
            </w:pPr>
            <w:r>
              <w:rPr>
                <w:rFonts w:ascii="Arial" w:hAnsi="Arial" w:cs="Arial"/>
                <w:color w:val="000000"/>
                <w:sz w:val="18"/>
                <w:szCs w:val="18"/>
              </w:rPr>
              <w:t>—</w:t>
            </w:r>
          </w:p>
        </w:tc>
        <w:tc>
          <w:tcPr>
            <w:tcW w:w="104" w:type="dxa"/>
            <w:tcBorders>
              <w:top w:val="nil"/>
              <w:left w:val="nil"/>
              <w:bottom w:val="single" w:sz="6" w:space="0" w:color="000000"/>
              <w:right w:val="nil"/>
            </w:tcBorders>
            <w:vAlign w:val="bottom"/>
          </w:tcPr>
          <w:p w:rsidR="0073298C" w:rsidRDefault="0073298C" w:rsidP="0073298C">
            <w:pPr>
              <w:spacing w:before="22" w:after="22"/>
              <w:jc w:val="right"/>
              <w:rPr>
                <w:rFonts w:ascii="Arial" w:hAnsi="Arial" w:cs="Arial"/>
                <w:color w:val="000000"/>
                <w:sz w:val="18"/>
                <w:szCs w:val="18"/>
              </w:rPr>
            </w:pPr>
          </w:p>
          <w:p w:rsidR="0073298C" w:rsidRDefault="0073298C" w:rsidP="0073298C">
            <w:pPr>
              <w:rPr>
                <w:sz w:val="16"/>
                <w:szCs w:val="16"/>
              </w:rPr>
            </w:pPr>
            <w:r>
              <w:rPr>
                <w:sz w:val="16"/>
                <w:szCs w:val="16"/>
              </w:rPr>
              <w:t> </w:t>
            </w:r>
          </w:p>
        </w:tc>
        <w:tc>
          <w:tcPr>
            <w:tcW w:w="105" w:type="dxa"/>
            <w:tcBorders>
              <w:top w:val="nil"/>
              <w:left w:val="nil"/>
              <w:bottom w:val="nil"/>
              <w:right w:val="nil"/>
            </w:tcBorders>
            <w:vAlign w:val="bottom"/>
          </w:tcPr>
          <w:p w:rsidR="0073298C" w:rsidRDefault="0073298C" w:rsidP="0073298C">
            <w:pPr>
              <w:spacing w:before="22" w:after="22"/>
              <w:ind w:left="22" w:right="22"/>
              <w:rPr>
                <w:color w:val="000000"/>
              </w:rPr>
            </w:pPr>
            <w:r>
              <w:rPr>
                <w:color w:val="000000"/>
              </w:rPr>
              <w:t> </w:t>
            </w:r>
          </w:p>
        </w:tc>
        <w:tc>
          <w:tcPr>
            <w:tcW w:w="1152" w:type="dxa"/>
            <w:tcBorders>
              <w:top w:val="nil"/>
              <w:left w:val="nil"/>
              <w:bottom w:val="single" w:sz="6" w:space="0" w:color="000000"/>
              <w:right w:val="nil"/>
            </w:tcBorders>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w:t>
            </w:r>
          </w:p>
        </w:tc>
        <w:tc>
          <w:tcPr>
            <w:tcW w:w="180" w:type="dxa"/>
            <w:tcBorders>
              <w:top w:val="nil"/>
              <w:left w:val="nil"/>
              <w:bottom w:val="single" w:sz="6" w:space="0" w:color="000000"/>
              <w:right w:val="nil"/>
            </w:tcBorders>
            <w:vAlign w:val="center"/>
          </w:tcPr>
          <w:p w:rsidR="0073298C" w:rsidRDefault="0073298C" w:rsidP="0073298C">
            <w:pPr>
              <w:spacing w:before="22" w:after="22"/>
              <w:ind w:right="22"/>
              <w:rPr>
                <w:rFonts w:ascii="Arial" w:hAnsi="Arial" w:cs="Arial"/>
                <w:color w:val="000000"/>
                <w:sz w:val="18"/>
                <w:szCs w:val="18"/>
              </w:rPr>
            </w:pPr>
            <w:r>
              <w:rPr>
                <w:rFonts w:ascii="Arial" w:hAnsi="Arial" w:cs="Arial"/>
                <w:color w:val="000000"/>
                <w:sz w:val="18"/>
                <w:szCs w:val="18"/>
              </w:rPr>
              <w:t>%</w:t>
            </w:r>
          </w:p>
        </w:tc>
        <w:tc>
          <w:tcPr>
            <w:tcW w:w="105" w:type="dxa"/>
            <w:tcBorders>
              <w:top w:val="nil"/>
              <w:left w:val="nil"/>
              <w:bottom w:val="nil"/>
              <w:right w:val="nil"/>
            </w:tcBorders>
            <w:vAlign w:val="bottom"/>
          </w:tcPr>
          <w:p w:rsidR="0073298C" w:rsidRDefault="0073298C" w:rsidP="0073298C">
            <w:pPr>
              <w:spacing w:before="22" w:after="22"/>
              <w:ind w:left="22" w:right="22"/>
              <w:rPr>
                <w:color w:val="000000"/>
              </w:rPr>
            </w:pPr>
            <w:r>
              <w:rPr>
                <w:color w:val="000000"/>
              </w:rPr>
              <w:t> </w:t>
            </w:r>
          </w:p>
        </w:tc>
        <w:tc>
          <w:tcPr>
            <w:tcW w:w="120" w:type="dxa"/>
            <w:tcBorders>
              <w:top w:val="nil"/>
              <w:left w:val="nil"/>
              <w:bottom w:val="single" w:sz="6" w:space="0" w:color="000000"/>
              <w:right w:val="nil"/>
            </w:tcBorders>
            <w:vAlign w:val="center"/>
          </w:tcPr>
          <w:p w:rsidR="0073298C" w:rsidRDefault="0073298C" w:rsidP="0073298C">
            <w:pPr>
              <w:spacing w:before="22" w:after="22"/>
              <w:ind w:left="22"/>
              <w:rPr>
                <w:rFonts w:ascii="Arial" w:hAnsi="Arial" w:cs="Arial"/>
                <w:color w:val="000000"/>
                <w:sz w:val="18"/>
                <w:szCs w:val="18"/>
              </w:rPr>
            </w:pPr>
            <w:r>
              <w:rPr>
                <w:rFonts w:ascii="Arial" w:hAnsi="Arial" w:cs="Arial"/>
                <w:color w:val="000000"/>
                <w:sz w:val="18"/>
                <w:szCs w:val="18"/>
              </w:rPr>
              <w:t>$</w:t>
            </w:r>
          </w:p>
        </w:tc>
        <w:tc>
          <w:tcPr>
            <w:tcW w:w="1051" w:type="dxa"/>
            <w:tcBorders>
              <w:top w:val="nil"/>
              <w:left w:val="nil"/>
              <w:bottom w:val="single" w:sz="6" w:space="0" w:color="000000"/>
              <w:right w:val="nil"/>
            </w:tcBorders>
            <w:vAlign w:val="center"/>
          </w:tcPr>
          <w:p w:rsidR="0073298C" w:rsidRDefault="0073298C" w:rsidP="0073298C">
            <w:pPr>
              <w:spacing w:before="22" w:after="22"/>
              <w:jc w:val="right"/>
              <w:rPr>
                <w:rFonts w:ascii="Arial" w:hAnsi="Arial" w:cs="Arial"/>
                <w:color w:val="000000"/>
                <w:sz w:val="18"/>
                <w:szCs w:val="18"/>
              </w:rPr>
            </w:pPr>
            <w:r>
              <w:rPr>
                <w:rFonts w:ascii="Arial" w:hAnsi="Arial" w:cs="Arial"/>
                <w:color w:val="000000"/>
                <w:sz w:val="18"/>
                <w:szCs w:val="18"/>
              </w:rPr>
              <w:t>—</w:t>
            </w:r>
          </w:p>
        </w:tc>
        <w:tc>
          <w:tcPr>
            <w:tcW w:w="104" w:type="dxa"/>
            <w:tcBorders>
              <w:top w:val="nil"/>
              <w:left w:val="nil"/>
              <w:bottom w:val="single" w:sz="6" w:space="0" w:color="000000"/>
              <w:right w:val="nil"/>
            </w:tcBorders>
            <w:vAlign w:val="bottom"/>
          </w:tcPr>
          <w:p w:rsidR="0073298C" w:rsidRDefault="0073298C" w:rsidP="0073298C">
            <w:pPr>
              <w:spacing w:before="22" w:after="22"/>
              <w:jc w:val="right"/>
              <w:rPr>
                <w:rFonts w:ascii="Arial" w:hAnsi="Arial" w:cs="Arial"/>
                <w:color w:val="000000"/>
                <w:sz w:val="18"/>
                <w:szCs w:val="18"/>
              </w:rPr>
            </w:pPr>
          </w:p>
          <w:p w:rsidR="0073298C" w:rsidRDefault="0073298C" w:rsidP="0073298C">
            <w:pPr>
              <w:rPr>
                <w:sz w:val="16"/>
                <w:szCs w:val="16"/>
              </w:rPr>
            </w:pPr>
            <w:r>
              <w:rPr>
                <w:sz w:val="16"/>
                <w:szCs w:val="16"/>
              </w:rPr>
              <w:t> </w:t>
            </w:r>
          </w:p>
        </w:tc>
        <w:tc>
          <w:tcPr>
            <w:tcW w:w="105" w:type="dxa"/>
            <w:tcBorders>
              <w:top w:val="nil"/>
              <w:left w:val="nil"/>
              <w:bottom w:val="nil"/>
              <w:right w:val="nil"/>
            </w:tcBorders>
            <w:vAlign w:val="bottom"/>
          </w:tcPr>
          <w:p w:rsidR="0073298C" w:rsidRDefault="0073298C" w:rsidP="0073298C">
            <w:pPr>
              <w:spacing w:before="22" w:after="22"/>
              <w:ind w:left="22" w:right="22"/>
              <w:rPr>
                <w:color w:val="000000"/>
              </w:rPr>
            </w:pPr>
            <w:r>
              <w:rPr>
                <w:color w:val="000000"/>
              </w:rPr>
              <w:t> </w:t>
            </w:r>
          </w:p>
        </w:tc>
        <w:tc>
          <w:tcPr>
            <w:tcW w:w="1152" w:type="dxa"/>
            <w:tcBorders>
              <w:top w:val="nil"/>
              <w:left w:val="nil"/>
              <w:bottom w:val="single" w:sz="6" w:space="0" w:color="000000"/>
              <w:right w:val="nil"/>
            </w:tcBorders>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w:t>
            </w:r>
          </w:p>
        </w:tc>
        <w:tc>
          <w:tcPr>
            <w:tcW w:w="188" w:type="dxa"/>
            <w:tcBorders>
              <w:top w:val="nil"/>
              <w:left w:val="nil"/>
              <w:bottom w:val="single" w:sz="6" w:space="0" w:color="000000"/>
              <w:right w:val="single" w:sz="6" w:space="0" w:color="00467E"/>
            </w:tcBorders>
            <w:vAlign w:val="center"/>
          </w:tcPr>
          <w:p w:rsidR="0073298C" w:rsidRDefault="0073298C" w:rsidP="0073298C">
            <w:pPr>
              <w:spacing w:before="22" w:after="22"/>
              <w:ind w:right="22"/>
              <w:rPr>
                <w:rFonts w:ascii="Arial" w:hAnsi="Arial" w:cs="Arial"/>
                <w:color w:val="000000"/>
                <w:sz w:val="18"/>
                <w:szCs w:val="18"/>
              </w:rPr>
            </w:pPr>
            <w:r>
              <w:rPr>
                <w:rFonts w:ascii="Arial" w:hAnsi="Arial" w:cs="Arial"/>
                <w:color w:val="000000"/>
                <w:sz w:val="18"/>
                <w:szCs w:val="18"/>
              </w:rPr>
              <w:t>%</w:t>
            </w:r>
          </w:p>
        </w:tc>
      </w:tr>
      <w:tr w:rsidR="0073298C" w:rsidTr="0073298C">
        <w:tblPrEx>
          <w:tblCellMar>
            <w:top w:w="0" w:type="dxa"/>
            <w:left w:w="0" w:type="dxa"/>
            <w:bottom w:w="0" w:type="dxa"/>
            <w:right w:w="0" w:type="dxa"/>
          </w:tblCellMar>
        </w:tblPrEx>
        <w:trPr>
          <w:trHeight w:val="281"/>
          <w:jc w:val="center"/>
        </w:trPr>
        <w:tc>
          <w:tcPr>
            <w:tcW w:w="2399" w:type="dxa"/>
            <w:tcBorders>
              <w:top w:val="nil"/>
              <w:left w:val="single" w:sz="6" w:space="0" w:color="00467E"/>
              <w:bottom w:val="nil"/>
              <w:right w:val="nil"/>
            </w:tcBorders>
            <w:shd w:val="clear" w:color="CFD4D8" w:fill="CFD4D8"/>
            <w:vAlign w:val="center"/>
          </w:tcPr>
          <w:p w:rsidR="0073298C" w:rsidRDefault="0073298C" w:rsidP="0073298C">
            <w:pPr>
              <w:spacing w:before="22" w:after="22"/>
              <w:ind w:left="330" w:right="22"/>
              <w:rPr>
                <w:rFonts w:ascii="Arial" w:hAnsi="Arial" w:cs="Arial"/>
                <w:color w:val="000000"/>
                <w:sz w:val="18"/>
                <w:szCs w:val="18"/>
              </w:rPr>
            </w:pPr>
            <w:r>
              <w:rPr>
                <w:rFonts w:ascii="Arial" w:hAnsi="Arial" w:cs="Arial"/>
                <w:color w:val="000000"/>
                <w:sz w:val="18"/>
                <w:szCs w:val="18"/>
              </w:rPr>
              <w:t>Subtotal</w:t>
            </w:r>
          </w:p>
        </w:tc>
        <w:tc>
          <w:tcPr>
            <w:tcW w:w="120" w:type="dxa"/>
            <w:tcBorders>
              <w:top w:val="nil"/>
              <w:left w:val="nil"/>
              <w:bottom w:val="nil"/>
              <w:right w:val="nil"/>
            </w:tcBorders>
            <w:shd w:val="clear" w:color="CFD4D8" w:fill="CFD4D8"/>
            <w:vAlign w:val="center"/>
          </w:tcPr>
          <w:p w:rsidR="0073298C" w:rsidRDefault="0073298C" w:rsidP="0073298C">
            <w:pPr>
              <w:spacing w:before="22" w:after="22"/>
              <w:ind w:left="22"/>
              <w:rPr>
                <w:rFonts w:ascii="Arial" w:hAnsi="Arial" w:cs="Arial"/>
                <w:color w:val="000000"/>
                <w:sz w:val="18"/>
                <w:szCs w:val="18"/>
              </w:rPr>
            </w:pPr>
            <w:r>
              <w:rPr>
                <w:rFonts w:ascii="Arial" w:hAnsi="Arial" w:cs="Arial"/>
                <w:color w:val="000000"/>
                <w:sz w:val="18"/>
                <w:szCs w:val="18"/>
              </w:rPr>
              <w:t>$</w:t>
            </w:r>
          </w:p>
        </w:tc>
        <w:tc>
          <w:tcPr>
            <w:tcW w:w="1051" w:type="dxa"/>
            <w:tcBorders>
              <w:top w:val="nil"/>
              <w:left w:val="nil"/>
              <w:bottom w:val="nil"/>
              <w:right w:val="nil"/>
            </w:tcBorders>
            <w:shd w:val="clear" w:color="CFD4D8" w:fill="CFD4D8"/>
            <w:vAlign w:val="center"/>
          </w:tcPr>
          <w:p w:rsidR="0073298C" w:rsidRDefault="0073298C" w:rsidP="0073298C">
            <w:pPr>
              <w:spacing w:before="22" w:after="22"/>
              <w:jc w:val="right"/>
              <w:rPr>
                <w:rFonts w:ascii="Arial" w:hAnsi="Arial" w:cs="Arial"/>
                <w:color w:val="000000"/>
                <w:sz w:val="18"/>
                <w:szCs w:val="18"/>
              </w:rPr>
            </w:pPr>
            <w:r>
              <w:rPr>
                <w:rFonts w:ascii="Arial" w:hAnsi="Arial" w:cs="Arial"/>
                <w:color w:val="000000"/>
                <w:sz w:val="18"/>
                <w:szCs w:val="18"/>
              </w:rPr>
              <w:t>221,835</w:t>
            </w:r>
          </w:p>
        </w:tc>
        <w:tc>
          <w:tcPr>
            <w:tcW w:w="106" w:type="dxa"/>
            <w:tcBorders>
              <w:top w:val="nil"/>
              <w:left w:val="nil"/>
              <w:bottom w:val="nil"/>
              <w:right w:val="nil"/>
            </w:tcBorders>
            <w:shd w:val="clear" w:color="CFD4D8" w:fill="CFD4D8"/>
            <w:vAlign w:val="bottom"/>
          </w:tcPr>
          <w:p w:rsidR="0073298C" w:rsidRDefault="0073298C" w:rsidP="0073298C">
            <w:pPr>
              <w:spacing w:before="22" w:after="22"/>
              <w:jc w:val="right"/>
              <w:rPr>
                <w:rFonts w:ascii="Arial" w:hAnsi="Arial" w:cs="Arial"/>
                <w:color w:val="000000"/>
                <w:sz w:val="18"/>
                <w:szCs w:val="18"/>
              </w:rPr>
            </w:pPr>
          </w:p>
          <w:p w:rsidR="0073298C" w:rsidRDefault="0073298C" w:rsidP="0073298C">
            <w:pPr>
              <w:rPr>
                <w:sz w:val="16"/>
                <w:szCs w:val="16"/>
              </w:rPr>
            </w:pPr>
            <w:r>
              <w:rPr>
                <w:sz w:val="16"/>
                <w:szCs w:val="16"/>
              </w:rPr>
              <w:t> </w:t>
            </w:r>
          </w:p>
        </w:tc>
        <w:tc>
          <w:tcPr>
            <w:tcW w:w="105" w:type="dxa"/>
            <w:tcBorders>
              <w:top w:val="nil"/>
              <w:left w:val="nil"/>
              <w:bottom w:val="nil"/>
              <w:right w:val="nil"/>
            </w:tcBorders>
            <w:shd w:val="clear" w:color="CFD4D8" w:fill="CFD4D8"/>
            <w:vAlign w:val="bottom"/>
          </w:tcPr>
          <w:p w:rsidR="0073298C" w:rsidRDefault="0073298C" w:rsidP="0073298C">
            <w:pPr>
              <w:spacing w:before="22" w:after="22"/>
              <w:ind w:left="22" w:right="22"/>
              <w:rPr>
                <w:color w:val="000000"/>
              </w:rPr>
            </w:pPr>
            <w:r>
              <w:rPr>
                <w:color w:val="000000"/>
              </w:rPr>
              <w:t> </w:t>
            </w:r>
          </w:p>
        </w:tc>
        <w:tc>
          <w:tcPr>
            <w:tcW w:w="1138" w:type="dxa"/>
            <w:tcBorders>
              <w:top w:val="single" w:sz="6" w:space="0" w:color="000000"/>
              <w:left w:val="nil"/>
              <w:bottom w:val="nil"/>
              <w:right w:val="nil"/>
            </w:tcBorders>
            <w:shd w:val="clear" w:color="CFD4D8" w:fill="CFD4D8"/>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110.6</w:t>
            </w:r>
          </w:p>
        </w:tc>
        <w:tc>
          <w:tcPr>
            <w:tcW w:w="239" w:type="dxa"/>
            <w:tcBorders>
              <w:top w:val="single" w:sz="6" w:space="0" w:color="000000"/>
              <w:left w:val="nil"/>
              <w:bottom w:val="nil"/>
              <w:right w:val="nil"/>
            </w:tcBorders>
            <w:shd w:val="clear" w:color="CFD4D8" w:fill="CFD4D8"/>
            <w:vAlign w:val="center"/>
          </w:tcPr>
          <w:p w:rsidR="0073298C" w:rsidRDefault="0073298C" w:rsidP="0073298C">
            <w:pPr>
              <w:spacing w:before="22" w:after="22"/>
              <w:ind w:right="22"/>
              <w:rPr>
                <w:rFonts w:ascii="Arial" w:hAnsi="Arial" w:cs="Arial"/>
                <w:color w:val="000000"/>
                <w:sz w:val="18"/>
                <w:szCs w:val="18"/>
              </w:rPr>
            </w:pPr>
            <w:r>
              <w:rPr>
                <w:rFonts w:ascii="Arial" w:hAnsi="Arial" w:cs="Arial"/>
                <w:color w:val="000000"/>
                <w:sz w:val="18"/>
                <w:szCs w:val="18"/>
              </w:rPr>
              <w:t> %</w:t>
            </w:r>
          </w:p>
        </w:tc>
        <w:tc>
          <w:tcPr>
            <w:tcW w:w="105" w:type="dxa"/>
            <w:tcBorders>
              <w:top w:val="nil"/>
              <w:left w:val="nil"/>
              <w:bottom w:val="nil"/>
              <w:right w:val="nil"/>
            </w:tcBorders>
            <w:shd w:val="clear" w:color="CFD4D8" w:fill="CFD4D8"/>
            <w:vAlign w:val="bottom"/>
          </w:tcPr>
          <w:p w:rsidR="0073298C" w:rsidRDefault="0073298C" w:rsidP="0073298C">
            <w:pPr>
              <w:spacing w:before="22" w:after="22"/>
              <w:ind w:left="22" w:right="22"/>
              <w:rPr>
                <w:color w:val="000000"/>
              </w:rPr>
            </w:pPr>
            <w:r>
              <w:rPr>
                <w:color w:val="000000"/>
              </w:rPr>
              <w:t> </w:t>
            </w:r>
          </w:p>
        </w:tc>
        <w:tc>
          <w:tcPr>
            <w:tcW w:w="120" w:type="dxa"/>
            <w:tcBorders>
              <w:top w:val="nil"/>
              <w:left w:val="nil"/>
              <w:bottom w:val="nil"/>
              <w:right w:val="nil"/>
            </w:tcBorders>
            <w:shd w:val="clear" w:color="CFD4D8" w:fill="CFD4D8"/>
            <w:vAlign w:val="center"/>
          </w:tcPr>
          <w:p w:rsidR="0073298C" w:rsidRDefault="0073298C" w:rsidP="0073298C">
            <w:pPr>
              <w:spacing w:before="22" w:after="22"/>
              <w:ind w:left="22"/>
              <w:rPr>
                <w:rFonts w:ascii="Arial" w:hAnsi="Arial" w:cs="Arial"/>
                <w:color w:val="000000"/>
                <w:sz w:val="18"/>
                <w:szCs w:val="18"/>
              </w:rPr>
            </w:pPr>
            <w:r>
              <w:rPr>
                <w:rFonts w:ascii="Arial" w:hAnsi="Arial" w:cs="Arial"/>
                <w:color w:val="000000"/>
                <w:sz w:val="18"/>
                <w:szCs w:val="18"/>
              </w:rPr>
              <w:t>$</w:t>
            </w:r>
          </w:p>
        </w:tc>
        <w:tc>
          <w:tcPr>
            <w:tcW w:w="1051" w:type="dxa"/>
            <w:tcBorders>
              <w:top w:val="nil"/>
              <w:left w:val="nil"/>
              <w:bottom w:val="nil"/>
              <w:right w:val="nil"/>
            </w:tcBorders>
            <w:shd w:val="clear" w:color="CFD4D8" w:fill="CFD4D8"/>
            <w:vAlign w:val="center"/>
          </w:tcPr>
          <w:p w:rsidR="0073298C" w:rsidRDefault="0073298C" w:rsidP="0073298C">
            <w:pPr>
              <w:spacing w:before="22" w:after="22"/>
              <w:jc w:val="right"/>
              <w:rPr>
                <w:rFonts w:ascii="Arial" w:hAnsi="Arial" w:cs="Arial"/>
                <w:color w:val="000000"/>
                <w:sz w:val="18"/>
                <w:szCs w:val="18"/>
              </w:rPr>
            </w:pPr>
            <w:r>
              <w:rPr>
                <w:rFonts w:ascii="Arial" w:hAnsi="Arial" w:cs="Arial"/>
                <w:color w:val="000000"/>
                <w:sz w:val="18"/>
                <w:szCs w:val="18"/>
              </w:rPr>
              <w:t>148,479</w:t>
            </w:r>
          </w:p>
        </w:tc>
        <w:tc>
          <w:tcPr>
            <w:tcW w:w="104" w:type="dxa"/>
            <w:tcBorders>
              <w:top w:val="nil"/>
              <w:left w:val="nil"/>
              <w:bottom w:val="nil"/>
              <w:right w:val="nil"/>
            </w:tcBorders>
            <w:shd w:val="clear" w:color="CFD4D8" w:fill="CFD4D8"/>
            <w:vAlign w:val="bottom"/>
          </w:tcPr>
          <w:p w:rsidR="0073298C" w:rsidRDefault="0073298C" w:rsidP="0073298C">
            <w:pPr>
              <w:spacing w:before="22" w:after="22"/>
              <w:jc w:val="right"/>
              <w:rPr>
                <w:rFonts w:ascii="Arial" w:hAnsi="Arial" w:cs="Arial"/>
                <w:color w:val="000000"/>
                <w:sz w:val="18"/>
                <w:szCs w:val="18"/>
              </w:rPr>
            </w:pPr>
          </w:p>
          <w:p w:rsidR="0073298C" w:rsidRDefault="0073298C" w:rsidP="0073298C">
            <w:pPr>
              <w:rPr>
                <w:sz w:val="16"/>
                <w:szCs w:val="16"/>
              </w:rPr>
            </w:pPr>
            <w:r>
              <w:rPr>
                <w:sz w:val="16"/>
                <w:szCs w:val="16"/>
              </w:rPr>
              <w:t> </w:t>
            </w:r>
          </w:p>
        </w:tc>
        <w:tc>
          <w:tcPr>
            <w:tcW w:w="105" w:type="dxa"/>
            <w:tcBorders>
              <w:top w:val="nil"/>
              <w:left w:val="nil"/>
              <w:bottom w:val="nil"/>
              <w:right w:val="nil"/>
            </w:tcBorders>
            <w:shd w:val="clear" w:color="CFD4D8" w:fill="CFD4D8"/>
            <w:vAlign w:val="bottom"/>
          </w:tcPr>
          <w:p w:rsidR="0073298C" w:rsidRDefault="0073298C" w:rsidP="0073298C">
            <w:pPr>
              <w:spacing w:before="22" w:after="22"/>
              <w:ind w:left="22" w:right="22"/>
              <w:rPr>
                <w:color w:val="000000"/>
              </w:rPr>
            </w:pPr>
            <w:r>
              <w:rPr>
                <w:color w:val="000000"/>
              </w:rPr>
              <w:t> </w:t>
            </w:r>
          </w:p>
        </w:tc>
        <w:tc>
          <w:tcPr>
            <w:tcW w:w="1152" w:type="dxa"/>
            <w:tcBorders>
              <w:top w:val="nil"/>
              <w:left w:val="nil"/>
              <w:bottom w:val="nil"/>
              <w:right w:val="nil"/>
            </w:tcBorders>
            <w:shd w:val="clear" w:color="CFD4D8" w:fill="CFD4D8"/>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100.0</w:t>
            </w:r>
          </w:p>
        </w:tc>
        <w:tc>
          <w:tcPr>
            <w:tcW w:w="180" w:type="dxa"/>
            <w:tcBorders>
              <w:top w:val="nil"/>
              <w:left w:val="nil"/>
              <w:bottom w:val="nil"/>
              <w:right w:val="nil"/>
            </w:tcBorders>
            <w:shd w:val="clear" w:color="CFD4D8" w:fill="CFD4D8"/>
            <w:vAlign w:val="center"/>
          </w:tcPr>
          <w:p w:rsidR="0073298C" w:rsidRDefault="0073298C" w:rsidP="0073298C">
            <w:pPr>
              <w:spacing w:before="22" w:after="22"/>
              <w:ind w:right="22"/>
              <w:rPr>
                <w:rFonts w:ascii="Arial" w:hAnsi="Arial" w:cs="Arial"/>
                <w:color w:val="000000"/>
                <w:sz w:val="18"/>
                <w:szCs w:val="18"/>
              </w:rPr>
            </w:pPr>
            <w:r>
              <w:rPr>
                <w:rFonts w:ascii="Arial" w:hAnsi="Arial" w:cs="Arial"/>
                <w:color w:val="000000"/>
                <w:sz w:val="18"/>
                <w:szCs w:val="18"/>
              </w:rPr>
              <w:t>%</w:t>
            </w:r>
          </w:p>
        </w:tc>
        <w:tc>
          <w:tcPr>
            <w:tcW w:w="105" w:type="dxa"/>
            <w:tcBorders>
              <w:top w:val="nil"/>
              <w:left w:val="nil"/>
              <w:bottom w:val="nil"/>
              <w:right w:val="nil"/>
            </w:tcBorders>
            <w:shd w:val="clear" w:color="CFD4D8" w:fill="CFD4D8"/>
            <w:vAlign w:val="bottom"/>
          </w:tcPr>
          <w:p w:rsidR="0073298C" w:rsidRDefault="0073298C" w:rsidP="0073298C">
            <w:pPr>
              <w:spacing w:before="22" w:after="22"/>
              <w:ind w:left="22" w:right="22"/>
              <w:rPr>
                <w:color w:val="000000"/>
              </w:rPr>
            </w:pPr>
            <w:r>
              <w:rPr>
                <w:color w:val="000000"/>
              </w:rPr>
              <w:t> </w:t>
            </w:r>
          </w:p>
        </w:tc>
        <w:tc>
          <w:tcPr>
            <w:tcW w:w="120" w:type="dxa"/>
            <w:tcBorders>
              <w:top w:val="nil"/>
              <w:left w:val="nil"/>
              <w:bottom w:val="nil"/>
              <w:right w:val="nil"/>
            </w:tcBorders>
            <w:shd w:val="clear" w:color="CFD4D8" w:fill="CFD4D8"/>
            <w:vAlign w:val="center"/>
          </w:tcPr>
          <w:p w:rsidR="0073298C" w:rsidRDefault="0073298C" w:rsidP="0073298C">
            <w:pPr>
              <w:spacing w:before="22" w:after="22"/>
              <w:ind w:left="22"/>
              <w:rPr>
                <w:rFonts w:ascii="Arial" w:hAnsi="Arial" w:cs="Arial"/>
                <w:color w:val="000000"/>
                <w:sz w:val="18"/>
                <w:szCs w:val="18"/>
              </w:rPr>
            </w:pPr>
            <w:r>
              <w:rPr>
                <w:rFonts w:ascii="Arial" w:hAnsi="Arial" w:cs="Arial"/>
                <w:color w:val="000000"/>
                <w:sz w:val="18"/>
                <w:szCs w:val="18"/>
              </w:rPr>
              <w:t>$</w:t>
            </w:r>
          </w:p>
        </w:tc>
        <w:tc>
          <w:tcPr>
            <w:tcW w:w="1051" w:type="dxa"/>
            <w:tcBorders>
              <w:top w:val="nil"/>
              <w:left w:val="nil"/>
              <w:bottom w:val="nil"/>
              <w:right w:val="nil"/>
            </w:tcBorders>
            <w:shd w:val="clear" w:color="CFD4D8" w:fill="CFD4D8"/>
            <w:vAlign w:val="center"/>
          </w:tcPr>
          <w:p w:rsidR="0073298C" w:rsidRDefault="0073298C" w:rsidP="0073298C">
            <w:pPr>
              <w:spacing w:before="22" w:after="22"/>
              <w:jc w:val="right"/>
              <w:rPr>
                <w:rFonts w:ascii="Arial" w:hAnsi="Arial" w:cs="Arial"/>
                <w:color w:val="000000"/>
                <w:sz w:val="18"/>
                <w:szCs w:val="18"/>
              </w:rPr>
            </w:pPr>
            <w:r>
              <w:rPr>
                <w:rFonts w:ascii="Arial" w:hAnsi="Arial" w:cs="Arial"/>
                <w:color w:val="000000"/>
                <w:sz w:val="18"/>
                <w:szCs w:val="18"/>
              </w:rPr>
              <w:t>178,000</w:t>
            </w:r>
          </w:p>
        </w:tc>
        <w:tc>
          <w:tcPr>
            <w:tcW w:w="104" w:type="dxa"/>
            <w:tcBorders>
              <w:top w:val="nil"/>
              <w:left w:val="nil"/>
              <w:bottom w:val="nil"/>
              <w:right w:val="nil"/>
            </w:tcBorders>
            <w:shd w:val="clear" w:color="CFD4D8" w:fill="CFD4D8"/>
            <w:vAlign w:val="bottom"/>
          </w:tcPr>
          <w:p w:rsidR="0073298C" w:rsidRDefault="0073298C" w:rsidP="0073298C">
            <w:pPr>
              <w:spacing w:before="22" w:after="22"/>
              <w:jc w:val="right"/>
              <w:rPr>
                <w:rFonts w:ascii="Arial" w:hAnsi="Arial" w:cs="Arial"/>
                <w:color w:val="000000"/>
                <w:sz w:val="18"/>
                <w:szCs w:val="18"/>
              </w:rPr>
            </w:pPr>
          </w:p>
          <w:p w:rsidR="0073298C" w:rsidRDefault="0073298C" w:rsidP="0073298C">
            <w:pPr>
              <w:rPr>
                <w:sz w:val="16"/>
                <w:szCs w:val="16"/>
              </w:rPr>
            </w:pPr>
            <w:r>
              <w:rPr>
                <w:sz w:val="16"/>
                <w:szCs w:val="16"/>
              </w:rPr>
              <w:t> </w:t>
            </w:r>
          </w:p>
        </w:tc>
        <w:tc>
          <w:tcPr>
            <w:tcW w:w="105" w:type="dxa"/>
            <w:tcBorders>
              <w:top w:val="nil"/>
              <w:left w:val="nil"/>
              <w:bottom w:val="nil"/>
              <w:right w:val="nil"/>
            </w:tcBorders>
            <w:shd w:val="clear" w:color="CFD4D8" w:fill="CFD4D8"/>
            <w:vAlign w:val="bottom"/>
          </w:tcPr>
          <w:p w:rsidR="0073298C" w:rsidRDefault="0073298C" w:rsidP="0073298C">
            <w:pPr>
              <w:spacing w:before="22" w:after="22"/>
              <w:ind w:left="22" w:right="22"/>
              <w:rPr>
                <w:color w:val="000000"/>
              </w:rPr>
            </w:pPr>
            <w:r>
              <w:rPr>
                <w:color w:val="000000"/>
              </w:rPr>
              <w:t> </w:t>
            </w:r>
          </w:p>
        </w:tc>
        <w:tc>
          <w:tcPr>
            <w:tcW w:w="1152" w:type="dxa"/>
            <w:tcBorders>
              <w:top w:val="nil"/>
              <w:left w:val="nil"/>
              <w:bottom w:val="nil"/>
              <w:right w:val="nil"/>
            </w:tcBorders>
            <w:shd w:val="clear" w:color="CFD4D8" w:fill="CFD4D8"/>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100.0</w:t>
            </w:r>
          </w:p>
        </w:tc>
        <w:tc>
          <w:tcPr>
            <w:tcW w:w="188" w:type="dxa"/>
            <w:tcBorders>
              <w:top w:val="nil"/>
              <w:left w:val="nil"/>
              <w:bottom w:val="nil"/>
              <w:right w:val="single" w:sz="6" w:space="0" w:color="00467E"/>
            </w:tcBorders>
            <w:shd w:val="clear" w:color="CFD4D8" w:fill="CFD4D8"/>
            <w:vAlign w:val="center"/>
          </w:tcPr>
          <w:p w:rsidR="0073298C" w:rsidRDefault="0073298C" w:rsidP="0073298C">
            <w:pPr>
              <w:spacing w:before="22" w:after="22"/>
              <w:ind w:right="22"/>
              <w:rPr>
                <w:rFonts w:ascii="Arial" w:hAnsi="Arial" w:cs="Arial"/>
                <w:color w:val="000000"/>
                <w:sz w:val="18"/>
                <w:szCs w:val="18"/>
              </w:rPr>
            </w:pPr>
            <w:r>
              <w:rPr>
                <w:rFonts w:ascii="Arial" w:hAnsi="Arial" w:cs="Arial"/>
                <w:color w:val="000000"/>
                <w:sz w:val="18"/>
                <w:szCs w:val="18"/>
              </w:rPr>
              <w:t>%</w:t>
            </w:r>
          </w:p>
        </w:tc>
      </w:tr>
      <w:tr w:rsidR="0073298C" w:rsidTr="0073298C">
        <w:tblPrEx>
          <w:tblCellMar>
            <w:top w:w="0" w:type="dxa"/>
            <w:left w:w="0" w:type="dxa"/>
            <w:bottom w:w="0" w:type="dxa"/>
            <w:right w:w="0" w:type="dxa"/>
          </w:tblCellMar>
        </w:tblPrEx>
        <w:trPr>
          <w:trHeight w:val="281"/>
          <w:jc w:val="center"/>
        </w:trPr>
        <w:tc>
          <w:tcPr>
            <w:tcW w:w="2399" w:type="dxa"/>
            <w:tcBorders>
              <w:top w:val="nil"/>
              <w:left w:val="single" w:sz="6" w:space="0" w:color="00467E"/>
              <w:bottom w:val="nil"/>
              <w:right w:val="nil"/>
            </w:tcBorders>
            <w:vAlign w:val="center"/>
          </w:tcPr>
          <w:p w:rsidR="0073298C" w:rsidRDefault="0073298C" w:rsidP="0073298C">
            <w:pPr>
              <w:spacing w:before="22" w:after="22"/>
              <w:ind w:left="22" w:right="22"/>
              <w:rPr>
                <w:rFonts w:ascii="Arial" w:hAnsi="Arial" w:cs="Arial"/>
                <w:color w:val="000000"/>
                <w:sz w:val="18"/>
                <w:szCs w:val="18"/>
              </w:rPr>
            </w:pPr>
            <w:r>
              <w:rPr>
                <w:rFonts w:ascii="Arial" w:hAnsi="Arial" w:cs="Arial"/>
                <w:color w:val="000000"/>
                <w:sz w:val="18"/>
                <w:szCs w:val="18"/>
              </w:rPr>
              <w:t>Non-reportable segments</w:t>
            </w:r>
          </w:p>
        </w:tc>
        <w:tc>
          <w:tcPr>
            <w:tcW w:w="120" w:type="dxa"/>
            <w:tcBorders>
              <w:top w:val="nil"/>
              <w:left w:val="nil"/>
              <w:bottom w:val="nil"/>
              <w:right w:val="nil"/>
            </w:tcBorders>
            <w:vAlign w:val="center"/>
          </w:tcPr>
          <w:p w:rsidR="0073298C" w:rsidRDefault="0073298C" w:rsidP="0073298C">
            <w:pPr>
              <w:spacing w:before="22" w:after="22"/>
              <w:ind w:left="22"/>
              <w:rPr>
                <w:rFonts w:ascii="Arial" w:hAnsi="Arial" w:cs="Arial"/>
                <w:color w:val="000000"/>
                <w:sz w:val="18"/>
                <w:szCs w:val="18"/>
              </w:rPr>
            </w:pPr>
            <w:r>
              <w:rPr>
                <w:rFonts w:ascii="Arial" w:hAnsi="Arial" w:cs="Arial"/>
                <w:color w:val="000000"/>
                <w:sz w:val="18"/>
                <w:szCs w:val="18"/>
              </w:rPr>
              <w:t>$</w:t>
            </w:r>
          </w:p>
        </w:tc>
        <w:tc>
          <w:tcPr>
            <w:tcW w:w="1051" w:type="dxa"/>
            <w:tcBorders>
              <w:top w:val="nil"/>
              <w:left w:val="nil"/>
              <w:bottom w:val="nil"/>
              <w:right w:val="nil"/>
            </w:tcBorders>
            <w:vAlign w:val="center"/>
          </w:tcPr>
          <w:p w:rsidR="0073298C" w:rsidRDefault="0073298C" w:rsidP="0073298C">
            <w:pPr>
              <w:spacing w:before="22" w:after="22"/>
              <w:jc w:val="right"/>
              <w:rPr>
                <w:rFonts w:ascii="Arial" w:hAnsi="Arial" w:cs="Arial"/>
                <w:color w:val="000000"/>
                <w:sz w:val="18"/>
                <w:szCs w:val="18"/>
              </w:rPr>
            </w:pPr>
            <w:r>
              <w:rPr>
                <w:rFonts w:ascii="Arial" w:hAnsi="Arial" w:cs="Arial"/>
                <w:color w:val="000000"/>
                <w:sz w:val="18"/>
                <w:szCs w:val="18"/>
              </w:rPr>
              <w:t>(21,205</w:t>
            </w:r>
          </w:p>
        </w:tc>
        <w:tc>
          <w:tcPr>
            <w:tcW w:w="106" w:type="dxa"/>
            <w:tcBorders>
              <w:top w:val="nil"/>
              <w:left w:val="nil"/>
              <w:bottom w:val="nil"/>
              <w:right w:val="nil"/>
            </w:tcBorders>
            <w:vAlign w:val="center"/>
          </w:tcPr>
          <w:p w:rsidR="0073298C" w:rsidRDefault="0073298C" w:rsidP="0073298C">
            <w:pPr>
              <w:spacing w:before="22" w:after="22"/>
              <w:ind w:right="22"/>
              <w:rPr>
                <w:rFonts w:ascii="Arial" w:hAnsi="Arial" w:cs="Arial"/>
                <w:color w:val="000000"/>
                <w:sz w:val="18"/>
                <w:szCs w:val="18"/>
              </w:rPr>
            </w:pPr>
            <w:r>
              <w:rPr>
                <w:rFonts w:ascii="Arial" w:hAnsi="Arial" w:cs="Arial"/>
                <w:color w:val="000000"/>
                <w:sz w:val="18"/>
                <w:szCs w:val="18"/>
              </w:rPr>
              <w:t>)</w:t>
            </w:r>
          </w:p>
        </w:tc>
        <w:tc>
          <w:tcPr>
            <w:tcW w:w="105" w:type="dxa"/>
            <w:tcBorders>
              <w:top w:val="nil"/>
              <w:left w:val="nil"/>
              <w:bottom w:val="nil"/>
              <w:right w:val="nil"/>
            </w:tcBorders>
            <w:vAlign w:val="bottom"/>
          </w:tcPr>
          <w:p w:rsidR="0073298C" w:rsidRDefault="0073298C" w:rsidP="0073298C">
            <w:pPr>
              <w:spacing w:before="22" w:after="22"/>
              <w:ind w:left="22" w:right="22"/>
              <w:rPr>
                <w:color w:val="000000"/>
              </w:rPr>
            </w:pPr>
            <w:r>
              <w:rPr>
                <w:color w:val="000000"/>
              </w:rPr>
              <w:t> </w:t>
            </w:r>
          </w:p>
        </w:tc>
        <w:tc>
          <w:tcPr>
            <w:tcW w:w="1138" w:type="dxa"/>
            <w:tcBorders>
              <w:top w:val="nil"/>
              <w:left w:val="nil"/>
              <w:bottom w:val="nil"/>
              <w:right w:val="nil"/>
            </w:tcBorders>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(10.6</w:t>
            </w:r>
          </w:p>
        </w:tc>
        <w:tc>
          <w:tcPr>
            <w:tcW w:w="239" w:type="dxa"/>
            <w:tcBorders>
              <w:top w:val="nil"/>
              <w:left w:val="nil"/>
              <w:bottom w:val="nil"/>
              <w:right w:val="nil"/>
            </w:tcBorders>
            <w:vAlign w:val="center"/>
          </w:tcPr>
          <w:p w:rsidR="0073298C" w:rsidRDefault="0073298C" w:rsidP="0073298C">
            <w:pPr>
              <w:spacing w:before="22" w:after="22"/>
              <w:ind w:right="22"/>
              <w:rPr>
                <w:rFonts w:ascii="Arial" w:hAnsi="Arial" w:cs="Arial"/>
                <w:color w:val="000000"/>
                <w:sz w:val="18"/>
                <w:szCs w:val="18"/>
              </w:rPr>
            </w:pPr>
            <w:r>
              <w:rPr>
                <w:rFonts w:ascii="Arial" w:hAnsi="Arial" w:cs="Arial"/>
                <w:color w:val="000000"/>
                <w:sz w:val="18"/>
                <w:szCs w:val="18"/>
              </w:rPr>
              <w:t>)%</w:t>
            </w:r>
          </w:p>
        </w:tc>
        <w:tc>
          <w:tcPr>
            <w:tcW w:w="105" w:type="dxa"/>
            <w:tcBorders>
              <w:top w:val="nil"/>
              <w:left w:val="nil"/>
              <w:bottom w:val="nil"/>
              <w:right w:val="nil"/>
            </w:tcBorders>
            <w:vAlign w:val="bottom"/>
          </w:tcPr>
          <w:p w:rsidR="0073298C" w:rsidRDefault="0073298C" w:rsidP="0073298C">
            <w:pPr>
              <w:spacing w:before="22" w:after="22"/>
              <w:ind w:left="22" w:right="22"/>
              <w:rPr>
                <w:color w:val="000000"/>
              </w:rPr>
            </w:pPr>
            <w:r>
              <w:rPr>
                <w:color w:val="000000"/>
              </w:rPr>
              <w:t> </w:t>
            </w:r>
          </w:p>
        </w:tc>
        <w:tc>
          <w:tcPr>
            <w:tcW w:w="120" w:type="dxa"/>
            <w:tcBorders>
              <w:top w:val="nil"/>
              <w:left w:val="nil"/>
              <w:bottom w:val="nil"/>
              <w:right w:val="nil"/>
            </w:tcBorders>
            <w:vAlign w:val="center"/>
          </w:tcPr>
          <w:p w:rsidR="0073298C" w:rsidRDefault="0073298C" w:rsidP="0073298C">
            <w:pPr>
              <w:spacing w:before="22" w:after="22"/>
              <w:ind w:left="22"/>
              <w:rPr>
                <w:rFonts w:ascii="Arial" w:hAnsi="Arial" w:cs="Arial"/>
                <w:color w:val="000000"/>
                <w:sz w:val="18"/>
                <w:szCs w:val="18"/>
              </w:rPr>
            </w:pPr>
            <w:r>
              <w:rPr>
                <w:rFonts w:ascii="Arial" w:hAnsi="Arial" w:cs="Arial"/>
                <w:color w:val="000000"/>
                <w:sz w:val="18"/>
                <w:szCs w:val="18"/>
              </w:rPr>
              <w:t>$</w:t>
            </w:r>
          </w:p>
        </w:tc>
        <w:tc>
          <w:tcPr>
            <w:tcW w:w="1051" w:type="dxa"/>
            <w:tcBorders>
              <w:top w:val="nil"/>
              <w:left w:val="nil"/>
              <w:bottom w:val="nil"/>
              <w:right w:val="nil"/>
            </w:tcBorders>
            <w:vAlign w:val="center"/>
          </w:tcPr>
          <w:p w:rsidR="0073298C" w:rsidRDefault="0073298C" w:rsidP="0073298C">
            <w:pPr>
              <w:spacing w:before="22" w:after="22"/>
              <w:jc w:val="right"/>
              <w:rPr>
                <w:rFonts w:ascii="Arial" w:hAnsi="Arial" w:cs="Arial"/>
                <w:color w:val="000000"/>
                <w:sz w:val="18"/>
                <w:szCs w:val="18"/>
              </w:rPr>
            </w:pPr>
            <w:r>
              <w:rPr>
                <w:rFonts w:ascii="Arial" w:hAnsi="Arial" w:cs="Arial"/>
                <w:color w:val="000000"/>
                <w:sz w:val="18"/>
                <w:szCs w:val="18"/>
              </w:rPr>
              <w:t>—</w:t>
            </w:r>
          </w:p>
        </w:tc>
        <w:tc>
          <w:tcPr>
            <w:tcW w:w="104" w:type="dxa"/>
            <w:tcBorders>
              <w:top w:val="nil"/>
              <w:left w:val="nil"/>
              <w:bottom w:val="nil"/>
              <w:right w:val="nil"/>
            </w:tcBorders>
            <w:vAlign w:val="bottom"/>
          </w:tcPr>
          <w:p w:rsidR="0073298C" w:rsidRDefault="0073298C" w:rsidP="0073298C">
            <w:pPr>
              <w:spacing w:before="22" w:after="22"/>
              <w:jc w:val="right"/>
              <w:rPr>
                <w:rFonts w:ascii="Arial" w:hAnsi="Arial" w:cs="Arial"/>
                <w:color w:val="000000"/>
                <w:sz w:val="18"/>
                <w:szCs w:val="18"/>
              </w:rPr>
            </w:pPr>
          </w:p>
          <w:p w:rsidR="0073298C" w:rsidRDefault="0073298C" w:rsidP="0073298C">
            <w:pPr>
              <w:rPr>
                <w:sz w:val="16"/>
                <w:szCs w:val="16"/>
              </w:rPr>
            </w:pPr>
            <w:r>
              <w:rPr>
                <w:sz w:val="16"/>
                <w:szCs w:val="16"/>
              </w:rPr>
              <w:t> </w:t>
            </w:r>
          </w:p>
        </w:tc>
        <w:tc>
          <w:tcPr>
            <w:tcW w:w="105" w:type="dxa"/>
            <w:tcBorders>
              <w:top w:val="nil"/>
              <w:left w:val="nil"/>
              <w:bottom w:val="nil"/>
              <w:right w:val="nil"/>
            </w:tcBorders>
            <w:vAlign w:val="bottom"/>
          </w:tcPr>
          <w:p w:rsidR="0073298C" w:rsidRDefault="0073298C" w:rsidP="0073298C">
            <w:pPr>
              <w:spacing w:before="22" w:after="22"/>
              <w:ind w:left="22" w:right="22"/>
              <w:rPr>
                <w:color w:val="000000"/>
              </w:rPr>
            </w:pPr>
            <w:r>
              <w:rPr>
                <w:color w:val="000000"/>
              </w:rPr>
              <w:t> </w:t>
            </w:r>
          </w:p>
        </w:tc>
        <w:tc>
          <w:tcPr>
            <w:tcW w:w="1152" w:type="dxa"/>
            <w:tcBorders>
              <w:top w:val="nil"/>
              <w:left w:val="nil"/>
              <w:bottom w:val="nil"/>
              <w:right w:val="nil"/>
            </w:tcBorders>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w:t>
            </w:r>
          </w:p>
        </w:tc>
        <w:tc>
          <w:tcPr>
            <w:tcW w:w="180" w:type="dxa"/>
            <w:tcBorders>
              <w:top w:val="nil"/>
              <w:left w:val="nil"/>
              <w:bottom w:val="nil"/>
              <w:right w:val="nil"/>
            </w:tcBorders>
            <w:vAlign w:val="center"/>
          </w:tcPr>
          <w:p w:rsidR="0073298C" w:rsidRDefault="0073298C" w:rsidP="0073298C">
            <w:pPr>
              <w:spacing w:before="22" w:after="22"/>
              <w:ind w:right="22"/>
              <w:rPr>
                <w:rFonts w:ascii="Arial" w:hAnsi="Arial" w:cs="Arial"/>
                <w:color w:val="000000"/>
                <w:sz w:val="18"/>
                <w:szCs w:val="18"/>
              </w:rPr>
            </w:pPr>
            <w:r>
              <w:rPr>
                <w:rFonts w:ascii="Arial" w:hAnsi="Arial" w:cs="Arial"/>
                <w:color w:val="000000"/>
                <w:sz w:val="18"/>
                <w:szCs w:val="18"/>
              </w:rPr>
              <w:t>%</w:t>
            </w:r>
          </w:p>
        </w:tc>
        <w:tc>
          <w:tcPr>
            <w:tcW w:w="105" w:type="dxa"/>
            <w:tcBorders>
              <w:top w:val="nil"/>
              <w:left w:val="nil"/>
              <w:bottom w:val="nil"/>
              <w:right w:val="nil"/>
            </w:tcBorders>
            <w:vAlign w:val="bottom"/>
          </w:tcPr>
          <w:p w:rsidR="0073298C" w:rsidRDefault="0073298C" w:rsidP="0073298C">
            <w:pPr>
              <w:spacing w:before="22" w:after="22"/>
              <w:ind w:left="22" w:right="22"/>
              <w:rPr>
                <w:color w:val="000000"/>
              </w:rPr>
            </w:pPr>
            <w:r>
              <w:rPr>
                <w:color w:val="000000"/>
              </w:rPr>
              <w:t> </w:t>
            </w:r>
          </w:p>
        </w:tc>
        <w:tc>
          <w:tcPr>
            <w:tcW w:w="120" w:type="dxa"/>
            <w:tcBorders>
              <w:top w:val="nil"/>
              <w:left w:val="nil"/>
              <w:bottom w:val="nil"/>
              <w:right w:val="nil"/>
            </w:tcBorders>
            <w:vAlign w:val="center"/>
          </w:tcPr>
          <w:p w:rsidR="0073298C" w:rsidRDefault="0073298C" w:rsidP="0073298C">
            <w:pPr>
              <w:spacing w:before="22" w:after="22"/>
              <w:ind w:left="22"/>
              <w:rPr>
                <w:rFonts w:ascii="Arial" w:hAnsi="Arial" w:cs="Arial"/>
                <w:color w:val="000000"/>
                <w:sz w:val="18"/>
                <w:szCs w:val="18"/>
              </w:rPr>
            </w:pPr>
            <w:r>
              <w:rPr>
                <w:rFonts w:ascii="Arial" w:hAnsi="Arial" w:cs="Arial"/>
                <w:color w:val="000000"/>
                <w:sz w:val="18"/>
                <w:szCs w:val="18"/>
              </w:rPr>
              <w:t>$</w:t>
            </w:r>
          </w:p>
        </w:tc>
        <w:tc>
          <w:tcPr>
            <w:tcW w:w="1051" w:type="dxa"/>
            <w:tcBorders>
              <w:top w:val="nil"/>
              <w:left w:val="nil"/>
              <w:bottom w:val="nil"/>
              <w:right w:val="nil"/>
            </w:tcBorders>
            <w:vAlign w:val="center"/>
          </w:tcPr>
          <w:p w:rsidR="0073298C" w:rsidRDefault="0073298C" w:rsidP="0073298C">
            <w:pPr>
              <w:spacing w:before="22" w:after="22"/>
              <w:jc w:val="right"/>
              <w:rPr>
                <w:rFonts w:ascii="Arial" w:hAnsi="Arial" w:cs="Arial"/>
                <w:color w:val="000000"/>
                <w:sz w:val="18"/>
                <w:szCs w:val="18"/>
              </w:rPr>
            </w:pPr>
            <w:r>
              <w:rPr>
                <w:rFonts w:ascii="Arial" w:hAnsi="Arial" w:cs="Arial"/>
                <w:color w:val="000000"/>
                <w:sz w:val="18"/>
                <w:szCs w:val="18"/>
              </w:rPr>
              <w:t>—</w:t>
            </w:r>
          </w:p>
        </w:tc>
        <w:tc>
          <w:tcPr>
            <w:tcW w:w="104" w:type="dxa"/>
            <w:tcBorders>
              <w:top w:val="nil"/>
              <w:left w:val="nil"/>
              <w:bottom w:val="nil"/>
              <w:right w:val="nil"/>
            </w:tcBorders>
            <w:vAlign w:val="bottom"/>
          </w:tcPr>
          <w:p w:rsidR="0073298C" w:rsidRDefault="0073298C" w:rsidP="0073298C">
            <w:pPr>
              <w:spacing w:before="22" w:after="22"/>
              <w:jc w:val="right"/>
              <w:rPr>
                <w:rFonts w:ascii="Arial" w:hAnsi="Arial" w:cs="Arial"/>
                <w:color w:val="000000"/>
                <w:sz w:val="18"/>
                <w:szCs w:val="18"/>
              </w:rPr>
            </w:pPr>
          </w:p>
          <w:p w:rsidR="0073298C" w:rsidRDefault="0073298C" w:rsidP="0073298C">
            <w:pPr>
              <w:rPr>
                <w:sz w:val="16"/>
                <w:szCs w:val="16"/>
              </w:rPr>
            </w:pPr>
            <w:r>
              <w:rPr>
                <w:sz w:val="16"/>
                <w:szCs w:val="16"/>
              </w:rPr>
              <w:t> </w:t>
            </w:r>
          </w:p>
        </w:tc>
        <w:tc>
          <w:tcPr>
            <w:tcW w:w="105" w:type="dxa"/>
            <w:tcBorders>
              <w:top w:val="nil"/>
              <w:left w:val="nil"/>
              <w:bottom w:val="nil"/>
              <w:right w:val="nil"/>
            </w:tcBorders>
            <w:vAlign w:val="bottom"/>
          </w:tcPr>
          <w:p w:rsidR="0073298C" w:rsidRDefault="0073298C" w:rsidP="0073298C">
            <w:pPr>
              <w:spacing w:before="22" w:after="22"/>
              <w:ind w:left="22" w:right="22"/>
              <w:rPr>
                <w:color w:val="000000"/>
              </w:rPr>
            </w:pPr>
            <w:r>
              <w:rPr>
                <w:color w:val="000000"/>
              </w:rPr>
              <w:t> </w:t>
            </w:r>
          </w:p>
        </w:tc>
        <w:tc>
          <w:tcPr>
            <w:tcW w:w="1152" w:type="dxa"/>
            <w:tcBorders>
              <w:top w:val="nil"/>
              <w:left w:val="nil"/>
              <w:bottom w:val="nil"/>
              <w:right w:val="nil"/>
            </w:tcBorders>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w:t>
            </w:r>
          </w:p>
        </w:tc>
        <w:tc>
          <w:tcPr>
            <w:tcW w:w="188" w:type="dxa"/>
            <w:tcBorders>
              <w:top w:val="nil"/>
              <w:left w:val="nil"/>
              <w:bottom w:val="nil"/>
              <w:right w:val="single" w:sz="6" w:space="0" w:color="00467E"/>
            </w:tcBorders>
            <w:vAlign w:val="center"/>
          </w:tcPr>
          <w:p w:rsidR="0073298C" w:rsidRDefault="0073298C" w:rsidP="0073298C">
            <w:pPr>
              <w:spacing w:before="22" w:after="22"/>
              <w:ind w:right="22"/>
              <w:rPr>
                <w:rFonts w:ascii="Arial" w:hAnsi="Arial" w:cs="Arial"/>
                <w:color w:val="000000"/>
                <w:sz w:val="18"/>
                <w:szCs w:val="18"/>
              </w:rPr>
            </w:pPr>
            <w:r>
              <w:rPr>
                <w:rFonts w:ascii="Arial" w:hAnsi="Arial" w:cs="Arial"/>
                <w:color w:val="000000"/>
                <w:sz w:val="18"/>
                <w:szCs w:val="18"/>
              </w:rPr>
              <w:t>%</w:t>
            </w:r>
          </w:p>
        </w:tc>
      </w:tr>
      <w:tr w:rsidR="0073298C" w:rsidTr="0073298C">
        <w:tblPrEx>
          <w:tblCellMar>
            <w:top w:w="0" w:type="dxa"/>
            <w:left w:w="0" w:type="dxa"/>
            <w:bottom w:w="0" w:type="dxa"/>
            <w:right w:w="0" w:type="dxa"/>
          </w:tblCellMar>
        </w:tblPrEx>
        <w:trPr>
          <w:trHeight w:val="281"/>
          <w:jc w:val="center"/>
        </w:trPr>
        <w:tc>
          <w:tcPr>
            <w:tcW w:w="2399" w:type="dxa"/>
            <w:tcBorders>
              <w:top w:val="nil"/>
              <w:left w:val="single" w:sz="6" w:space="0" w:color="00467E"/>
              <w:bottom w:val="nil"/>
              <w:right w:val="nil"/>
            </w:tcBorders>
            <w:shd w:val="clear" w:color="CFD4D8" w:fill="CFD4D8"/>
            <w:vAlign w:val="center"/>
          </w:tcPr>
          <w:p w:rsidR="0073298C" w:rsidRDefault="0073298C" w:rsidP="0073298C">
            <w:pPr>
              <w:spacing w:before="22" w:after="22"/>
              <w:ind w:left="330" w:right="22"/>
              <w:rPr>
                <w:rFonts w:ascii="Arial" w:hAnsi="Arial" w:cs="Arial"/>
                <w:color w:val="000000"/>
                <w:sz w:val="18"/>
                <w:szCs w:val="18"/>
              </w:rPr>
            </w:pPr>
            <w:r>
              <w:rPr>
                <w:rFonts w:ascii="Arial" w:hAnsi="Arial" w:cs="Arial"/>
                <w:color w:val="000000"/>
                <w:sz w:val="18"/>
                <w:szCs w:val="18"/>
              </w:rPr>
              <w:t>Operating income</w:t>
            </w:r>
          </w:p>
        </w:tc>
        <w:tc>
          <w:tcPr>
            <w:tcW w:w="120" w:type="dxa"/>
            <w:tcBorders>
              <w:top w:val="single" w:sz="6" w:space="0" w:color="000000"/>
              <w:left w:val="nil"/>
              <w:bottom w:val="double" w:sz="6" w:space="0" w:color="000000"/>
              <w:right w:val="nil"/>
            </w:tcBorders>
            <w:shd w:val="clear" w:color="CFD4D8" w:fill="CFD4D8"/>
            <w:vAlign w:val="center"/>
          </w:tcPr>
          <w:p w:rsidR="0073298C" w:rsidRDefault="0073298C" w:rsidP="0073298C">
            <w:pPr>
              <w:spacing w:before="22" w:after="22"/>
              <w:ind w:left="22"/>
              <w:rPr>
                <w:rFonts w:ascii="Arial" w:hAnsi="Arial" w:cs="Arial"/>
                <w:color w:val="000000"/>
                <w:sz w:val="18"/>
                <w:szCs w:val="18"/>
              </w:rPr>
            </w:pPr>
            <w:r>
              <w:rPr>
                <w:rFonts w:ascii="Arial" w:hAnsi="Arial" w:cs="Arial"/>
                <w:color w:val="000000"/>
                <w:sz w:val="18"/>
                <w:szCs w:val="18"/>
              </w:rPr>
              <w:t>$</w:t>
            </w:r>
          </w:p>
        </w:tc>
        <w:tc>
          <w:tcPr>
            <w:tcW w:w="1051" w:type="dxa"/>
            <w:tcBorders>
              <w:top w:val="single" w:sz="6" w:space="0" w:color="000000"/>
              <w:left w:val="nil"/>
              <w:bottom w:val="double" w:sz="6" w:space="0" w:color="000000"/>
              <w:right w:val="nil"/>
            </w:tcBorders>
            <w:shd w:val="clear" w:color="CFD4D8" w:fill="CFD4D8"/>
            <w:vAlign w:val="center"/>
          </w:tcPr>
          <w:p w:rsidR="0073298C" w:rsidRDefault="0073298C" w:rsidP="0073298C">
            <w:pPr>
              <w:spacing w:before="22" w:after="22"/>
              <w:jc w:val="right"/>
              <w:rPr>
                <w:rFonts w:ascii="Arial" w:hAnsi="Arial" w:cs="Arial"/>
                <w:color w:val="000000"/>
                <w:sz w:val="18"/>
                <w:szCs w:val="18"/>
              </w:rPr>
            </w:pPr>
            <w:r>
              <w:rPr>
                <w:rFonts w:ascii="Arial" w:hAnsi="Arial" w:cs="Arial"/>
                <w:color w:val="000000"/>
                <w:sz w:val="18"/>
                <w:szCs w:val="18"/>
              </w:rPr>
              <w:t>200,630</w:t>
            </w:r>
          </w:p>
        </w:tc>
        <w:tc>
          <w:tcPr>
            <w:tcW w:w="106" w:type="dxa"/>
            <w:tcBorders>
              <w:top w:val="single" w:sz="6" w:space="0" w:color="000000"/>
              <w:left w:val="nil"/>
              <w:bottom w:val="double" w:sz="6" w:space="0" w:color="000000"/>
              <w:right w:val="nil"/>
            </w:tcBorders>
            <w:shd w:val="clear" w:color="CFD4D8" w:fill="CFD4D8"/>
            <w:vAlign w:val="bottom"/>
          </w:tcPr>
          <w:p w:rsidR="0073298C" w:rsidRDefault="0073298C" w:rsidP="0073298C">
            <w:pPr>
              <w:spacing w:before="22" w:after="22"/>
              <w:jc w:val="right"/>
              <w:rPr>
                <w:rFonts w:ascii="Arial" w:hAnsi="Arial" w:cs="Arial"/>
                <w:color w:val="000000"/>
                <w:sz w:val="18"/>
                <w:szCs w:val="18"/>
              </w:rPr>
            </w:pPr>
          </w:p>
          <w:p w:rsidR="0073298C" w:rsidRDefault="0073298C" w:rsidP="0073298C">
            <w:pPr>
              <w:rPr>
                <w:sz w:val="16"/>
                <w:szCs w:val="16"/>
              </w:rPr>
            </w:pPr>
            <w:r>
              <w:rPr>
                <w:sz w:val="16"/>
                <w:szCs w:val="16"/>
              </w:rPr>
              <w:t> </w:t>
            </w:r>
          </w:p>
        </w:tc>
        <w:tc>
          <w:tcPr>
            <w:tcW w:w="105" w:type="dxa"/>
            <w:tcBorders>
              <w:top w:val="nil"/>
              <w:left w:val="nil"/>
              <w:bottom w:val="nil"/>
              <w:right w:val="nil"/>
            </w:tcBorders>
            <w:shd w:val="clear" w:color="CFD4D8" w:fill="CFD4D8"/>
            <w:vAlign w:val="bottom"/>
          </w:tcPr>
          <w:p w:rsidR="0073298C" w:rsidRDefault="0073298C" w:rsidP="0073298C">
            <w:pPr>
              <w:spacing w:before="22" w:after="22"/>
              <w:ind w:left="22" w:right="22"/>
              <w:rPr>
                <w:color w:val="000000"/>
              </w:rPr>
            </w:pPr>
            <w:r>
              <w:rPr>
                <w:color w:val="000000"/>
              </w:rPr>
              <w:t> </w:t>
            </w:r>
          </w:p>
        </w:tc>
        <w:tc>
          <w:tcPr>
            <w:tcW w:w="1138" w:type="dxa"/>
            <w:tcBorders>
              <w:top w:val="single" w:sz="6" w:space="0" w:color="000000"/>
              <w:left w:val="nil"/>
              <w:bottom w:val="double" w:sz="6" w:space="0" w:color="000000"/>
              <w:right w:val="nil"/>
            </w:tcBorders>
            <w:shd w:val="clear" w:color="CFD4D8" w:fill="CFD4D8"/>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100.0</w:t>
            </w:r>
          </w:p>
        </w:tc>
        <w:tc>
          <w:tcPr>
            <w:tcW w:w="239" w:type="dxa"/>
            <w:tcBorders>
              <w:top w:val="single" w:sz="6" w:space="0" w:color="000000"/>
              <w:left w:val="nil"/>
              <w:bottom w:val="double" w:sz="6" w:space="0" w:color="000000"/>
              <w:right w:val="nil"/>
            </w:tcBorders>
            <w:shd w:val="clear" w:color="CFD4D8" w:fill="CFD4D8"/>
            <w:vAlign w:val="center"/>
          </w:tcPr>
          <w:p w:rsidR="0073298C" w:rsidRDefault="0073298C" w:rsidP="0073298C">
            <w:pPr>
              <w:spacing w:before="22" w:after="22"/>
              <w:ind w:right="22"/>
              <w:rPr>
                <w:rFonts w:ascii="Arial" w:hAnsi="Arial" w:cs="Arial"/>
                <w:color w:val="000000"/>
                <w:sz w:val="18"/>
                <w:szCs w:val="18"/>
              </w:rPr>
            </w:pPr>
            <w:r>
              <w:rPr>
                <w:rFonts w:ascii="Arial" w:hAnsi="Arial" w:cs="Arial"/>
                <w:color w:val="000000"/>
                <w:sz w:val="18"/>
                <w:szCs w:val="18"/>
              </w:rPr>
              <w:t> %</w:t>
            </w:r>
          </w:p>
        </w:tc>
        <w:tc>
          <w:tcPr>
            <w:tcW w:w="105" w:type="dxa"/>
            <w:tcBorders>
              <w:top w:val="nil"/>
              <w:left w:val="nil"/>
              <w:bottom w:val="nil"/>
              <w:right w:val="nil"/>
            </w:tcBorders>
            <w:shd w:val="clear" w:color="CFD4D8" w:fill="CFD4D8"/>
            <w:vAlign w:val="bottom"/>
          </w:tcPr>
          <w:p w:rsidR="0073298C" w:rsidRDefault="0073298C" w:rsidP="0073298C">
            <w:pPr>
              <w:spacing w:before="22" w:after="22"/>
              <w:ind w:left="22" w:right="22"/>
              <w:rPr>
                <w:color w:val="000000"/>
              </w:rPr>
            </w:pPr>
            <w:r>
              <w:rPr>
                <w:color w:val="000000"/>
              </w:rPr>
              <w:t> </w:t>
            </w:r>
          </w:p>
        </w:tc>
        <w:tc>
          <w:tcPr>
            <w:tcW w:w="120" w:type="dxa"/>
            <w:tcBorders>
              <w:top w:val="single" w:sz="6" w:space="0" w:color="000000"/>
              <w:left w:val="nil"/>
              <w:bottom w:val="double" w:sz="6" w:space="0" w:color="000000"/>
              <w:right w:val="nil"/>
            </w:tcBorders>
            <w:shd w:val="clear" w:color="CFD4D8" w:fill="CFD4D8"/>
            <w:vAlign w:val="center"/>
          </w:tcPr>
          <w:p w:rsidR="0073298C" w:rsidRDefault="0073298C" w:rsidP="0073298C">
            <w:pPr>
              <w:spacing w:before="22" w:after="22"/>
              <w:ind w:left="22"/>
              <w:rPr>
                <w:rFonts w:ascii="Arial" w:hAnsi="Arial" w:cs="Arial"/>
                <w:color w:val="000000"/>
                <w:sz w:val="18"/>
                <w:szCs w:val="18"/>
              </w:rPr>
            </w:pPr>
            <w:r>
              <w:rPr>
                <w:rFonts w:ascii="Arial" w:hAnsi="Arial" w:cs="Arial"/>
                <w:color w:val="000000"/>
                <w:sz w:val="18"/>
                <w:szCs w:val="18"/>
              </w:rPr>
              <w:t>$</w:t>
            </w:r>
          </w:p>
        </w:tc>
        <w:tc>
          <w:tcPr>
            <w:tcW w:w="1051" w:type="dxa"/>
            <w:tcBorders>
              <w:top w:val="single" w:sz="6" w:space="0" w:color="000000"/>
              <w:left w:val="nil"/>
              <w:bottom w:val="double" w:sz="6" w:space="0" w:color="000000"/>
              <w:right w:val="nil"/>
            </w:tcBorders>
            <w:shd w:val="clear" w:color="CFD4D8" w:fill="CFD4D8"/>
            <w:vAlign w:val="center"/>
          </w:tcPr>
          <w:p w:rsidR="0073298C" w:rsidRDefault="0073298C" w:rsidP="0073298C">
            <w:pPr>
              <w:spacing w:before="22" w:after="22"/>
              <w:jc w:val="right"/>
              <w:rPr>
                <w:rFonts w:ascii="Arial" w:hAnsi="Arial" w:cs="Arial"/>
                <w:color w:val="000000"/>
                <w:sz w:val="18"/>
                <w:szCs w:val="18"/>
              </w:rPr>
            </w:pPr>
            <w:r>
              <w:rPr>
                <w:rFonts w:ascii="Arial" w:hAnsi="Arial" w:cs="Arial"/>
                <w:color w:val="000000"/>
                <w:sz w:val="18"/>
                <w:szCs w:val="18"/>
              </w:rPr>
              <w:t>148,479</w:t>
            </w:r>
          </w:p>
        </w:tc>
        <w:tc>
          <w:tcPr>
            <w:tcW w:w="104" w:type="dxa"/>
            <w:tcBorders>
              <w:top w:val="single" w:sz="6" w:space="0" w:color="000000"/>
              <w:left w:val="nil"/>
              <w:bottom w:val="double" w:sz="6" w:space="0" w:color="000000"/>
              <w:right w:val="nil"/>
            </w:tcBorders>
            <w:shd w:val="clear" w:color="CFD4D8" w:fill="CFD4D8"/>
            <w:vAlign w:val="bottom"/>
          </w:tcPr>
          <w:p w:rsidR="0073298C" w:rsidRDefault="0073298C" w:rsidP="0073298C">
            <w:pPr>
              <w:spacing w:before="22" w:after="22"/>
              <w:jc w:val="right"/>
              <w:rPr>
                <w:rFonts w:ascii="Arial" w:hAnsi="Arial" w:cs="Arial"/>
                <w:color w:val="000000"/>
                <w:sz w:val="18"/>
                <w:szCs w:val="18"/>
              </w:rPr>
            </w:pPr>
          </w:p>
          <w:p w:rsidR="0073298C" w:rsidRDefault="0073298C" w:rsidP="0073298C">
            <w:pPr>
              <w:rPr>
                <w:sz w:val="16"/>
                <w:szCs w:val="16"/>
              </w:rPr>
            </w:pPr>
            <w:r>
              <w:rPr>
                <w:sz w:val="16"/>
                <w:szCs w:val="16"/>
              </w:rPr>
              <w:t> </w:t>
            </w:r>
          </w:p>
        </w:tc>
        <w:tc>
          <w:tcPr>
            <w:tcW w:w="105" w:type="dxa"/>
            <w:tcBorders>
              <w:top w:val="nil"/>
              <w:left w:val="nil"/>
              <w:bottom w:val="nil"/>
              <w:right w:val="nil"/>
            </w:tcBorders>
            <w:shd w:val="clear" w:color="CFD4D8" w:fill="CFD4D8"/>
            <w:vAlign w:val="bottom"/>
          </w:tcPr>
          <w:p w:rsidR="0073298C" w:rsidRDefault="0073298C" w:rsidP="0073298C">
            <w:pPr>
              <w:spacing w:before="22" w:after="22"/>
              <w:ind w:left="22" w:right="22"/>
              <w:rPr>
                <w:color w:val="000000"/>
              </w:rPr>
            </w:pPr>
            <w:r>
              <w:rPr>
                <w:color w:val="000000"/>
              </w:rPr>
              <w:t> </w:t>
            </w:r>
          </w:p>
        </w:tc>
        <w:tc>
          <w:tcPr>
            <w:tcW w:w="1152" w:type="dxa"/>
            <w:tcBorders>
              <w:top w:val="single" w:sz="6" w:space="0" w:color="000000"/>
              <w:left w:val="nil"/>
              <w:bottom w:val="double" w:sz="6" w:space="0" w:color="000000"/>
              <w:right w:val="nil"/>
            </w:tcBorders>
            <w:shd w:val="clear" w:color="CFD4D8" w:fill="CFD4D8"/>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100.0</w:t>
            </w:r>
          </w:p>
        </w:tc>
        <w:tc>
          <w:tcPr>
            <w:tcW w:w="180" w:type="dxa"/>
            <w:tcBorders>
              <w:top w:val="single" w:sz="6" w:space="0" w:color="000000"/>
              <w:left w:val="nil"/>
              <w:bottom w:val="double" w:sz="6" w:space="0" w:color="000000"/>
              <w:right w:val="nil"/>
            </w:tcBorders>
            <w:shd w:val="clear" w:color="CFD4D8" w:fill="CFD4D8"/>
            <w:vAlign w:val="center"/>
          </w:tcPr>
          <w:p w:rsidR="0073298C" w:rsidRDefault="0073298C" w:rsidP="0073298C">
            <w:pPr>
              <w:spacing w:before="22" w:after="22"/>
              <w:ind w:right="22"/>
              <w:rPr>
                <w:rFonts w:ascii="Arial" w:hAnsi="Arial" w:cs="Arial"/>
                <w:color w:val="000000"/>
                <w:sz w:val="18"/>
                <w:szCs w:val="18"/>
              </w:rPr>
            </w:pPr>
            <w:r>
              <w:rPr>
                <w:rFonts w:ascii="Arial" w:hAnsi="Arial" w:cs="Arial"/>
                <w:color w:val="000000"/>
                <w:sz w:val="18"/>
                <w:szCs w:val="18"/>
              </w:rPr>
              <w:t>%</w:t>
            </w:r>
          </w:p>
        </w:tc>
        <w:tc>
          <w:tcPr>
            <w:tcW w:w="105" w:type="dxa"/>
            <w:tcBorders>
              <w:top w:val="nil"/>
              <w:left w:val="nil"/>
              <w:bottom w:val="nil"/>
              <w:right w:val="nil"/>
            </w:tcBorders>
            <w:shd w:val="clear" w:color="CFD4D8" w:fill="CFD4D8"/>
            <w:vAlign w:val="bottom"/>
          </w:tcPr>
          <w:p w:rsidR="0073298C" w:rsidRDefault="0073298C" w:rsidP="0073298C">
            <w:pPr>
              <w:spacing w:before="22" w:after="22"/>
              <w:ind w:left="22" w:right="22"/>
              <w:rPr>
                <w:color w:val="000000"/>
              </w:rPr>
            </w:pPr>
            <w:r>
              <w:rPr>
                <w:color w:val="000000"/>
              </w:rPr>
              <w:t> </w:t>
            </w:r>
          </w:p>
        </w:tc>
        <w:tc>
          <w:tcPr>
            <w:tcW w:w="120" w:type="dxa"/>
            <w:tcBorders>
              <w:top w:val="single" w:sz="6" w:space="0" w:color="000000"/>
              <w:left w:val="nil"/>
              <w:bottom w:val="double" w:sz="6" w:space="0" w:color="000000"/>
              <w:right w:val="nil"/>
            </w:tcBorders>
            <w:shd w:val="clear" w:color="CFD4D8" w:fill="CFD4D8"/>
            <w:vAlign w:val="center"/>
          </w:tcPr>
          <w:p w:rsidR="0073298C" w:rsidRDefault="0073298C" w:rsidP="0073298C">
            <w:pPr>
              <w:spacing w:before="22" w:after="22"/>
              <w:ind w:left="22"/>
              <w:rPr>
                <w:rFonts w:ascii="Arial" w:hAnsi="Arial" w:cs="Arial"/>
                <w:color w:val="000000"/>
                <w:sz w:val="18"/>
                <w:szCs w:val="18"/>
              </w:rPr>
            </w:pPr>
            <w:r>
              <w:rPr>
                <w:rFonts w:ascii="Arial" w:hAnsi="Arial" w:cs="Arial"/>
                <w:color w:val="000000"/>
                <w:sz w:val="18"/>
                <w:szCs w:val="18"/>
              </w:rPr>
              <w:t>$</w:t>
            </w:r>
          </w:p>
        </w:tc>
        <w:tc>
          <w:tcPr>
            <w:tcW w:w="1051" w:type="dxa"/>
            <w:tcBorders>
              <w:top w:val="single" w:sz="6" w:space="0" w:color="000000"/>
              <w:left w:val="nil"/>
              <w:bottom w:val="double" w:sz="6" w:space="0" w:color="000000"/>
              <w:right w:val="nil"/>
            </w:tcBorders>
            <w:shd w:val="clear" w:color="CFD4D8" w:fill="CFD4D8"/>
            <w:vAlign w:val="center"/>
          </w:tcPr>
          <w:p w:rsidR="0073298C" w:rsidRDefault="0073298C" w:rsidP="0073298C">
            <w:pPr>
              <w:spacing w:before="22" w:after="22"/>
              <w:jc w:val="right"/>
              <w:rPr>
                <w:rFonts w:ascii="Arial" w:hAnsi="Arial" w:cs="Arial"/>
                <w:color w:val="000000"/>
                <w:sz w:val="18"/>
                <w:szCs w:val="18"/>
              </w:rPr>
            </w:pPr>
            <w:r>
              <w:rPr>
                <w:rFonts w:ascii="Arial" w:hAnsi="Arial" w:cs="Arial"/>
                <w:color w:val="000000"/>
                <w:sz w:val="18"/>
                <w:szCs w:val="18"/>
              </w:rPr>
              <w:t>178,000</w:t>
            </w:r>
          </w:p>
        </w:tc>
        <w:tc>
          <w:tcPr>
            <w:tcW w:w="104" w:type="dxa"/>
            <w:tcBorders>
              <w:top w:val="single" w:sz="6" w:space="0" w:color="000000"/>
              <w:left w:val="nil"/>
              <w:bottom w:val="double" w:sz="6" w:space="0" w:color="000000"/>
              <w:right w:val="nil"/>
            </w:tcBorders>
            <w:shd w:val="clear" w:color="CFD4D8" w:fill="CFD4D8"/>
            <w:vAlign w:val="bottom"/>
          </w:tcPr>
          <w:p w:rsidR="0073298C" w:rsidRDefault="0073298C" w:rsidP="0073298C">
            <w:pPr>
              <w:spacing w:before="22" w:after="22"/>
              <w:jc w:val="right"/>
              <w:rPr>
                <w:rFonts w:ascii="Arial" w:hAnsi="Arial" w:cs="Arial"/>
                <w:color w:val="000000"/>
                <w:sz w:val="18"/>
                <w:szCs w:val="18"/>
              </w:rPr>
            </w:pPr>
          </w:p>
          <w:p w:rsidR="0073298C" w:rsidRDefault="0073298C" w:rsidP="0073298C">
            <w:pPr>
              <w:rPr>
                <w:sz w:val="16"/>
                <w:szCs w:val="16"/>
              </w:rPr>
            </w:pPr>
            <w:r>
              <w:rPr>
                <w:sz w:val="16"/>
                <w:szCs w:val="16"/>
              </w:rPr>
              <w:t> </w:t>
            </w:r>
          </w:p>
        </w:tc>
        <w:tc>
          <w:tcPr>
            <w:tcW w:w="105" w:type="dxa"/>
            <w:tcBorders>
              <w:top w:val="nil"/>
              <w:left w:val="nil"/>
              <w:bottom w:val="nil"/>
              <w:right w:val="nil"/>
            </w:tcBorders>
            <w:shd w:val="clear" w:color="CFD4D8" w:fill="CFD4D8"/>
            <w:vAlign w:val="bottom"/>
          </w:tcPr>
          <w:p w:rsidR="0073298C" w:rsidRDefault="0073298C" w:rsidP="0073298C">
            <w:pPr>
              <w:spacing w:before="22" w:after="22"/>
              <w:ind w:left="22" w:right="22"/>
              <w:rPr>
                <w:color w:val="000000"/>
              </w:rPr>
            </w:pPr>
            <w:r>
              <w:rPr>
                <w:color w:val="000000"/>
              </w:rPr>
              <w:t> </w:t>
            </w:r>
          </w:p>
        </w:tc>
        <w:tc>
          <w:tcPr>
            <w:tcW w:w="1152" w:type="dxa"/>
            <w:tcBorders>
              <w:top w:val="single" w:sz="6" w:space="0" w:color="000000"/>
              <w:left w:val="nil"/>
              <w:bottom w:val="double" w:sz="6" w:space="0" w:color="000000"/>
              <w:right w:val="nil"/>
            </w:tcBorders>
            <w:shd w:val="clear" w:color="CFD4D8" w:fill="CFD4D8"/>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100.0</w:t>
            </w:r>
          </w:p>
        </w:tc>
        <w:tc>
          <w:tcPr>
            <w:tcW w:w="188" w:type="dxa"/>
            <w:tcBorders>
              <w:top w:val="single" w:sz="6" w:space="0" w:color="000000"/>
              <w:left w:val="nil"/>
              <w:bottom w:val="double" w:sz="6" w:space="0" w:color="000000"/>
              <w:right w:val="nil"/>
            </w:tcBorders>
            <w:shd w:val="clear" w:color="CFD4D8" w:fill="CFD4D8"/>
            <w:vAlign w:val="center"/>
          </w:tcPr>
          <w:p w:rsidR="0073298C" w:rsidRDefault="0073298C" w:rsidP="0073298C">
            <w:pPr>
              <w:spacing w:before="22" w:after="22"/>
              <w:ind w:right="22"/>
              <w:rPr>
                <w:rFonts w:ascii="Arial" w:hAnsi="Arial" w:cs="Arial"/>
                <w:color w:val="000000"/>
                <w:sz w:val="18"/>
                <w:szCs w:val="18"/>
              </w:rPr>
            </w:pPr>
            <w:r>
              <w:rPr>
                <w:rFonts w:ascii="Arial" w:hAnsi="Arial" w:cs="Arial"/>
                <w:color w:val="000000"/>
                <w:sz w:val="18"/>
                <w:szCs w:val="18"/>
              </w:rPr>
              <w:t>%</w:t>
            </w:r>
          </w:p>
        </w:tc>
      </w:tr>
      <w:tr w:rsidR="0073298C" w:rsidTr="0073298C">
        <w:tblPrEx>
          <w:tblCellMar>
            <w:top w:w="0" w:type="dxa"/>
            <w:left w:w="0" w:type="dxa"/>
            <w:bottom w:w="0" w:type="dxa"/>
            <w:right w:w="0" w:type="dxa"/>
          </w:tblCellMar>
        </w:tblPrEx>
        <w:trPr>
          <w:trHeight w:val="281"/>
          <w:jc w:val="center"/>
        </w:trPr>
        <w:tc>
          <w:tcPr>
            <w:tcW w:w="2399" w:type="dxa"/>
            <w:tcBorders>
              <w:top w:val="nil"/>
              <w:left w:val="single" w:sz="6" w:space="0" w:color="00467E"/>
              <w:bottom w:val="single" w:sz="6" w:space="0" w:color="00467E"/>
              <w:right w:val="nil"/>
            </w:tcBorders>
            <w:vAlign w:val="bottom"/>
          </w:tcPr>
          <w:p w:rsidR="0073298C" w:rsidRDefault="0073298C" w:rsidP="0073298C">
            <w:pPr>
              <w:spacing w:before="22" w:after="22"/>
              <w:ind w:left="22" w:right="22"/>
              <w:rPr>
                <w:color w:val="000000"/>
              </w:rPr>
            </w:pPr>
            <w:r>
              <w:rPr>
                <w:color w:val="000000"/>
              </w:rPr>
              <w:t> </w:t>
            </w:r>
          </w:p>
        </w:tc>
        <w:tc>
          <w:tcPr>
            <w:tcW w:w="1277" w:type="dxa"/>
            <w:gridSpan w:val="3"/>
            <w:tcBorders>
              <w:top w:val="nil"/>
              <w:left w:val="nil"/>
              <w:bottom w:val="single" w:sz="6" w:space="0" w:color="00467E"/>
              <w:right w:val="nil"/>
            </w:tcBorders>
            <w:vAlign w:val="bottom"/>
          </w:tcPr>
          <w:p w:rsidR="0073298C" w:rsidRDefault="0073298C" w:rsidP="0073298C">
            <w:pPr>
              <w:spacing w:before="22" w:after="22"/>
              <w:ind w:left="22" w:right="22"/>
              <w:rPr>
                <w:color w:val="000000"/>
              </w:rPr>
            </w:pPr>
            <w:r>
              <w:rPr>
                <w:color w:val="000000"/>
              </w:rPr>
              <w:t> </w:t>
            </w:r>
          </w:p>
        </w:tc>
        <w:tc>
          <w:tcPr>
            <w:tcW w:w="105" w:type="dxa"/>
            <w:tcBorders>
              <w:top w:val="nil"/>
              <w:left w:val="nil"/>
              <w:bottom w:val="single" w:sz="6" w:space="0" w:color="00467E"/>
              <w:right w:val="nil"/>
            </w:tcBorders>
            <w:vAlign w:val="bottom"/>
          </w:tcPr>
          <w:p w:rsidR="0073298C" w:rsidRDefault="0073298C" w:rsidP="0073298C">
            <w:pPr>
              <w:spacing w:before="22" w:after="22"/>
              <w:ind w:left="22" w:right="22"/>
              <w:rPr>
                <w:color w:val="000000"/>
              </w:rPr>
            </w:pPr>
            <w:r>
              <w:rPr>
                <w:color w:val="000000"/>
              </w:rPr>
              <w:t> </w:t>
            </w:r>
          </w:p>
        </w:tc>
        <w:tc>
          <w:tcPr>
            <w:tcW w:w="1378" w:type="dxa"/>
            <w:gridSpan w:val="2"/>
            <w:tcBorders>
              <w:top w:val="nil"/>
              <w:left w:val="nil"/>
              <w:bottom w:val="single" w:sz="6" w:space="0" w:color="00467E"/>
              <w:right w:val="nil"/>
            </w:tcBorders>
            <w:vAlign w:val="bottom"/>
          </w:tcPr>
          <w:p w:rsidR="0073298C" w:rsidRDefault="0073298C" w:rsidP="0073298C">
            <w:pPr>
              <w:spacing w:before="22" w:after="22"/>
              <w:ind w:left="22" w:right="22"/>
              <w:rPr>
                <w:color w:val="000000"/>
              </w:rPr>
            </w:pPr>
            <w:r>
              <w:rPr>
                <w:color w:val="000000"/>
              </w:rPr>
              <w:t> </w:t>
            </w:r>
          </w:p>
        </w:tc>
        <w:tc>
          <w:tcPr>
            <w:tcW w:w="105" w:type="dxa"/>
            <w:tcBorders>
              <w:top w:val="nil"/>
              <w:left w:val="nil"/>
              <w:bottom w:val="single" w:sz="6" w:space="0" w:color="00467E"/>
              <w:right w:val="nil"/>
            </w:tcBorders>
            <w:vAlign w:val="bottom"/>
          </w:tcPr>
          <w:p w:rsidR="0073298C" w:rsidRDefault="0073298C" w:rsidP="0073298C">
            <w:pPr>
              <w:spacing w:before="22" w:after="22"/>
              <w:ind w:left="22" w:right="22"/>
              <w:rPr>
                <w:color w:val="000000"/>
              </w:rPr>
            </w:pPr>
            <w:r>
              <w:rPr>
                <w:color w:val="000000"/>
              </w:rPr>
              <w:t> </w:t>
            </w:r>
          </w:p>
        </w:tc>
        <w:tc>
          <w:tcPr>
            <w:tcW w:w="1276" w:type="dxa"/>
            <w:gridSpan w:val="3"/>
            <w:tcBorders>
              <w:top w:val="nil"/>
              <w:left w:val="nil"/>
              <w:bottom w:val="single" w:sz="6" w:space="0" w:color="00467E"/>
              <w:right w:val="nil"/>
            </w:tcBorders>
            <w:vAlign w:val="bottom"/>
          </w:tcPr>
          <w:p w:rsidR="0073298C" w:rsidRDefault="0073298C" w:rsidP="0073298C">
            <w:pPr>
              <w:spacing w:before="22" w:after="22"/>
              <w:ind w:left="22" w:right="22"/>
              <w:rPr>
                <w:color w:val="000000"/>
              </w:rPr>
            </w:pPr>
            <w:r>
              <w:rPr>
                <w:color w:val="000000"/>
              </w:rPr>
              <w:t> </w:t>
            </w:r>
          </w:p>
        </w:tc>
        <w:tc>
          <w:tcPr>
            <w:tcW w:w="105" w:type="dxa"/>
            <w:tcBorders>
              <w:top w:val="nil"/>
              <w:left w:val="nil"/>
              <w:bottom w:val="single" w:sz="6" w:space="0" w:color="00467E"/>
              <w:right w:val="nil"/>
            </w:tcBorders>
            <w:vAlign w:val="bottom"/>
          </w:tcPr>
          <w:p w:rsidR="0073298C" w:rsidRDefault="0073298C" w:rsidP="0073298C">
            <w:pPr>
              <w:spacing w:before="22" w:after="22"/>
              <w:ind w:left="22" w:right="22"/>
              <w:rPr>
                <w:color w:val="000000"/>
              </w:rPr>
            </w:pPr>
            <w:r>
              <w:rPr>
                <w:color w:val="000000"/>
              </w:rPr>
              <w:t> </w:t>
            </w:r>
          </w:p>
        </w:tc>
        <w:tc>
          <w:tcPr>
            <w:tcW w:w="1332" w:type="dxa"/>
            <w:gridSpan w:val="2"/>
            <w:tcBorders>
              <w:top w:val="nil"/>
              <w:left w:val="nil"/>
              <w:bottom w:val="single" w:sz="6" w:space="0" w:color="00467E"/>
              <w:right w:val="nil"/>
            </w:tcBorders>
            <w:vAlign w:val="bottom"/>
          </w:tcPr>
          <w:p w:rsidR="0073298C" w:rsidRDefault="0073298C" w:rsidP="0073298C">
            <w:pPr>
              <w:spacing w:before="22" w:after="22"/>
              <w:ind w:left="22" w:right="22"/>
              <w:rPr>
                <w:color w:val="000000"/>
              </w:rPr>
            </w:pPr>
            <w:r>
              <w:rPr>
                <w:color w:val="000000"/>
              </w:rPr>
              <w:t> </w:t>
            </w:r>
          </w:p>
        </w:tc>
        <w:tc>
          <w:tcPr>
            <w:tcW w:w="105" w:type="dxa"/>
            <w:tcBorders>
              <w:top w:val="nil"/>
              <w:left w:val="nil"/>
              <w:bottom w:val="single" w:sz="6" w:space="0" w:color="00467E"/>
              <w:right w:val="nil"/>
            </w:tcBorders>
            <w:vAlign w:val="bottom"/>
          </w:tcPr>
          <w:p w:rsidR="0073298C" w:rsidRDefault="0073298C" w:rsidP="0073298C">
            <w:pPr>
              <w:spacing w:before="22" w:after="22"/>
              <w:ind w:left="22" w:right="22"/>
              <w:rPr>
                <w:color w:val="000000"/>
              </w:rPr>
            </w:pPr>
            <w:r>
              <w:rPr>
                <w:color w:val="000000"/>
              </w:rPr>
              <w:t> </w:t>
            </w:r>
          </w:p>
        </w:tc>
        <w:tc>
          <w:tcPr>
            <w:tcW w:w="1276" w:type="dxa"/>
            <w:gridSpan w:val="3"/>
            <w:tcBorders>
              <w:top w:val="nil"/>
              <w:left w:val="nil"/>
              <w:bottom w:val="single" w:sz="6" w:space="0" w:color="00467E"/>
              <w:right w:val="nil"/>
            </w:tcBorders>
            <w:vAlign w:val="bottom"/>
          </w:tcPr>
          <w:p w:rsidR="0073298C" w:rsidRDefault="0073298C" w:rsidP="0073298C">
            <w:pPr>
              <w:spacing w:before="22" w:after="22"/>
              <w:ind w:left="22" w:right="22"/>
              <w:rPr>
                <w:color w:val="000000"/>
              </w:rPr>
            </w:pPr>
            <w:r>
              <w:rPr>
                <w:color w:val="000000"/>
              </w:rPr>
              <w:t> </w:t>
            </w:r>
          </w:p>
        </w:tc>
        <w:tc>
          <w:tcPr>
            <w:tcW w:w="105" w:type="dxa"/>
            <w:tcBorders>
              <w:top w:val="nil"/>
              <w:left w:val="nil"/>
              <w:bottom w:val="single" w:sz="6" w:space="0" w:color="00467E"/>
              <w:right w:val="nil"/>
            </w:tcBorders>
            <w:vAlign w:val="bottom"/>
          </w:tcPr>
          <w:p w:rsidR="0073298C" w:rsidRDefault="0073298C" w:rsidP="0073298C">
            <w:pPr>
              <w:spacing w:before="22" w:after="22"/>
              <w:ind w:left="22" w:right="22"/>
              <w:rPr>
                <w:color w:val="000000"/>
              </w:rPr>
            </w:pPr>
            <w:r>
              <w:rPr>
                <w:color w:val="000000"/>
              </w:rPr>
              <w:t> </w:t>
            </w:r>
          </w:p>
        </w:tc>
        <w:tc>
          <w:tcPr>
            <w:tcW w:w="1332" w:type="dxa"/>
            <w:gridSpan w:val="2"/>
            <w:tcBorders>
              <w:top w:val="nil"/>
              <w:left w:val="nil"/>
              <w:bottom w:val="single" w:sz="6" w:space="0" w:color="00467E"/>
              <w:right w:val="single" w:sz="6" w:space="0" w:color="00467E"/>
            </w:tcBorders>
            <w:vAlign w:val="bottom"/>
          </w:tcPr>
          <w:p w:rsidR="0073298C" w:rsidRDefault="0073298C" w:rsidP="0073298C">
            <w:pPr>
              <w:spacing w:before="22" w:after="22"/>
              <w:ind w:left="22" w:right="22"/>
              <w:rPr>
                <w:color w:val="000000"/>
              </w:rPr>
            </w:pPr>
            <w:r>
              <w:rPr>
                <w:color w:val="000000"/>
              </w:rPr>
              <w:t> </w:t>
            </w:r>
          </w:p>
        </w:tc>
      </w:tr>
    </w:tbl>
    <w:p w:rsidR="00D50DFC" w:rsidRDefault="00D50DFC" w:rsidP="00D50DFC">
      <w:pPr>
        <w:rPr>
          <w:sz w:val="16"/>
          <w:szCs w:val="16"/>
        </w:rPr>
      </w:pPr>
    </w:p>
    <w:p w:rsidR="0073298C" w:rsidRDefault="0073298C" w:rsidP="000E3B20">
      <w:pPr>
        <w:pStyle w:val="Heading1"/>
      </w:pPr>
      <w:bookmarkStart w:id="31" w:name="_Toc526330227"/>
      <w:r>
        <w:t>Segment Review</w:t>
      </w:r>
      <w:bookmarkEnd w:id="31"/>
    </w:p>
    <w:p w:rsidR="0073298C" w:rsidRDefault="0073298C" w:rsidP="000E3B20">
      <w:pPr>
        <w:pStyle w:val="Heading2"/>
      </w:pPr>
      <w:bookmarkStart w:id="32" w:name="_Toc526330228"/>
      <w:r>
        <w:t>Knight Trucking Segment</w:t>
      </w:r>
      <w:bookmarkEnd w:id="32"/>
    </w:p>
    <w:p w:rsidR="0073298C" w:rsidRDefault="0073298C" w:rsidP="0073298C">
      <w:pPr>
        <w:spacing w:after="132"/>
        <w:jc w:val="both"/>
        <w:rPr>
          <w:rFonts w:ascii="Arial" w:hAnsi="Arial" w:cs="Arial"/>
          <w:color w:val="000000"/>
          <w:sz w:val="18"/>
          <w:szCs w:val="18"/>
        </w:rPr>
      </w:pPr>
      <w:r>
        <w:rPr>
          <w:rFonts w:ascii="Arial" w:hAnsi="Arial" w:cs="Arial"/>
          <w:color w:val="000000"/>
          <w:sz w:val="18"/>
          <w:szCs w:val="18"/>
        </w:rPr>
        <w:t>We generate revenue in the Knight Trucking segment through dry van, refrigerated, and drayage service offerings. Generally, we are paid a predetermined rate per mile or per load for our trucking services. Additional revenues are generated in all four of our trucking segments (Knight Trucking, Swift Truckload, Swift Dedicated, and Swift Refrigerated) by charging for tractor and trailer detention, loading and unloading activities, dedicated services, and other specialized services, as well as through the collection of fuel surcharge revenue to mitigate the impact of increases in the cost of fuel. The main factors that affect the revenue generated by our trucking segments are rate per mile from our customers, the percentage of miles for which we are compensated, and the number of loaded miles we generate with our equipment.</w:t>
      </w:r>
    </w:p>
    <w:p w:rsidR="0073298C" w:rsidRDefault="0073298C" w:rsidP="0073298C">
      <w:pPr>
        <w:jc w:val="both"/>
        <w:rPr>
          <w:rFonts w:ascii="Arial" w:hAnsi="Arial" w:cs="Arial"/>
          <w:color w:val="000000"/>
          <w:sz w:val="18"/>
          <w:szCs w:val="18"/>
        </w:rPr>
      </w:pPr>
      <w:r>
        <w:rPr>
          <w:rFonts w:ascii="Arial" w:hAnsi="Arial" w:cs="Arial"/>
          <w:color w:val="000000"/>
          <w:sz w:val="18"/>
          <w:szCs w:val="18"/>
        </w:rPr>
        <w:t>The most significant expenses in the trucking segments are primarily variable and include fuel and fuel taxes, driving associate-related expenses (such as wages, benefits, training, and recruitment), and costs associated with independent contractors primarily included in "Purchased transportation" in the consolidated income statements. Maintenance expense (which includes costs for replacement tires for our revenue equipment) and insurance and claims expenses have both fixed and variable components. These expenses generally vary with the miles we travel, but also have a controllable component based on safety, fleet age, efficiency, and other factors. The main fixed costs in the trucking segments are depreciation and rent expenses from leasing and acquiring revenue equipment and terminals, as well as compensating our non-driver employees.</w:t>
      </w:r>
    </w:p>
    <w:tbl>
      <w:tblPr>
        <w:tblW w:w="0" w:type="auto"/>
        <w:jc w:val="center"/>
        <w:tblLayout w:type="fixed"/>
        <w:tblCellMar>
          <w:left w:w="0" w:type="dxa"/>
          <w:right w:w="0" w:type="dxa"/>
        </w:tblCellMar>
        <w:tblLook w:val="0000"/>
      </w:tblPr>
      <w:tblGrid>
        <w:gridCol w:w="3144"/>
        <w:gridCol w:w="120"/>
        <w:gridCol w:w="1212"/>
        <w:gridCol w:w="180"/>
        <w:gridCol w:w="102"/>
        <w:gridCol w:w="120"/>
        <w:gridCol w:w="1212"/>
        <w:gridCol w:w="180"/>
        <w:gridCol w:w="102"/>
        <w:gridCol w:w="120"/>
        <w:gridCol w:w="1212"/>
        <w:gridCol w:w="182"/>
        <w:gridCol w:w="102"/>
        <w:gridCol w:w="993"/>
        <w:gridCol w:w="360"/>
        <w:gridCol w:w="102"/>
        <w:gridCol w:w="993"/>
        <w:gridCol w:w="361"/>
        <w:gridCol w:w="6"/>
      </w:tblGrid>
      <w:tr w:rsidR="0073298C" w:rsidTr="0073298C">
        <w:tblPrEx>
          <w:tblCellMar>
            <w:top w:w="0" w:type="dxa"/>
            <w:left w:w="0" w:type="dxa"/>
            <w:bottom w:w="0" w:type="dxa"/>
            <w:right w:w="0" w:type="dxa"/>
          </w:tblCellMar>
        </w:tblPrEx>
        <w:trPr>
          <w:trHeight w:val="66"/>
          <w:jc w:val="center"/>
        </w:trPr>
        <w:tc>
          <w:tcPr>
            <w:tcW w:w="10800" w:type="dxa"/>
            <w:gridSpan w:val="19"/>
            <w:tcBorders>
              <w:top w:val="nil"/>
              <w:left w:val="nil"/>
              <w:bottom w:val="nil"/>
              <w:right w:val="nil"/>
            </w:tcBorders>
            <w:vAlign w:val="center"/>
          </w:tcPr>
          <w:p w:rsidR="0073298C" w:rsidRDefault="0073298C" w:rsidP="0073298C">
            <w:pPr>
              <w:rPr>
                <w:sz w:val="16"/>
                <w:szCs w:val="16"/>
              </w:rPr>
            </w:pPr>
            <w:r>
              <w:rPr>
                <w:sz w:val="16"/>
                <w:szCs w:val="16"/>
              </w:rPr>
              <w:t> </w:t>
            </w:r>
          </w:p>
        </w:tc>
      </w:tr>
      <w:tr w:rsidR="0073298C" w:rsidTr="0073298C">
        <w:tblPrEx>
          <w:tblCellMar>
            <w:top w:w="0" w:type="dxa"/>
            <w:left w:w="0" w:type="dxa"/>
            <w:bottom w:w="0" w:type="dxa"/>
            <w:right w:w="0" w:type="dxa"/>
          </w:tblCellMar>
        </w:tblPrEx>
        <w:trPr>
          <w:trHeight w:val="66"/>
          <w:jc w:val="center"/>
        </w:trPr>
        <w:tc>
          <w:tcPr>
            <w:tcW w:w="3144" w:type="dxa"/>
            <w:tcBorders>
              <w:top w:val="nil"/>
              <w:left w:val="nil"/>
              <w:bottom w:val="nil"/>
              <w:right w:val="nil"/>
            </w:tcBorders>
            <w:vAlign w:val="center"/>
          </w:tcPr>
          <w:p w:rsidR="0073298C" w:rsidRDefault="0073298C" w:rsidP="0073298C">
            <w:pPr>
              <w:rPr>
                <w:sz w:val="16"/>
                <w:szCs w:val="16"/>
              </w:rPr>
            </w:pPr>
            <w:r>
              <w:rPr>
                <w:sz w:val="16"/>
                <w:szCs w:val="16"/>
              </w:rPr>
              <w:t> </w:t>
            </w:r>
          </w:p>
        </w:tc>
        <w:tc>
          <w:tcPr>
            <w:tcW w:w="120" w:type="dxa"/>
            <w:tcBorders>
              <w:top w:val="nil"/>
              <w:left w:val="nil"/>
              <w:bottom w:val="nil"/>
              <w:right w:val="nil"/>
            </w:tcBorders>
            <w:vAlign w:val="center"/>
          </w:tcPr>
          <w:p w:rsidR="0073298C" w:rsidRDefault="0073298C" w:rsidP="0073298C">
            <w:pPr>
              <w:rPr>
                <w:sz w:val="16"/>
                <w:szCs w:val="16"/>
              </w:rPr>
            </w:pPr>
            <w:r>
              <w:rPr>
                <w:sz w:val="16"/>
                <w:szCs w:val="16"/>
              </w:rPr>
              <w:t> </w:t>
            </w:r>
          </w:p>
        </w:tc>
        <w:tc>
          <w:tcPr>
            <w:tcW w:w="1212" w:type="dxa"/>
            <w:tcBorders>
              <w:top w:val="nil"/>
              <w:left w:val="nil"/>
              <w:bottom w:val="nil"/>
              <w:right w:val="nil"/>
            </w:tcBorders>
            <w:vAlign w:val="center"/>
          </w:tcPr>
          <w:p w:rsidR="0073298C" w:rsidRDefault="0073298C" w:rsidP="0073298C">
            <w:pPr>
              <w:rPr>
                <w:sz w:val="16"/>
                <w:szCs w:val="16"/>
              </w:rPr>
            </w:pPr>
            <w:r>
              <w:rPr>
                <w:sz w:val="16"/>
                <w:szCs w:val="16"/>
              </w:rPr>
              <w:t> </w:t>
            </w:r>
          </w:p>
        </w:tc>
        <w:tc>
          <w:tcPr>
            <w:tcW w:w="180" w:type="dxa"/>
            <w:tcBorders>
              <w:top w:val="nil"/>
              <w:left w:val="nil"/>
              <w:bottom w:val="nil"/>
              <w:right w:val="nil"/>
            </w:tcBorders>
            <w:vAlign w:val="center"/>
          </w:tcPr>
          <w:p w:rsidR="0073298C" w:rsidRDefault="0073298C" w:rsidP="0073298C">
            <w:pPr>
              <w:rPr>
                <w:sz w:val="16"/>
                <w:szCs w:val="16"/>
              </w:rPr>
            </w:pPr>
            <w:r>
              <w:rPr>
                <w:sz w:val="16"/>
                <w:szCs w:val="16"/>
              </w:rPr>
              <w:t> </w:t>
            </w:r>
          </w:p>
        </w:tc>
        <w:tc>
          <w:tcPr>
            <w:tcW w:w="102" w:type="dxa"/>
            <w:tcBorders>
              <w:top w:val="nil"/>
              <w:left w:val="nil"/>
              <w:bottom w:val="nil"/>
              <w:right w:val="nil"/>
            </w:tcBorders>
            <w:vAlign w:val="center"/>
          </w:tcPr>
          <w:p w:rsidR="0073298C" w:rsidRDefault="0073298C" w:rsidP="0073298C">
            <w:pPr>
              <w:rPr>
                <w:sz w:val="16"/>
                <w:szCs w:val="16"/>
              </w:rPr>
            </w:pPr>
            <w:r>
              <w:rPr>
                <w:sz w:val="16"/>
                <w:szCs w:val="16"/>
              </w:rPr>
              <w:t> </w:t>
            </w:r>
          </w:p>
        </w:tc>
        <w:tc>
          <w:tcPr>
            <w:tcW w:w="120" w:type="dxa"/>
            <w:tcBorders>
              <w:top w:val="nil"/>
              <w:left w:val="nil"/>
              <w:bottom w:val="nil"/>
              <w:right w:val="nil"/>
            </w:tcBorders>
            <w:vAlign w:val="center"/>
          </w:tcPr>
          <w:p w:rsidR="0073298C" w:rsidRDefault="0073298C" w:rsidP="0073298C">
            <w:pPr>
              <w:rPr>
                <w:sz w:val="16"/>
                <w:szCs w:val="16"/>
              </w:rPr>
            </w:pPr>
            <w:r>
              <w:rPr>
                <w:sz w:val="16"/>
                <w:szCs w:val="16"/>
              </w:rPr>
              <w:t> </w:t>
            </w:r>
          </w:p>
        </w:tc>
        <w:tc>
          <w:tcPr>
            <w:tcW w:w="1212" w:type="dxa"/>
            <w:tcBorders>
              <w:top w:val="nil"/>
              <w:left w:val="nil"/>
              <w:bottom w:val="nil"/>
              <w:right w:val="nil"/>
            </w:tcBorders>
            <w:vAlign w:val="center"/>
          </w:tcPr>
          <w:p w:rsidR="0073298C" w:rsidRDefault="0073298C" w:rsidP="0073298C">
            <w:pPr>
              <w:rPr>
                <w:sz w:val="16"/>
                <w:szCs w:val="16"/>
              </w:rPr>
            </w:pPr>
            <w:r>
              <w:rPr>
                <w:sz w:val="16"/>
                <w:szCs w:val="16"/>
              </w:rPr>
              <w:t> </w:t>
            </w:r>
          </w:p>
        </w:tc>
        <w:tc>
          <w:tcPr>
            <w:tcW w:w="180" w:type="dxa"/>
            <w:tcBorders>
              <w:top w:val="nil"/>
              <w:left w:val="nil"/>
              <w:bottom w:val="nil"/>
              <w:right w:val="nil"/>
            </w:tcBorders>
            <w:vAlign w:val="center"/>
          </w:tcPr>
          <w:p w:rsidR="0073298C" w:rsidRDefault="0073298C" w:rsidP="0073298C">
            <w:pPr>
              <w:rPr>
                <w:sz w:val="16"/>
                <w:szCs w:val="16"/>
              </w:rPr>
            </w:pPr>
            <w:r>
              <w:rPr>
                <w:sz w:val="16"/>
                <w:szCs w:val="16"/>
              </w:rPr>
              <w:t> </w:t>
            </w:r>
          </w:p>
        </w:tc>
        <w:tc>
          <w:tcPr>
            <w:tcW w:w="102" w:type="dxa"/>
            <w:tcBorders>
              <w:top w:val="nil"/>
              <w:left w:val="nil"/>
              <w:bottom w:val="nil"/>
              <w:right w:val="nil"/>
            </w:tcBorders>
            <w:vAlign w:val="center"/>
          </w:tcPr>
          <w:p w:rsidR="0073298C" w:rsidRDefault="0073298C" w:rsidP="0073298C">
            <w:pPr>
              <w:rPr>
                <w:sz w:val="16"/>
                <w:szCs w:val="16"/>
              </w:rPr>
            </w:pPr>
            <w:r>
              <w:rPr>
                <w:sz w:val="16"/>
                <w:szCs w:val="16"/>
              </w:rPr>
              <w:t> </w:t>
            </w:r>
          </w:p>
        </w:tc>
        <w:tc>
          <w:tcPr>
            <w:tcW w:w="120" w:type="dxa"/>
            <w:tcBorders>
              <w:top w:val="nil"/>
              <w:left w:val="nil"/>
              <w:bottom w:val="nil"/>
              <w:right w:val="nil"/>
            </w:tcBorders>
            <w:vAlign w:val="center"/>
          </w:tcPr>
          <w:p w:rsidR="0073298C" w:rsidRDefault="0073298C" w:rsidP="0073298C">
            <w:pPr>
              <w:rPr>
                <w:sz w:val="16"/>
                <w:szCs w:val="16"/>
              </w:rPr>
            </w:pPr>
            <w:r>
              <w:rPr>
                <w:sz w:val="16"/>
                <w:szCs w:val="16"/>
              </w:rPr>
              <w:t> </w:t>
            </w:r>
          </w:p>
        </w:tc>
        <w:tc>
          <w:tcPr>
            <w:tcW w:w="1212" w:type="dxa"/>
            <w:tcBorders>
              <w:top w:val="nil"/>
              <w:left w:val="nil"/>
              <w:bottom w:val="nil"/>
              <w:right w:val="nil"/>
            </w:tcBorders>
            <w:vAlign w:val="center"/>
          </w:tcPr>
          <w:p w:rsidR="0073298C" w:rsidRDefault="0073298C" w:rsidP="0073298C">
            <w:pPr>
              <w:rPr>
                <w:sz w:val="16"/>
                <w:szCs w:val="16"/>
              </w:rPr>
            </w:pPr>
            <w:r>
              <w:rPr>
                <w:sz w:val="16"/>
                <w:szCs w:val="16"/>
              </w:rPr>
              <w:t> </w:t>
            </w:r>
          </w:p>
        </w:tc>
        <w:tc>
          <w:tcPr>
            <w:tcW w:w="180" w:type="dxa"/>
            <w:tcBorders>
              <w:top w:val="nil"/>
              <w:left w:val="nil"/>
              <w:bottom w:val="nil"/>
              <w:right w:val="nil"/>
            </w:tcBorders>
            <w:vAlign w:val="center"/>
          </w:tcPr>
          <w:p w:rsidR="0073298C" w:rsidRDefault="0073298C" w:rsidP="0073298C">
            <w:pPr>
              <w:rPr>
                <w:sz w:val="16"/>
                <w:szCs w:val="16"/>
              </w:rPr>
            </w:pPr>
            <w:r>
              <w:rPr>
                <w:sz w:val="16"/>
                <w:szCs w:val="16"/>
              </w:rPr>
              <w:t> </w:t>
            </w:r>
          </w:p>
        </w:tc>
        <w:tc>
          <w:tcPr>
            <w:tcW w:w="102" w:type="dxa"/>
            <w:tcBorders>
              <w:top w:val="nil"/>
              <w:left w:val="nil"/>
              <w:bottom w:val="nil"/>
              <w:right w:val="nil"/>
            </w:tcBorders>
            <w:vAlign w:val="center"/>
          </w:tcPr>
          <w:p w:rsidR="0073298C" w:rsidRDefault="0073298C" w:rsidP="0073298C">
            <w:pPr>
              <w:rPr>
                <w:sz w:val="16"/>
                <w:szCs w:val="16"/>
              </w:rPr>
            </w:pPr>
            <w:r>
              <w:rPr>
                <w:sz w:val="16"/>
                <w:szCs w:val="16"/>
              </w:rPr>
              <w:t> </w:t>
            </w:r>
          </w:p>
        </w:tc>
        <w:tc>
          <w:tcPr>
            <w:tcW w:w="993" w:type="dxa"/>
            <w:tcBorders>
              <w:top w:val="nil"/>
              <w:left w:val="nil"/>
              <w:bottom w:val="nil"/>
              <w:right w:val="nil"/>
            </w:tcBorders>
            <w:vAlign w:val="center"/>
          </w:tcPr>
          <w:p w:rsidR="0073298C" w:rsidRDefault="0073298C" w:rsidP="0073298C">
            <w:pPr>
              <w:rPr>
                <w:sz w:val="16"/>
                <w:szCs w:val="16"/>
              </w:rPr>
            </w:pPr>
            <w:r>
              <w:rPr>
                <w:sz w:val="16"/>
                <w:szCs w:val="16"/>
              </w:rPr>
              <w:t> </w:t>
            </w:r>
          </w:p>
        </w:tc>
        <w:tc>
          <w:tcPr>
            <w:tcW w:w="360" w:type="dxa"/>
            <w:tcBorders>
              <w:top w:val="nil"/>
              <w:left w:val="nil"/>
              <w:bottom w:val="nil"/>
              <w:right w:val="nil"/>
            </w:tcBorders>
            <w:vAlign w:val="center"/>
          </w:tcPr>
          <w:p w:rsidR="0073298C" w:rsidRDefault="0073298C" w:rsidP="0073298C">
            <w:pPr>
              <w:rPr>
                <w:sz w:val="16"/>
                <w:szCs w:val="16"/>
              </w:rPr>
            </w:pPr>
            <w:r>
              <w:rPr>
                <w:sz w:val="16"/>
                <w:szCs w:val="16"/>
              </w:rPr>
              <w:t> </w:t>
            </w:r>
          </w:p>
        </w:tc>
        <w:tc>
          <w:tcPr>
            <w:tcW w:w="102" w:type="dxa"/>
            <w:tcBorders>
              <w:top w:val="nil"/>
              <w:left w:val="nil"/>
              <w:bottom w:val="nil"/>
              <w:right w:val="nil"/>
            </w:tcBorders>
            <w:vAlign w:val="center"/>
          </w:tcPr>
          <w:p w:rsidR="0073298C" w:rsidRDefault="0073298C" w:rsidP="0073298C">
            <w:pPr>
              <w:rPr>
                <w:sz w:val="16"/>
                <w:szCs w:val="16"/>
              </w:rPr>
            </w:pPr>
            <w:r>
              <w:rPr>
                <w:sz w:val="16"/>
                <w:szCs w:val="16"/>
              </w:rPr>
              <w:t> </w:t>
            </w:r>
          </w:p>
        </w:tc>
        <w:tc>
          <w:tcPr>
            <w:tcW w:w="993" w:type="dxa"/>
            <w:tcBorders>
              <w:top w:val="nil"/>
              <w:left w:val="nil"/>
              <w:bottom w:val="nil"/>
              <w:right w:val="nil"/>
            </w:tcBorders>
            <w:vAlign w:val="center"/>
          </w:tcPr>
          <w:p w:rsidR="0073298C" w:rsidRDefault="0073298C" w:rsidP="0073298C">
            <w:pPr>
              <w:rPr>
                <w:sz w:val="16"/>
                <w:szCs w:val="16"/>
              </w:rPr>
            </w:pPr>
            <w:r>
              <w:rPr>
                <w:sz w:val="16"/>
                <w:szCs w:val="16"/>
              </w:rPr>
              <w:t> </w:t>
            </w:r>
          </w:p>
        </w:tc>
        <w:tc>
          <w:tcPr>
            <w:tcW w:w="366" w:type="dxa"/>
            <w:gridSpan w:val="2"/>
            <w:tcBorders>
              <w:top w:val="nil"/>
              <w:left w:val="nil"/>
              <w:bottom w:val="nil"/>
              <w:right w:val="nil"/>
            </w:tcBorders>
            <w:vAlign w:val="center"/>
          </w:tcPr>
          <w:p w:rsidR="0073298C" w:rsidRDefault="0073298C" w:rsidP="0073298C">
            <w:pPr>
              <w:rPr>
                <w:sz w:val="16"/>
                <w:szCs w:val="16"/>
              </w:rPr>
            </w:pPr>
            <w:r>
              <w:rPr>
                <w:sz w:val="16"/>
                <w:szCs w:val="16"/>
              </w:rPr>
              <w:t> </w:t>
            </w:r>
          </w:p>
        </w:tc>
      </w:tr>
      <w:tr w:rsidR="0073298C" w:rsidTr="0073298C">
        <w:tblPrEx>
          <w:tblCellMar>
            <w:top w:w="0" w:type="dxa"/>
            <w:left w:w="0" w:type="dxa"/>
            <w:bottom w:w="0" w:type="dxa"/>
            <w:right w:w="0" w:type="dxa"/>
          </w:tblCellMar>
        </w:tblPrEx>
        <w:trPr>
          <w:gridAfter w:val="1"/>
          <w:wAfter w:w="6" w:type="dxa"/>
          <w:trHeight w:val="298"/>
          <w:jc w:val="center"/>
        </w:trPr>
        <w:tc>
          <w:tcPr>
            <w:tcW w:w="3144" w:type="dxa"/>
            <w:tcBorders>
              <w:top w:val="single" w:sz="6" w:space="0" w:color="00467E"/>
              <w:left w:val="single" w:sz="6" w:space="0" w:color="00467E"/>
              <w:bottom w:val="nil"/>
              <w:right w:val="nil"/>
            </w:tcBorders>
            <w:vAlign w:val="bottom"/>
          </w:tcPr>
          <w:p w:rsidR="0073298C" w:rsidRDefault="0073298C" w:rsidP="0073298C">
            <w:pPr>
              <w:spacing w:before="22" w:after="22"/>
              <w:ind w:left="22" w:right="22"/>
              <w:rPr>
                <w:color w:val="000000"/>
              </w:rPr>
            </w:pPr>
            <w:r>
              <w:rPr>
                <w:color w:val="000000"/>
              </w:rPr>
              <w:t> </w:t>
            </w:r>
          </w:p>
        </w:tc>
        <w:tc>
          <w:tcPr>
            <w:tcW w:w="1512" w:type="dxa"/>
            <w:gridSpan w:val="3"/>
            <w:tcBorders>
              <w:top w:val="single" w:sz="6" w:space="0" w:color="00467E"/>
              <w:left w:val="nil"/>
              <w:bottom w:val="single" w:sz="6" w:space="0" w:color="000000"/>
              <w:right w:val="nil"/>
            </w:tcBorders>
            <w:vAlign w:val="bottom"/>
          </w:tcPr>
          <w:p w:rsidR="0073298C" w:rsidRDefault="0073298C" w:rsidP="0073298C">
            <w:pPr>
              <w:spacing w:before="22" w:after="22"/>
              <w:ind w:left="22" w:right="22"/>
              <w:jc w:val="center"/>
              <w:rPr>
                <w:rFonts w:ascii="Arial" w:hAnsi="Arial" w:cs="Arial"/>
                <w:b/>
                <w:bCs w:val="0"/>
                <w:color w:val="000000"/>
                <w:sz w:val="14"/>
                <w:szCs w:val="14"/>
              </w:rPr>
            </w:pPr>
            <w:r>
              <w:rPr>
                <w:rFonts w:ascii="Arial" w:hAnsi="Arial" w:cs="Arial"/>
                <w:b/>
                <w:bCs w:val="0"/>
                <w:color w:val="000000"/>
                <w:sz w:val="14"/>
                <w:szCs w:val="14"/>
              </w:rPr>
              <w:t>2017</w:t>
            </w:r>
          </w:p>
        </w:tc>
        <w:tc>
          <w:tcPr>
            <w:tcW w:w="102" w:type="dxa"/>
            <w:tcBorders>
              <w:top w:val="single" w:sz="6" w:space="0" w:color="00467E"/>
              <w:left w:val="nil"/>
              <w:bottom w:val="nil"/>
              <w:right w:val="nil"/>
            </w:tcBorders>
            <w:vAlign w:val="bottom"/>
          </w:tcPr>
          <w:p w:rsidR="0073298C" w:rsidRDefault="0073298C" w:rsidP="0073298C">
            <w:pPr>
              <w:spacing w:before="22" w:after="22"/>
              <w:ind w:left="22" w:right="22"/>
              <w:rPr>
                <w:color w:val="000000"/>
              </w:rPr>
            </w:pPr>
            <w:r>
              <w:rPr>
                <w:color w:val="000000"/>
              </w:rPr>
              <w:t> </w:t>
            </w:r>
          </w:p>
        </w:tc>
        <w:tc>
          <w:tcPr>
            <w:tcW w:w="1512" w:type="dxa"/>
            <w:gridSpan w:val="3"/>
            <w:tcBorders>
              <w:top w:val="single" w:sz="6" w:space="0" w:color="00467E"/>
              <w:left w:val="nil"/>
              <w:bottom w:val="single" w:sz="6" w:space="0" w:color="000000"/>
              <w:right w:val="nil"/>
            </w:tcBorders>
            <w:vAlign w:val="bottom"/>
          </w:tcPr>
          <w:p w:rsidR="0073298C" w:rsidRDefault="0073298C" w:rsidP="0073298C">
            <w:pPr>
              <w:spacing w:before="22" w:after="22"/>
              <w:ind w:left="22" w:right="22"/>
              <w:jc w:val="center"/>
              <w:rPr>
                <w:rFonts w:ascii="Arial" w:hAnsi="Arial" w:cs="Arial"/>
                <w:b/>
                <w:bCs w:val="0"/>
                <w:color w:val="000000"/>
                <w:sz w:val="14"/>
                <w:szCs w:val="14"/>
              </w:rPr>
            </w:pPr>
            <w:r>
              <w:rPr>
                <w:rFonts w:ascii="Arial" w:hAnsi="Arial" w:cs="Arial"/>
                <w:b/>
                <w:bCs w:val="0"/>
                <w:color w:val="000000"/>
                <w:sz w:val="14"/>
                <w:szCs w:val="14"/>
              </w:rPr>
              <w:t>2016</w:t>
            </w:r>
          </w:p>
        </w:tc>
        <w:tc>
          <w:tcPr>
            <w:tcW w:w="102" w:type="dxa"/>
            <w:tcBorders>
              <w:top w:val="single" w:sz="6" w:space="0" w:color="00467E"/>
              <w:left w:val="nil"/>
              <w:bottom w:val="nil"/>
              <w:right w:val="nil"/>
            </w:tcBorders>
            <w:vAlign w:val="bottom"/>
          </w:tcPr>
          <w:p w:rsidR="0073298C" w:rsidRDefault="0073298C" w:rsidP="0073298C">
            <w:pPr>
              <w:spacing w:before="22" w:after="22"/>
              <w:ind w:left="22" w:right="22"/>
              <w:rPr>
                <w:color w:val="000000"/>
              </w:rPr>
            </w:pPr>
            <w:r>
              <w:rPr>
                <w:color w:val="000000"/>
              </w:rPr>
              <w:t> </w:t>
            </w:r>
          </w:p>
        </w:tc>
        <w:tc>
          <w:tcPr>
            <w:tcW w:w="1512" w:type="dxa"/>
            <w:gridSpan w:val="3"/>
            <w:tcBorders>
              <w:top w:val="single" w:sz="6" w:space="0" w:color="00467E"/>
              <w:left w:val="nil"/>
              <w:bottom w:val="single" w:sz="6" w:space="0" w:color="000000"/>
              <w:right w:val="nil"/>
            </w:tcBorders>
            <w:vAlign w:val="bottom"/>
          </w:tcPr>
          <w:p w:rsidR="0073298C" w:rsidRDefault="0073298C" w:rsidP="0073298C">
            <w:pPr>
              <w:spacing w:before="22" w:after="22"/>
              <w:ind w:left="22" w:right="22"/>
              <w:jc w:val="center"/>
              <w:rPr>
                <w:rFonts w:ascii="Arial" w:hAnsi="Arial" w:cs="Arial"/>
                <w:b/>
                <w:bCs w:val="0"/>
                <w:color w:val="000000"/>
                <w:sz w:val="14"/>
                <w:szCs w:val="14"/>
              </w:rPr>
            </w:pPr>
            <w:r>
              <w:rPr>
                <w:rFonts w:ascii="Arial" w:hAnsi="Arial" w:cs="Arial"/>
                <w:b/>
                <w:bCs w:val="0"/>
                <w:color w:val="000000"/>
                <w:sz w:val="14"/>
                <w:szCs w:val="14"/>
              </w:rPr>
              <w:t>2015</w:t>
            </w:r>
          </w:p>
        </w:tc>
        <w:tc>
          <w:tcPr>
            <w:tcW w:w="102" w:type="dxa"/>
            <w:tcBorders>
              <w:top w:val="single" w:sz="6" w:space="0" w:color="00467E"/>
              <w:left w:val="nil"/>
              <w:bottom w:val="nil"/>
              <w:right w:val="nil"/>
            </w:tcBorders>
            <w:shd w:val="clear" w:color="00467E" w:fill="00467E"/>
            <w:vAlign w:val="bottom"/>
          </w:tcPr>
          <w:p w:rsidR="0073298C" w:rsidRDefault="0073298C" w:rsidP="0073298C">
            <w:pPr>
              <w:spacing w:before="22" w:after="22"/>
              <w:ind w:left="22" w:right="22"/>
              <w:rPr>
                <w:color w:val="000000"/>
              </w:rPr>
            </w:pPr>
            <w:r>
              <w:rPr>
                <w:color w:val="000000"/>
              </w:rPr>
              <w:t> </w:t>
            </w:r>
          </w:p>
        </w:tc>
        <w:tc>
          <w:tcPr>
            <w:tcW w:w="1353" w:type="dxa"/>
            <w:gridSpan w:val="2"/>
            <w:tcBorders>
              <w:top w:val="single" w:sz="6" w:space="0" w:color="00467E"/>
              <w:left w:val="nil"/>
              <w:bottom w:val="single" w:sz="6" w:space="0" w:color="000000"/>
              <w:right w:val="nil"/>
            </w:tcBorders>
            <w:vAlign w:val="center"/>
          </w:tcPr>
          <w:p w:rsidR="0073298C" w:rsidRDefault="0073298C" w:rsidP="0073298C">
            <w:pPr>
              <w:spacing w:before="22" w:after="22"/>
              <w:ind w:left="22" w:right="22"/>
              <w:jc w:val="center"/>
              <w:rPr>
                <w:rFonts w:ascii="Arial" w:hAnsi="Arial" w:cs="Arial"/>
                <w:b/>
                <w:bCs w:val="0"/>
                <w:color w:val="000000"/>
                <w:sz w:val="14"/>
                <w:szCs w:val="14"/>
              </w:rPr>
            </w:pPr>
            <w:r>
              <w:rPr>
                <w:rFonts w:ascii="Arial" w:hAnsi="Arial" w:cs="Arial"/>
                <w:b/>
                <w:bCs w:val="0"/>
                <w:color w:val="000000"/>
                <w:sz w:val="14"/>
                <w:szCs w:val="14"/>
              </w:rPr>
              <w:t>2017 vs. 2016</w:t>
            </w:r>
          </w:p>
        </w:tc>
        <w:tc>
          <w:tcPr>
            <w:tcW w:w="102" w:type="dxa"/>
            <w:tcBorders>
              <w:top w:val="single" w:sz="6" w:space="0" w:color="00467E"/>
              <w:left w:val="nil"/>
              <w:bottom w:val="nil"/>
              <w:right w:val="nil"/>
            </w:tcBorders>
            <w:vAlign w:val="bottom"/>
          </w:tcPr>
          <w:p w:rsidR="0073298C" w:rsidRDefault="0073298C" w:rsidP="0073298C">
            <w:pPr>
              <w:spacing w:before="22" w:after="22"/>
              <w:ind w:left="22" w:right="22"/>
              <w:rPr>
                <w:color w:val="000000"/>
              </w:rPr>
            </w:pPr>
            <w:r>
              <w:rPr>
                <w:color w:val="000000"/>
              </w:rPr>
              <w:t> </w:t>
            </w:r>
          </w:p>
        </w:tc>
        <w:tc>
          <w:tcPr>
            <w:tcW w:w="1353" w:type="dxa"/>
            <w:gridSpan w:val="2"/>
            <w:tcBorders>
              <w:top w:val="single" w:sz="6" w:space="0" w:color="00467E"/>
              <w:left w:val="nil"/>
              <w:bottom w:val="single" w:sz="6" w:space="0" w:color="000000"/>
              <w:right w:val="single" w:sz="6" w:space="0" w:color="00467E"/>
            </w:tcBorders>
            <w:vAlign w:val="center"/>
          </w:tcPr>
          <w:p w:rsidR="0073298C" w:rsidRDefault="0073298C" w:rsidP="0073298C">
            <w:pPr>
              <w:spacing w:before="22" w:after="22"/>
              <w:ind w:left="22" w:right="22"/>
              <w:jc w:val="center"/>
              <w:rPr>
                <w:rFonts w:ascii="Arial" w:hAnsi="Arial" w:cs="Arial"/>
                <w:b/>
                <w:bCs w:val="0"/>
                <w:color w:val="000000"/>
                <w:sz w:val="14"/>
                <w:szCs w:val="14"/>
              </w:rPr>
            </w:pPr>
            <w:r>
              <w:rPr>
                <w:rFonts w:ascii="Arial" w:hAnsi="Arial" w:cs="Arial"/>
                <w:b/>
                <w:bCs w:val="0"/>
                <w:color w:val="000000"/>
                <w:sz w:val="14"/>
                <w:szCs w:val="14"/>
              </w:rPr>
              <w:t>2016 vs. 2015</w:t>
            </w:r>
          </w:p>
        </w:tc>
      </w:tr>
      <w:tr w:rsidR="0073298C" w:rsidTr="0073298C">
        <w:tblPrEx>
          <w:tblCellMar>
            <w:top w:w="0" w:type="dxa"/>
            <w:left w:w="0" w:type="dxa"/>
            <w:bottom w:w="0" w:type="dxa"/>
            <w:right w:w="0" w:type="dxa"/>
          </w:tblCellMar>
        </w:tblPrEx>
        <w:trPr>
          <w:gridAfter w:val="1"/>
          <w:wAfter w:w="3" w:type="dxa"/>
          <w:trHeight w:val="298"/>
          <w:jc w:val="center"/>
        </w:trPr>
        <w:tc>
          <w:tcPr>
            <w:tcW w:w="3144" w:type="dxa"/>
            <w:tcBorders>
              <w:top w:val="nil"/>
              <w:left w:val="single" w:sz="6" w:space="0" w:color="00467E"/>
              <w:bottom w:val="nil"/>
              <w:right w:val="nil"/>
            </w:tcBorders>
            <w:vAlign w:val="bottom"/>
          </w:tcPr>
          <w:p w:rsidR="0073298C" w:rsidRDefault="0073298C" w:rsidP="0073298C">
            <w:pPr>
              <w:spacing w:before="22" w:after="22"/>
              <w:ind w:left="22" w:right="22"/>
              <w:rPr>
                <w:color w:val="000000"/>
              </w:rPr>
            </w:pPr>
            <w:r>
              <w:rPr>
                <w:color w:val="000000"/>
              </w:rPr>
              <w:t> </w:t>
            </w:r>
          </w:p>
        </w:tc>
        <w:tc>
          <w:tcPr>
            <w:tcW w:w="4742" w:type="dxa"/>
            <w:gridSpan w:val="11"/>
            <w:tcBorders>
              <w:top w:val="nil"/>
              <w:left w:val="nil"/>
              <w:bottom w:val="single" w:sz="6" w:space="0" w:color="000000"/>
              <w:right w:val="nil"/>
            </w:tcBorders>
            <w:vAlign w:val="center"/>
          </w:tcPr>
          <w:p w:rsidR="0073298C" w:rsidRDefault="0073298C" w:rsidP="0073298C">
            <w:pPr>
              <w:spacing w:before="22" w:after="22"/>
              <w:ind w:left="22"/>
              <w:jc w:val="center"/>
              <w:rPr>
                <w:rFonts w:ascii="Arial" w:hAnsi="Arial" w:cs="Arial"/>
                <w:b/>
                <w:bCs w:val="0"/>
                <w:color w:val="000000"/>
                <w:sz w:val="14"/>
                <w:szCs w:val="14"/>
              </w:rPr>
            </w:pPr>
            <w:r>
              <w:rPr>
                <w:rFonts w:ascii="Arial" w:hAnsi="Arial" w:cs="Arial"/>
                <w:b/>
                <w:bCs w:val="0"/>
                <w:color w:val="000000"/>
                <w:sz w:val="14"/>
                <w:szCs w:val="14"/>
              </w:rPr>
              <w:t>(Dollars in thousands, except per tractor data)</w:t>
            </w:r>
          </w:p>
        </w:tc>
        <w:tc>
          <w:tcPr>
            <w:tcW w:w="102" w:type="dxa"/>
            <w:tcBorders>
              <w:top w:val="single" w:sz="6" w:space="0" w:color="00467E"/>
              <w:left w:val="nil"/>
              <w:bottom w:val="nil"/>
              <w:right w:val="nil"/>
            </w:tcBorders>
            <w:shd w:val="clear" w:color="00467E" w:fill="00467E"/>
            <w:vAlign w:val="bottom"/>
          </w:tcPr>
          <w:p w:rsidR="0073298C" w:rsidRDefault="0073298C" w:rsidP="0073298C">
            <w:pPr>
              <w:spacing w:before="22" w:after="22"/>
              <w:ind w:left="22" w:right="22"/>
              <w:rPr>
                <w:color w:val="000000"/>
              </w:rPr>
            </w:pPr>
            <w:r>
              <w:rPr>
                <w:color w:val="000000"/>
              </w:rPr>
              <w:t> </w:t>
            </w:r>
          </w:p>
        </w:tc>
        <w:tc>
          <w:tcPr>
            <w:tcW w:w="2809" w:type="dxa"/>
            <w:gridSpan w:val="5"/>
            <w:tcBorders>
              <w:top w:val="nil"/>
              <w:left w:val="nil"/>
              <w:bottom w:val="single" w:sz="6" w:space="0" w:color="000000"/>
              <w:right w:val="single" w:sz="6" w:space="0" w:color="00467E"/>
            </w:tcBorders>
            <w:vAlign w:val="center"/>
          </w:tcPr>
          <w:p w:rsidR="0073298C" w:rsidRDefault="0073298C" w:rsidP="0073298C">
            <w:pPr>
              <w:spacing w:before="22" w:after="22"/>
              <w:ind w:left="22"/>
              <w:jc w:val="center"/>
              <w:rPr>
                <w:rFonts w:ascii="Arial" w:hAnsi="Arial" w:cs="Arial"/>
                <w:b/>
                <w:bCs w:val="0"/>
                <w:color w:val="000000"/>
                <w:sz w:val="14"/>
                <w:szCs w:val="14"/>
              </w:rPr>
            </w:pPr>
            <w:r>
              <w:rPr>
                <w:rFonts w:ascii="Arial" w:hAnsi="Arial" w:cs="Arial"/>
                <w:b/>
                <w:bCs w:val="0"/>
                <w:color w:val="000000"/>
                <w:sz w:val="14"/>
                <w:szCs w:val="14"/>
              </w:rPr>
              <w:t>Increase (decrease)</w:t>
            </w:r>
          </w:p>
        </w:tc>
      </w:tr>
      <w:tr w:rsidR="0073298C" w:rsidTr="0073298C">
        <w:tblPrEx>
          <w:tblCellMar>
            <w:top w:w="0" w:type="dxa"/>
            <w:left w:w="0" w:type="dxa"/>
            <w:bottom w:w="0" w:type="dxa"/>
            <w:right w:w="0" w:type="dxa"/>
          </w:tblCellMar>
        </w:tblPrEx>
        <w:trPr>
          <w:trHeight w:val="298"/>
          <w:jc w:val="center"/>
        </w:trPr>
        <w:tc>
          <w:tcPr>
            <w:tcW w:w="3144" w:type="dxa"/>
            <w:tcBorders>
              <w:top w:val="nil"/>
              <w:left w:val="single" w:sz="6" w:space="0" w:color="00467E"/>
              <w:bottom w:val="nil"/>
              <w:right w:val="nil"/>
            </w:tcBorders>
            <w:shd w:val="clear" w:color="CFD4D8" w:fill="CFD4D8"/>
            <w:vAlign w:val="center"/>
          </w:tcPr>
          <w:p w:rsidR="0073298C" w:rsidRDefault="0073298C" w:rsidP="0073298C">
            <w:pPr>
              <w:spacing w:before="22" w:after="22"/>
              <w:ind w:left="22" w:right="22"/>
              <w:rPr>
                <w:rFonts w:ascii="Arial" w:hAnsi="Arial" w:cs="Arial"/>
                <w:color w:val="000000"/>
                <w:sz w:val="18"/>
                <w:szCs w:val="18"/>
              </w:rPr>
            </w:pPr>
            <w:r>
              <w:rPr>
                <w:rFonts w:ascii="Arial" w:hAnsi="Arial" w:cs="Arial"/>
                <w:color w:val="000000"/>
                <w:sz w:val="18"/>
                <w:szCs w:val="18"/>
              </w:rPr>
              <w:t>Total revenue</w:t>
            </w:r>
          </w:p>
        </w:tc>
        <w:tc>
          <w:tcPr>
            <w:tcW w:w="120" w:type="dxa"/>
            <w:tcBorders>
              <w:top w:val="nil"/>
              <w:left w:val="nil"/>
              <w:bottom w:val="nil"/>
              <w:right w:val="nil"/>
            </w:tcBorders>
            <w:shd w:val="clear" w:color="CFD4D8" w:fill="CFD4D8"/>
            <w:vAlign w:val="center"/>
          </w:tcPr>
          <w:p w:rsidR="0073298C" w:rsidRDefault="0073298C" w:rsidP="0073298C">
            <w:pPr>
              <w:spacing w:before="22" w:after="22"/>
              <w:ind w:left="22"/>
              <w:rPr>
                <w:rFonts w:ascii="Arial" w:hAnsi="Arial" w:cs="Arial"/>
                <w:color w:val="000000"/>
                <w:sz w:val="18"/>
                <w:szCs w:val="18"/>
              </w:rPr>
            </w:pPr>
            <w:r>
              <w:rPr>
                <w:rFonts w:ascii="Arial" w:hAnsi="Arial" w:cs="Arial"/>
                <w:color w:val="000000"/>
                <w:sz w:val="18"/>
                <w:szCs w:val="18"/>
              </w:rPr>
              <w:t>$</w:t>
            </w:r>
          </w:p>
        </w:tc>
        <w:tc>
          <w:tcPr>
            <w:tcW w:w="1212" w:type="dxa"/>
            <w:tcBorders>
              <w:top w:val="nil"/>
              <w:left w:val="nil"/>
              <w:bottom w:val="nil"/>
              <w:right w:val="nil"/>
            </w:tcBorders>
            <w:shd w:val="clear" w:color="CFD4D8" w:fill="CFD4D8"/>
            <w:vAlign w:val="center"/>
          </w:tcPr>
          <w:p w:rsidR="0073298C" w:rsidRDefault="0073298C" w:rsidP="0073298C">
            <w:pPr>
              <w:spacing w:before="22" w:after="22"/>
              <w:jc w:val="right"/>
              <w:rPr>
                <w:rFonts w:ascii="Arial" w:hAnsi="Arial" w:cs="Arial"/>
                <w:color w:val="000000"/>
                <w:sz w:val="18"/>
                <w:szCs w:val="18"/>
              </w:rPr>
            </w:pPr>
            <w:r>
              <w:rPr>
                <w:rFonts w:ascii="Arial" w:hAnsi="Arial" w:cs="Arial"/>
                <w:color w:val="000000"/>
                <w:sz w:val="18"/>
                <w:szCs w:val="18"/>
              </w:rPr>
              <w:t>906,484</w:t>
            </w:r>
          </w:p>
        </w:tc>
        <w:tc>
          <w:tcPr>
            <w:tcW w:w="180" w:type="dxa"/>
            <w:tcBorders>
              <w:top w:val="nil"/>
              <w:left w:val="nil"/>
              <w:bottom w:val="nil"/>
              <w:right w:val="nil"/>
            </w:tcBorders>
            <w:shd w:val="clear" w:color="CFD4D8" w:fill="CFD4D8"/>
            <w:vAlign w:val="bottom"/>
          </w:tcPr>
          <w:p w:rsidR="0073298C" w:rsidRDefault="0073298C" w:rsidP="0073298C">
            <w:pPr>
              <w:spacing w:before="22" w:after="22"/>
              <w:jc w:val="right"/>
              <w:rPr>
                <w:rFonts w:ascii="Arial" w:hAnsi="Arial" w:cs="Arial"/>
                <w:color w:val="000000"/>
                <w:sz w:val="18"/>
                <w:szCs w:val="18"/>
              </w:rPr>
            </w:pPr>
          </w:p>
          <w:p w:rsidR="0073298C" w:rsidRDefault="0073298C" w:rsidP="0073298C">
            <w:pPr>
              <w:rPr>
                <w:sz w:val="16"/>
                <w:szCs w:val="16"/>
              </w:rPr>
            </w:pPr>
            <w:r>
              <w:rPr>
                <w:sz w:val="16"/>
                <w:szCs w:val="16"/>
              </w:rPr>
              <w:t> </w:t>
            </w:r>
          </w:p>
        </w:tc>
        <w:tc>
          <w:tcPr>
            <w:tcW w:w="102" w:type="dxa"/>
            <w:tcBorders>
              <w:top w:val="nil"/>
              <w:left w:val="nil"/>
              <w:bottom w:val="nil"/>
              <w:right w:val="nil"/>
            </w:tcBorders>
            <w:shd w:val="clear" w:color="CFD4D8" w:fill="CFD4D8"/>
            <w:vAlign w:val="bottom"/>
          </w:tcPr>
          <w:p w:rsidR="0073298C" w:rsidRDefault="0073298C" w:rsidP="0073298C">
            <w:pPr>
              <w:spacing w:before="22" w:after="22"/>
              <w:ind w:left="22" w:right="22"/>
              <w:rPr>
                <w:color w:val="000000"/>
              </w:rPr>
            </w:pPr>
            <w:r>
              <w:rPr>
                <w:color w:val="000000"/>
              </w:rPr>
              <w:t> </w:t>
            </w:r>
          </w:p>
        </w:tc>
        <w:tc>
          <w:tcPr>
            <w:tcW w:w="120" w:type="dxa"/>
            <w:tcBorders>
              <w:top w:val="nil"/>
              <w:left w:val="nil"/>
              <w:bottom w:val="nil"/>
              <w:right w:val="nil"/>
            </w:tcBorders>
            <w:shd w:val="clear" w:color="CFD4D8" w:fill="CFD4D8"/>
            <w:vAlign w:val="center"/>
          </w:tcPr>
          <w:p w:rsidR="0073298C" w:rsidRDefault="0073298C" w:rsidP="0073298C">
            <w:pPr>
              <w:spacing w:before="22" w:after="22"/>
              <w:ind w:left="22"/>
              <w:rPr>
                <w:rFonts w:ascii="Arial" w:hAnsi="Arial" w:cs="Arial"/>
                <w:color w:val="000000"/>
                <w:sz w:val="18"/>
                <w:szCs w:val="18"/>
              </w:rPr>
            </w:pPr>
            <w:r>
              <w:rPr>
                <w:rFonts w:ascii="Arial" w:hAnsi="Arial" w:cs="Arial"/>
                <w:color w:val="000000"/>
                <w:sz w:val="18"/>
                <w:szCs w:val="18"/>
              </w:rPr>
              <w:t>$</w:t>
            </w:r>
          </w:p>
        </w:tc>
        <w:tc>
          <w:tcPr>
            <w:tcW w:w="1212" w:type="dxa"/>
            <w:tcBorders>
              <w:top w:val="nil"/>
              <w:left w:val="nil"/>
              <w:bottom w:val="nil"/>
              <w:right w:val="nil"/>
            </w:tcBorders>
            <w:shd w:val="clear" w:color="CFD4D8" w:fill="CFD4D8"/>
            <w:vAlign w:val="center"/>
          </w:tcPr>
          <w:p w:rsidR="0073298C" w:rsidRDefault="0073298C" w:rsidP="0073298C">
            <w:pPr>
              <w:spacing w:before="22" w:after="22"/>
              <w:jc w:val="right"/>
              <w:rPr>
                <w:rFonts w:ascii="Arial" w:hAnsi="Arial" w:cs="Arial"/>
                <w:color w:val="000000"/>
                <w:sz w:val="18"/>
                <w:szCs w:val="18"/>
              </w:rPr>
            </w:pPr>
            <w:r>
              <w:rPr>
                <w:rFonts w:ascii="Arial" w:hAnsi="Arial" w:cs="Arial"/>
                <w:color w:val="000000"/>
                <w:sz w:val="18"/>
                <w:szCs w:val="18"/>
              </w:rPr>
              <w:t>900,368</w:t>
            </w:r>
          </w:p>
        </w:tc>
        <w:tc>
          <w:tcPr>
            <w:tcW w:w="180" w:type="dxa"/>
            <w:tcBorders>
              <w:top w:val="nil"/>
              <w:left w:val="nil"/>
              <w:bottom w:val="nil"/>
              <w:right w:val="nil"/>
            </w:tcBorders>
            <w:shd w:val="clear" w:color="CFD4D8" w:fill="CFD4D8"/>
            <w:vAlign w:val="bottom"/>
          </w:tcPr>
          <w:p w:rsidR="0073298C" w:rsidRDefault="0073298C" w:rsidP="0073298C">
            <w:pPr>
              <w:spacing w:before="22" w:after="22"/>
              <w:jc w:val="right"/>
              <w:rPr>
                <w:rFonts w:ascii="Arial" w:hAnsi="Arial" w:cs="Arial"/>
                <w:color w:val="000000"/>
                <w:sz w:val="18"/>
                <w:szCs w:val="18"/>
              </w:rPr>
            </w:pPr>
          </w:p>
          <w:p w:rsidR="0073298C" w:rsidRDefault="0073298C" w:rsidP="0073298C">
            <w:pPr>
              <w:rPr>
                <w:sz w:val="16"/>
                <w:szCs w:val="16"/>
              </w:rPr>
            </w:pPr>
            <w:r>
              <w:rPr>
                <w:sz w:val="16"/>
                <w:szCs w:val="16"/>
              </w:rPr>
              <w:t> </w:t>
            </w:r>
          </w:p>
        </w:tc>
        <w:tc>
          <w:tcPr>
            <w:tcW w:w="102" w:type="dxa"/>
            <w:tcBorders>
              <w:top w:val="nil"/>
              <w:left w:val="nil"/>
              <w:bottom w:val="nil"/>
              <w:right w:val="nil"/>
            </w:tcBorders>
            <w:shd w:val="clear" w:color="CFD4D8" w:fill="CFD4D8"/>
            <w:vAlign w:val="bottom"/>
          </w:tcPr>
          <w:p w:rsidR="0073298C" w:rsidRDefault="0073298C" w:rsidP="0073298C">
            <w:pPr>
              <w:spacing w:before="22" w:after="22"/>
              <w:ind w:left="22" w:right="22"/>
              <w:rPr>
                <w:color w:val="000000"/>
              </w:rPr>
            </w:pPr>
            <w:r>
              <w:rPr>
                <w:color w:val="000000"/>
              </w:rPr>
              <w:t> </w:t>
            </w:r>
          </w:p>
        </w:tc>
        <w:tc>
          <w:tcPr>
            <w:tcW w:w="120" w:type="dxa"/>
            <w:tcBorders>
              <w:top w:val="nil"/>
              <w:left w:val="nil"/>
              <w:bottom w:val="nil"/>
              <w:right w:val="nil"/>
            </w:tcBorders>
            <w:shd w:val="clear" w:color="CFD4D8" w:fill="CFD4D8"/>
            <w:vAlign w:val="center"/>
          </w:tcPr>
          <w:p w:rsidR="0073298C" w:rsidRDefault="0073298C" w:rsidP="0073298C">
            <w:pPr>
              <w:spacing w:before="22" w:after="22"/>
              <w:ind w:left="22"/>
              <w:rPr>
                <w:rFonts w:ascii="Arial" w:hAnsi="Arial" w:cs="Arial"/>
                <w:color w:val="000000"/>
                <w:sz w:val="18"/>
                <w:szCs w:val="18"/>
              </w:rPr>
            </w:pPr>
            <w:r>
              <w:rPr>
                <w:rFonts w:ascii="Arial" w:hAnsi="Arial" w:cs="Arial"/>
                <w:color w:val="000000"/>
                <w:sz w:val="18"/>
                <w:szCs w:val="18"/>
              </w:rPr>
              <w:t>$</w:t>
            </w:r>
          </w:p>
        </w:tc>
        <w:tc>
          <w:tcPr>
            <w:tcW w:w="1212" w:type="dxa"/>
            <w:tcBorders>
              <w:top w:val="nil"/>
              <w:left w:val="nil"/>
              <w:bottom w:val="nil"/>
              <w:right w:val="nil"/>
            </w:tcBorders>
            <w:shd w:val="clear" w:color="CFD4D8" w:fill="CFD4D8"/>
            <w:vAlign w:val="center"/>
          </w:tcPr>
          <w:p w:rsidR="0073298C" w:rsidRDefault="0073298C" w:rsidP="0073298C">
            <w:pPr>
              <w:spacing w:before="22" w:after="22"/>
              <w:jc w:val="right"/>
              <w:rPr>
                <w:rFonts w:ascii="Arial" w:hAnsi="Arial" w:cs="Arial"/>
                <w:color w:val="000000"/>
                <w:sz w:val="18"/>
                <w:szCs w:val="18"/>
              </w:rPr>
            </w:pPr>
            <w:r>
              <w:rPr>
                <w:rFonts w:ascii="Arial" w:hAnsi="Arial" w:cs="Arial"/>
                <w:color w:val="000000"/>
                <w:sz w:val="18"/>
                <w:szCs w:val="18"/>
              </w:rPr>
              <w:t>952,098</w:t>
            </w:r>
          </w:p>
        </w:tc>
        <w:tc>
          <w:tcPr>
            <w:tcW w:w="180" w:type="dxa"/>
            <w:tcBorders>
              <w:top w:val="nil"/>
              <w:left w:val="nil"/>
              <w:bottom w:val="nil"/>
              <w:right w:val="nil"/>
            </w:tcBorders>
            <w:shd w:val="clear" w:color="CFD4D8" w:fill="CFD4D8"/>
            <w:vAlign w:val="bottom"/>
          </w:tcPr>
          <w:p w:rsidR="0073298C" w:rsidRDefault="0073298C" w:rsidP="0073298C">
            <w:pPr>
              <w:spacing w:before="22" w:after="22"/>
              <w:jc w:val="right"/>
              <w:rPr>
                <w:rFonts w:ascii="Arial" w:hAnsi="Arial" w:cs="Arial"/>
                <w:color w:val="000000"/>
                <w:sz w:val="18"/>
                <w:szCs w:val="18"/>
              </w:rPr>
            </w:pPr>
          </w:p>
          <w:p w:rsidR="0073298C" w:rsidRDefault="0073298C" w:rsidP="0073298C">
            <w:pPr>
              <w:rPr>
                <w:sz w:val="16"/>
                <w:szCs w:val="16"/>
              </w:rPr>
            </w:pPr>
            <w:r>
              <w:rPr>
                <w:sz w:val="16"/>
                <w:szCs w:val="16"/>
              </w:rPr>
              <w:t> </w:t>
            </w:r>
          </w:p>
        </w:tc>
        <w:tc>
          <w:tcPr>
            <w:tcW w:w="102" w:type="dxa"/>
            <w:tcBorders>
              <w:top w:val="single" w:sz="6" w:space="0" w:color="00467E"/>
              <w:left w:val="nil"/>
              <w:bottom w:val="nil"/>
              <w:right w:val="nil"/>
            </w:tcBorders>
            <w:shd w:val="clear" w:color="00467E" w:fill="00467E"/>
            <w:vAlign w:val="bottom"/>
          </w:tcPr>
          <w:p w:rsidR="0073298C" w:rsidRDefault="0073298C" w:rsidP="0073298C">
            <w:pPr>
              <w:spacing w:before="22" w:after="22"/>
              <w:ind w:left="22" w:right="22"/>
              <w:rPr>
                <w:color w:val="000000"/>
              </w:rPr>
            </w:pPr>
            <w:r>
              <w:rPr>
                <w:color w:val="000000"/>
              </w:rPr>
              <w:t> </w:t>
            </w:r>
          </w:p>
        </w:tc>
        <w:tc>
          <w:tcPr>
            <w:tcW w:w="993" w:type="dxa"/>
            <w:tcBorders>
              <w:top w:val="single" w:sz="6" w:space="0" w:color="000000"/>
              <w:left w:val="nil"/>
              <w:bottom w:val="nil"/>
              <w:right w:val="nil"/>
            </w:tcBorders>
            <w:shd w:val="clear" w:color="CFD4D8" w:fill="CFD4D8"/>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0.7</w:t>
            </w:r>
          </w:p>
        </w:tc>
        <w:tc>
          <w:tcPr>
            <w:tcW w:w="360" w:type="dxa"/>
            <w:tcBorders>
              <w:top w:val="single" w:sz="6" w:space="0" w:color="000000"/>
              <w:left w:val="nil"/>
              <w:bottom w:val="nil"/>
              <w:right w:val="nil"/>
            </w:tcBorders>
            <w:shd w:val="clear" w:color="CFD4D8" w:fill="CFD4D8"/>
            <w:vAlign w:val="center"/>
          </w:tcPr>
          <w:p w:rsidR="0073298C" w:rsidRDefault="0073298C" w:rsidP="0073298C">
            <w:pPr>
              <w:spacing w:before="22" w:after="22"/>
              <w:ind w:right="22"/>
              <w:rPr>
                <w:rFonts w:ascii="Arial" w:hAnsi="Arial" w:cs="Arial"/>
                <w:color w:val="000000"/>
                <w:sz w:val="18"/>
                <w:szCs w:val="18"/>
              </w:rPr>
            </w:pPr>
            <w:r>
              <w:rPr>
                <w:rFonts w:ascii="Arial" w:hAnsi="Arial" w:cs="Arial"/>
                <w:color w:val="000000"/>
                <w:sz w:val="18"/>
                <w:szCs w:val="18"/>
              </w:rPr>
              <w:t>  %</w:t>
            </w:r>
          </w:p>
        </w:tc>
        <w:tc>
          <w:tcPr>
            <w:tcW w:w="102" w:type="dxa"/>
            <w:tcBorders>
              <w:top w:val="single" w:sz="6" w:space="0" w:color="000000"/>
              <w:left w:val="nil"/>
              <w:bottom w:val="nil"/>
              <w:right w:val="nil"/>
            </w:tcBorders>
            <w:shd w:val="clear" w:color="CFD4D8" w:fill="CFD4D8"/>
            <w:vAlign w:val="bottom"/>
          </w:tcPr>
          <w:p w:rsidR="0073298C" w:rsidRDefault="0073298C" w:rsidP="0073298C">
            <w:pPr>
              <w:spacing w:before="22" w:after="22"/>
              <w:ind w:left="22" w:right="22"/>
              <w:rPr>
                <w:color w:val="000000"/>
              </w:rPr>
            </w:pPr>
            <w:r>
              <w:rPr>
                <w:color w:val="000000"/>
              </w:rPr>
              <w:t> </w:t>
            </w:r>
          </w:p>
        </w:tc>
        <w:tc>
          <w:tcPr>
            <w:tcW w:w="993" w:type="dxa"/>
            <w:tcBorders>
              <w:top w:val="single" w:sz="6" w:space="0" w:color="000000"/>
              <w:left w:val="nil"/>
              <w:bottom w:val="nil"/>
              <w:right w:val="nil"/>
            </w:tcBorders>
            <w:shd w:val="clear" w:color="CFD4D8" w:fill="CFD4D8"/>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(5.4</w:t>
            </w:r>
          </w:p>
        </w:tc>
        <w:tc>
          <w:tcPr>
            <w:tcW w:w="366" w:type="dxa"/>
            <w:gridSpan w:val="2"/>
            <w:tcBorders>
              <w:top w:val="single" w:sz="6" w:space="0" w:color="000000"/>
              <w:left w:val="nil"/>
              <w:bottom w:val="nil"/>
              <w:right w:val="single" w:sz="6" w:space="0" w:color="00467E"/>
            </w:tcBorders>
            <w:shd w:val="clear" w:color="CFD4D8" w:fill="CFD4D8"/>
            <w:vAlign w:val="center"/>
          </w:tcPr>
          <w:p w:rsidR="0073298C" w:rsidRDefault="0073298C" w:rsidP="0073298C">
            <w:pPr>
              <w:spacing w:before="22" w:after="22"/>
              <w:ind w:right="22"/>
              <w:rPr>
                <w:rFonts w:ascii="Arial" w:hAnsi="Arial" w:cs="Arial"/>
                <w:color w:val="000000"/>
                <w:sz w:val="18"/>
                <w:szCs w:val="18"/>
              </w:rPr>
            </w:pPr>
            <w:r>
              <w:rPr>
                <w:rFonts w:ascii="Arial" w:hAnsi="Arial" w:cs="Arial"/>
                <w:color w:val="000000"/>
                <w:sz w:val="18"/>
                <w:szCs w:val="18"/>
              </w:rPr>
              <w:t>) %</w:t>
            </w:r>
          </w:p>
        </w:tc>
      </w:tr>
      <w:tr w:rsidR="0073298C" w:rsidTr="0073298C">
        <w:tblPrEx>
          <w:tblCellMar>
            <w:top w:w="0" w:type="dxa"/>
            <w:left w:w="0" w:type="dxa"/>
            <w:bottom w:w="0" w:type="dxa"/>
            <w:right w:w="0" w:type="dxa"/>
          </w:tblCellMar>
        </w:tblPrEx>
        <w:trPr>
          <w:trHeight w:val="479"/>
          <w:jc w:val="center"/>
        </w:trPr>
        <w:tc>
          <w:tcPr>
            <w:tcW w:w="3144" w:type="dxa"/>
            <w:tcBorders>
              <w:top w:val="nil"/>
              <w:left w:val="single" w:sz="6" w:space="0" w:color="00467E"/>
              <w:bottom w:val="nil"/>
              <w:right w:val="nil"/>
            </w:tcBorders>
            <w:vAlign w:val="center"/>
          </w:tcPr>
          <w:p w:rsidR="0073298C" w:rsidRDefault="0073298C" w:rsidP="0073298C">
            <w:pPr>
              <w:spacing w:before="22" w:after="22"/>
              <w:ind w:left="22" w:right="22"/>
              <w:rPr>
                <w:rFonts w:ascii="Arial" w:hAnsi="Arial" w:cs="Arial"/>
                <w:color w:val="000000"/>
                <w:sz w:val="18"/>
                <w:szCs w:val="18"/>
              </w:rPr>
            </w:pPr>
            <w:r>
              <w:rPr>
                <w:rFonts w:ascii="Arial" w:hAnsi="Arial" w:cs="Arial"/>
                <w:color w:val="000000"/>
                <w:sz w:val="18"/>
                <w:szCs w:val="18"/>
              </w:rPr>
              <w:t>Revenue, net of fuel surcharge and intersegment transactions</w:t>
            </w:r>
          </w:p>
        </w:tc>
        <w:tc>
          <w:tcPr>
            <w:tcW w:w="120" w:type="dxa"/>
            <w:tcBorders>
              <w:top w:val="nil"/>
              <w:left w:val="nil"/>
              <w:bottom w:val="nil"/>
              <w:right w:val="nil"/>
            </w:tcBorders>
            <w:vAlign w:val="center"/>
          </w:tcPr>
          <w:p w:rsidR="0073298C" w:rsidRDefault="0073298C" w:rsidP="0073298C">
            <w:pPr>
              <w:spacing w:before="22" w:after="22"/>
              <w:ind w:left="22"/>
              <w:rPr>
                <w:rFonts w:ascii="Arial" w:hAnsi="Arial" w:cs="Arial"/>
                <w:color w:val="000000"/>
                <w:sz w:val="18"/>
                <w:szCs w:val="18"/>
              </w:rPr>
            </w:pPr>
            <w:r>
              <w:rPr>
                <w:rFonts w:ascii="Arial" w:hAnsi="Arial" w:cs="Arial"/>
                <w:color w:val="000000"/>
                <w:sz w:val="18"/>
                <w:szCs w:val="18"/>
              </w:rPr>
              <w:t>$</w:t>
            </w:r>
          </w:p>
        </w:tc>
        <w:tc>
          <w:tcPr>
            <w:tcW w:w="1212" w:type="dxa"/>
            <w:tcBorders>
              <w:top w:val="nil"/>
              <w:left w:val="nil"/>
              <w:bottom w:val="nil"/>
              <w:right w:val="nil"/>
            </w:tcBorders>
            <w:vAlign w:val="center"/>
          </w:tcPr>
          <w:p w:rsidR="0073298C" w:rsidRDefault="0073298C" w:rsidP="0073298C">
            <w:pPr>
              <w:spacing w:before="22" w:after="22"/>
              <w:jc w:val="right"/>
              <w:rPr>
                <w:rFonts w:ascii="Arial" w:hAnsi="Arial" w:cs="Arial"/>
                <w:color w:val="000000"/>
                <w:sz w:val="18"/>
                <w:szCs w:val="18"/>
              </w:rPr>
            </w:pPr>
            <w:r>
              <w:rPr>
                <w:rFonts w:ascii="Arial" w:hAnsi="Arial" w:cs="Arial"/>
                <w:color w:val="000000"/>
                <w:sz w:val="18"/>
                <w:szCs w:val="18"/>
              </w:rPr>
              <w:t>797,706</w:t>
            </w:r>
          </w:p>
        </w:tc>
        <w:tc>
          <w:tcPr>
            <w:tcW w:w="180" w:type="dxa"/>
            <w:tcBorders>
              <w:top w:val="nil"/>
              <w:left w:val="nil"/>
              <w:bottom w:val="nil"/>
              <w:right w:val="nil"/>
            </w:tcBorders>
            <w:vAlign w:val="bottom"/>
          </w:tcPr>
          <w:p w:rsidR="0073298C" w:rsidRDefault="0073298C" w:rsidP="0073298C">
            <w:pPr>
              <w:spacing w:before="22" w:after="22"/>
              <w:jc w:val="right"/>
              <w:rPr>
                <w:rFonts w:ascii="Arial" w:hAnsi="Arial" w:cs="Arial"/>
                <w:color w:val="000000"/>
                <w:sz w:val="18"/>
                <w:szCs w:val="18"/>
              </w:rPr>
            </w:pPr>
          </w:p>
          <w:p w:rsidR="0073298C" w:rsidRDefault="0073298C" w:rsidP="0073298C">
            <w:pPr>
              <w:rPr>
                <w:sz w:val="16"/>
                <w:szCs w:val="16"/>
              </w:rPr>
            </w:pPr>
            <w:r>
              <w:rPr>
                <w:sz w:val="16"/>
                <w:szCs w:val="16"/>
              </w:rPr>
              <w:lastRenderedPageBreak/>
              <w:t> </w:t>
            </w:r>
          </w:p>
        </w:tc>
        <w:tc>
          <w:tcPr>
            <w:tcW w:w="102" w:type="dxa"/>
            <w:tcBorders>
              <w:top w:val="nil"/>
              <w:left w:val="nil"/>
              <w:bottom w:val="nil"/>
              <w:right w:val="nil"/>
            </w:tcBorders>
            <w:vAlign w:val="bottom"/>
          </w:tcPr>
          <w:p w:rsidR="0073298C" w:rsidRDefault="0073298C" w:rsidP="0073298C">
            <w:pPr>
              <w:spacing w:before="22" w:after="22"/>
              <w:ind w:left="22" w:right="22"/>
              <w:rPr>
                <w:color w:val="000000"/>
              </w:rPr>
            </w:pPr>
            <w:r>
              <w:rPr>
                <w:color w:val="000000"/>
              </w:rPr>
              <w:lastRenderedPageBreak/>
              <w:t> </w:t>
            </w:r>
          </w:p>
        </w:tc>
        <w:tc>
          <w:tcPr>
            <w:tcW w:w="120" w:type="dxa"/>
            <w:tcBorders>
              <w:top w:val="nil"/>
              <w:left w:val="nil"/>
              <w:bottom w:val="nil"/>
              <w:right w:val="nil"/>
            </w:tcBorders>
            <w:vAlign w:val="center"/>
          </w:tcPr>
          <w:p w:rsidR="0073298C" w:rsidRDefault="0073298C" w:rsidP="0073298C">
            <w:pPr>
              <w:spacing w:before="22" w:after="22"/>
              <w:ind w:left="22"/>
              <w:rPr>
                <w:rFonts w:ascii="Arial" w:hAnsi="Arial" w:cs="Arial"/>
                <w:color w:val="000000"/>
                <w:sz w:val="18"/>
                <w:szCs w:val="18"/>
              </w:rPr>
            </w:pPr>
            <w:r>
              <w:rPr>
                <w:rFonts w:ascii="Arial" w:hAnsi="Arial" w:cs="Arial"/>
                <w:color w:val="000000"/>
                <w:sz w:val="18"/>
                <w:szCs w:val="18"/>
              </w:rPr>
              <w:t>$</w:t>
            </w:r>
          </w:p>
        </w:tc>
        <w:tc>
          <w:tcPr>
            <w:tcW w:w="1212" w:type="dxa"/>
            <w:tcBorders>
              <w:top w:val="nil"/>
              <w:left w:val="nil"/>
              <w:bottom w:val="nil"/>
              <w:right w:val="nil"/>
            </w:tcBorders>
            <w:vAlign w:val="center"/>
          </w:tcPr>
          <w:p w:rsidR="0073298C" w:rsidRDefault="0073298C" w:rsidP="0073298C">
            <w:pPr>
              <w:spacing w:before="22" w:after="22"/>
              <w:jc w:val="right"/>
              <w:rPr>
                <w:rFonts w:ascii="Arial" w:hAnsi="Arial" w:cs="Arial"/>
                <w:color w:val="000000"/>
                <w:sz w:val="18"/>
                <w:szCs w:val="18"/>
              </w:rPr>
            </w:pPr>
            <w:r>
              <w:rPr>
                <w:rFonts w:ascii="Arial" w:hAnsi="Arial" w:cs="Arial"/>
                <w:color w:val="000000"/>
                <w:sz w:val="18"/>
                <w:szCs w:val="18"/>
              </w:rPr>
              <w:t>810,358</w:t>
            </w:r>
          </w:p>
        </w:tc>
        <w:tc>
          <w:tcPr>
            <w:tcW w:w="180" w:type="dxa"/>
            <w:tcBorders>
              <w:top w:val="nil"/>
              <w:left w:val="nil"/>
              <w:bottom w:val="nil"/>
              <w:right w:val="nil"/>
            </w:tcBorders>
            <w:vAlign w:val="bottom"/>
          </w:tcPr>
          <w:p w:rsidR="0073298C" w:rsidRDefault="0073298C" w:rsidP="0073298C">
            <w:pPr>
              <w:spacing w:before="22" w:after="22"/>
              <w:jc w:val="right"/>
              <w:rPr>
                <w:rFonts w:ascii="Arial" w:hAnsi="Arial" w:cs="Arial"/>
                <w:color w:val="000000"/>
                <w:sz w:val="18"/>
                <w:szCs w:val="18"/>
              </w:rPr>
            </w:pPr>
          </w:p>
          <w:p w:rsidR="0073298C" w:rsidRDefault="0073298C" w:rsidP="0073298C">
            <w:pPr>
              <w:rPr>
                <w:sz w:val="16"/>
                <w:szCs w:val="16"/>
              </w:rPr>
            </w:pPr>
            <w:r>
              <w:rPr>
                <w:sz w:val="16"/>
                <w:szCs w:val="16"/>
              </w:rPr>
              <w:lastRenderedPageBreak/>
              <w:t> </w:t>
            </w:r>
          </w:p>
        </w:tc>
        <w:tc>
          <w:tcPr>
            <w:tcW w:w="102" w:type="dxa"/>
            <w:tcBorders>
              <w:top w:val="nil"/>
              <w:left w:val="nil"/>
              <w:bottom w:val="nil"/>
              <w:right w:val="nil"/>
            </w:tcBorders>
            <w:vAlign w:val="bottom"/>
          </w:tcPr>
          <w:p w:rsidR="0073298C" w:rsidRDefault="0073298C" w:rsidP="0073298C">
            <w:pPr>
              <w:spacing w:before="22" w:after="22"/>
              <w:ind w:left="22" w:right="22"/>
              <w:rPr>
                <w:color w:val="000000"/>
              </w:rPr>
            </w:pPr>
            <w:r>
              <w:rPr>
                <w:color w:val="000000"/>
              </w:rPr>
              <w:lastRenderedPageBreak/>
              <w:t> </w:t>
            </w:r>
          </w:p>
        </w:tc>
        <w:tc>
          <w:tcPr>
            <w:tcW w:w="120" w:type="dxa"/>
            <w:tcBorders>
              <w:top w:val="nil"/>
              <w:left w:val="nil"/>
              <w:bottom w:val="nil"/>
              <w:right w:val="nil"/>
            </w:tcBorders>
            <w:vAlign w:val="center"/>
          </w:tcPr>
          <w:p w:rsidR="0073298C" w:rsidRDefault="0073298C" w:rsidP="0073298C">
            <w:pPr>
              <w:spacing w:before="22" w:after="22"/>
              <w:ind w:left="22"/>
              <w:rPr>
                <w:rFonts w:ascii="Arial" w:hAnsi="Arial" w:cs="Arial"/>
                <w:color w:val="000000"/>
                <w:sz w:val="18"/>
                <w:szCs w:val="18"/>
              </w:rPr>
            </w:pPr>
            <w:r>
              <w:rPr>
                <w:rFonts w:ascii="Arial" w:hAnsi="Arial" w:cs="Arial"/>
                <w:color w:val="000000"/>
                <w:sz w:val="18"/>
                <w:szCs w:val="18"/>
              </w:rPr>
              <w:t>$</w:t>
            </w:r>
          </w:p>
        </w:tc>
        <w:tc>
          <w:tcPr>
            <w:tcW w:w="1212" w:type="dxa"/>
            <w:tcBorders>
              <w:top w:val="nil"/>
              <w:left w:val="nil"/>
              <w:bottom w:val="nil"/>
              <w:right w:val="nil"/>
            </w:tcBorders>
            <w:vAlign w:val="center"/>
          </w:tcPr>
          <w:p w:rsidR="0073298C" w:rsidRDefault="0073298C" w:rsidP="0073298C">
            <w:pPr>
              <w:spacing w:before="22" w:after="22"/>
              <w:jc w:val="right"/>
              <w:rPr>
                <w:rFonts w:ascii="Arial" w:hAnsi="Arial" w:cs="Arial"/>
                <w:color w:val="000000"/>
                <w:sz w:val="18"/>
                <w:szCs w:val="18"/>
              </w:rPr>
            </w:pPr>
            <w:r>
              <w:rPr>
                <w:rFonts w:ascii="Arial" w:hAnsi="Arial" w:cs="Arial"/>
                <w:color w:val="000000"/>
                <w:sz w:val="18"/>
                <w:szCs w:val="18"/>
              </w:rPr>
              <w:t>830,710</w:t>
            </w:r>
          </w:p>
        </w:tc>
        <w:tc>
          <w:tcPr>
            <w:tcW w:w="180" w:type="dxa"/>
            <w:tcBorders>
              <w:top w:val="nil"/>
              <w:left w:val="nil"/>
              <w:bottom w:val="nil"/>
              <w:right w:val="nil"/>
            </w:tcBorders>
            <w:vAlign w:val="bottom"/>
          </w:tcPr>
          <w:p w:rsidR="0073298C" w:rsidRDefault="0073298C" w:rsidP="0073298C">
            <w:pPr>
              <w:spacing w:before="22" w:after="22"/>
              <w:jc w:val="right"/>
              <w:rPr>
                <w:rFonts w:ascii="Arial" w:hAnsi="Arial" w:cs="Arial"/>
                <w:color w:val="000000"/>
                <w:sz w:val="18"/>
                <w:szCs w:val="18"/>
              </w:rPr>
            </w:pPr>
          </w:p>
          <w:p w:rsidR="0073298C" w:rsidRDefault="0073298C" w:rsidP="0073298C">
            <w:pPr>
              <w:rPr>
                <w:sz w:val="16"/>
                <w:szCs w:val="16"/>
              </w:rPr>
            </w:pPr>
            <w:r>
              <w:rPr>
                <w:sz w:val="16"/>
                <w:szCs w:val="16"/>
              </w:rPr>
              <w:lastRenderedPageBreak/>
              <w:t> </w:t>
            </w:r>
          </w:p>
        </w:tc>
        <w:tc>
          <w:tcPr>
            <w:tcW w:w="102" w:type="dxa"/>
            <w:tcBorders>
              <w:top w:val="single" w:sz="6" w:space="0" w:color="00467E"/>
              <w:left w:val="nil"/>
              <w:bottom w:val="nil"/>
              <w:right w:val="nil"/>
            </w:tcBorders>
            <w:shd w:val="clear" w:color="00467E" w:fill="00467E"/>
            <w:vAlign w:val="bottom"/>
          </w:tcPr>
          <w:p w:rsidR="0073298C" w:rsidRDefault="0073298C" w:rsidP="0073298C">
            <w:pPr>
              <w:spacing w:before="22" w:after="22"/>
              <w:ind w:left="22" w:right="22"/>
              <w:rPr>
                <w:color w:val="000000"/>
              </w:rPr>
            </w:pPr>
            <w:r>
              <w:rPr>
                <w:color w:val="000000"/>
              </w:rPr>
              <w:lastRenderedPageBreak/>
              <w:t> </w:t>
            </w:r>
          </w:p>
        </w:tc>
        <w:tc>
          <w:tcPr>
            <w:tcW w:w="993" w:type="dxa"/>
            <w:tcBorders>
              <w:top w:val="nil"/>
              <w:left w:val="nil"/>
              <w:bottom w:val="nil"/>
              <w:right w:val="nil"/>
            </w:tcBorders>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(1.6</w:t>
            </w:r>
          </w:p>
        </w:tc>
        <w:tc>
          <w:tcPr>
            <w:tcW w:w="360" w:type="dxa"/>
            <w:tcBorders>
              <w:top w:val="nil"/>
              <w:left w:val="nil"/>
              <w:bottom w:val="nil"/>
              <w:right w:val="nil"/>
            </w:tcBorders>
            <w:vAlign w:val="center"/>
          </w:tcPr>
          <w:p w:rsidR="0073298C" w:rsidRDefault="0073298C" w:rsidP="0073298C">
            <w:pPr>
              <w:spacing w:before="22" w:after="22"/>
              <w:ind w:right="22"/>
              <w:rPr>
                <w:rFonts w:ascii="Arial" w:hAnsi="Arial" w:cs="Arial"/>
                <w:color w:val="000000"/>
                <w:sz w:val="18"/>
                <w:szCs w:val="18"/>
              </w:rPr>
            </w:pPr>
            <w:r>
              <w:rPr>
                <w:rFonts w:ascii="Arial" w:hAnsi="Arial" w:cs="Arial"/>
                <w:color w:val="000000"/>
                <w:sz w:val="18"/>
                <w:szCs w:val="18"/>
              </w:rPr>
              <w:t>) %</w:t>
            </w:r>
          </w:p>
        </w:tc>
        <w:tc>
          <w:tcPr>
            <w:tcW w:w="102" w:type="dxa"/>
            <w:tcBorders>
              <w:top w:val="nil"/>
              <w:left w:val="nil"/>
              <w:bottom w:val="nil"/>
              <w:right w:val="nil"/>
            </w:tcBorders>
            <w:vAlign w:val="bottom"/>
          </w:tcPr>
          <w:p w:rsidR="0073298C" w:rsidRDefault="0073298C" w:rsidP="0073298C">
            <w:pPr>
              <w:spacing w:before="22" w:after="22"/>
              <w:ind w:left="22" w:right="22"/>
              <w:rPr>
                <w:color w:val="000000"/>
              </w:rPr>
            </w:pPr>
            <w:r>
              <w:rPr>
                <w:color w:val="000000"/>
              </w:rPr>
              <w:t> </w:t>
            </w:r>
          </w:p>
        </w:tc>
        <w:tc>
          <w:tcPr>
            <w:tcW w:w="993" w:type="dxa"/>
            <w:tcBorders>
              <w:top w:val="nil"/>
              <w:left w:val="nil"/>
              <w:bottom w:val="nil"/>
              <w:right w:val="nil"/>
            </w:tcBorders>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(2.4</w:t>
            </w:r>
          </w:p>
        </w:tc>
        <w:tc>
          <w:tcPr>
            <w:tcW w:w="366" w:type="dxa"/>
            <w:gridSpan w:val="2"/>
            <w:tcBorders>
              <w:top w:val="nil"/>
              <w:left w:val="nil"/>
              <w:bottom w:val="nil"/>
              <w:right w:val="single" w:sz="6" w:space="0" w:color="00467E"/>
            </w:tcBorders>
            <w:vAlign w:val="center"/>
          </w:tcPr>
          <w:p w:rsidR="0073298C" w:rsidRDefault="0073298C" w:rsidP="0073298C">
            <w:pPr>
              <w:spacing w:before="22" w:after="22"/>
              <w:ind w:right="22"/>
              <w:rPr>
                <w:rFonts w:ascii="Arial" w:hAnsi="Arial" w:cs="Arial"/>
                <w:color w:val="000000"/>
                <w:sz w:val="18"/>
                <w:szCs w:val="18"/>
              </w:rPr>
            </w:pPr>
            <w:r>
              <w:rPr>
                <w:rFonts w:ascii="Arial" w:hAnsi="Arial" w:cs="Arial"/>
                <w:color w:val="000000"/>
                <w:sz w:val="18"/>
                <w:szCs w:val="18"/>
              </w:rPr>
              <w:t>) %</w:t>
            </w:r>
          </w:p>
        </w:tc>
      </w:tr>
      <w:tr w:rsidR="0073298C" w:rsidTr="0073298C">
        <w:tblPrEx>
          <w:tblCellMar>
            <w:top w:w="0" w:type="dxa"/>
            <w:left w:w="0" w:type="dxa"/>
            <w:bottom w:w="0" w:type="dxa"/>
            <w:right w:w="0" w:type="dxa"/>
          </w:tblCellMar>
        </w:tblPrEx>
        <w:trPr>
          <w:trHeight w:val="298"/>
          <w:jc w:val="center"/>
        </w:trPr>
        <w:tc>
          <w:tcPr>
            <w:tcW w:w="3144" w:type="dxa"/>
            <w:tcBorders>
              <w:top w:val="nil"/>
              <w:left w:val="single" w:sz="6" w:space="0" w:color="00467E"/>
              <w:bottom w:val="nil"/>
              <w:right w:val="nil"/>
            </w:tcBorders>
            <w:shd w:val="clear" w:color="CFD4D8" w:fill="CFD4D8"/>
            <w:vAlign w:val="center"/>
          </w:tcPr>
          <w:p w:rsidR="0073298C" w:rsidRDefault="0073298C" w:rsidP="0073298C">
            <w:pPr>
              <w:spacing w:before="22" w:after="22"/>
              <w:ind w:left="22" w:right="22"/>
              <w:rPr>
                <w:rFonts w:ascii="Arial" w:hAnsi="Arial" w:cs="Arial"/>
                <w:color w:val="000000"/>
                <w:sz w:val="18"/>
                <w:szCs w:val="18"/>
              </w:rPr>
            </w:pPr>
            <w:r>
              <w:rPr>
                <w:rFonts w:ascii="Arial" w:hAnsi="Arial" w:cs="Arial"/>
                <w:color w:val="000000"/>
                <w:sz w:val="18"/>
                <w:szCs w:val="18"/>
              </w:rPr>
              <w:lastRenderedPageBreak/>
              <w:t>Operating income</w:t>
            </w:r>
          </w:p>
        </w:tc>
        <w:tc>
          <w:tcPr>
            <w:tcW w:w="120" w:type="dxa"/>
            <w:tcBorders>
              <w:top w:val="nil"/>
              <w:left w:val="nil"/>
              <w:bottom w:val="nil"/>
              <w:right w:val="nil"/>
            </w:tcBorders>
            <w:shd w:val="clear" w:color="CFD4D8" w:fill="CFD4D8"/>
            <w:vAlign w:val="center"/>
          </w:tcPr>
          <w:p w:rsidR="0073298C" w:rsidRDefault="0073298C" w:rsidP="0073298C">
            <w:pPr>
              <w:spacing w:before="22" w:after="22"/>
              <w:ind w:left="22"/>
              <w:rPr>
                <w:rFonts w:ascii="Arial" w:hAnsi="Arial" w:cs="Arial"/>
                <w:color w:val="000000"/>
                <w:sz w:val="18"/>
                <w:szCs w:val="18"/>
              </w:rPr>
            </w:pPr>
            <w:r>
              <w:rPr>
                <w:rFonts w:ascii="Arial" w:hAnsi="Arial" w:cs="Arial"/>
                <w:color w:val="000000"/>
                <w:sz w:val="18"/>
                <w:szCs w:val="18"/>
              </w:rPr>
              <w:t>$</w:t>
            </w:r>
          </w:p>
        </w:tc>
        <w:tc>
          <w:tcPr>
            <w:tcW w:w="1212" w:type="dxa"/>
            <w:tcBorders>
              <w:top w:val="nil"/>
              <w:left w:val="nil"/>
              <w:bottom w:val="nil"/>
              <w:right w:val="nil"/>
            </w:tcBorders>
            <w:shd w:val="clear" w:color="CFD4D8" w:fill="CFD4D8"/>
            <w:vAlign w:val="center"/>
          </w:tcPr>
          <w:p w:rsidR="0073298C" w:rsidRDefault="0073298C" w:rsidP="0073298C">
            <w:pPr>
              <w:spacing w:before="22" w:after="22"/>
              <w:jc w:val="right"/>
              <w:rPr>
                <w:rFonts w:ascii="Arial" w:hAnsi="Arial" w:cs="Arial"/>
                <w:color w:val="000000"/>
                <w:sz w:val="18"/>
                <w:szCs w:val="18"/>
              </w:rPr>
            </w:pPr>
            <w:r>
              <w:rPr>
                <w:rFonts w:ascii="Arial" w:hAnsi="Arial" w:cs="Arial"/>
                <w:color w:val="000000"/>
                <w:sz w:val="18"/>
                <w:szCs w:val="18"/>
              </w:rPr>
              <w:t>92,298</w:t>
            </w:r>
          </w:p>
        </w:tc>
        <w:tc>
          <w:tcPr>
            <w:tcW w:w="180" w:type="dxa"/>
            <w:tcBorders>
              <w:top w:val="nil"/>
              <w:left w:val="nil"/>
              <w:bottom w:val="nil"/>
              <w:right w:val="nil"/>
            </w:tcBorders>
            <w:shd w:val="clear" w:color="CFD4D8" w:fill="CFD4D8"/>
            <w:vAlign w:val="bottom"/>
          </w:tcPr>
          <w:p w:rsidR="0073298C" w:rsidRDefault="0073298C" w:rsidP="0073298C">
            <w:pPr>
              <w:spacing w:before="22" w:after="22"/>
              <w:jc w:val="right"/>
              <w:rPr>
                <w:rFonts w:ascii="Arial" w:hAnsi="Arial" w:cs="Arial"/>
                <w:color w:val="000000"/>
                <w:sz w:val="18"/>
                <w:szCs w:val="18"/>
              </w:rPr>
            </w:pPr>
          </w:p>
          <w:p w:rsidR="0073298C" w:rsidRDefault="0073298C" w:rsidP="0073298C">
            <w:pPr>
              <w:rPr>
                <w:sz w:val="16"/>
                <w:szCs w:val="16"/>
              </w:rPr>
            </w:pPr>
            <w:r>
              <w:rPr>
                <w:sz w:val="16"/>
                <w:szCs w:val="16"/>
              </w:rPr>
              <w:t> </w:t>
            </w:r>
          </w:p>
        </w:tc>
        <w:tc>
          <w:tcPr>
            <w:tcW w:w="102" w:type="dxa"/>
            <w:tcBorders>
              <w:top w:val="nil"/>
              <w:left w:val="nil"/>
              <w:bottom w:val="nil"/>
              <w:right w:val="nil"/>
            </w:tcBorders>
            <w:shd w:val="clear" w:color="CFD4D8" w:fill="CFD4D8"/>
            <w:vAlign w:val="bottom"/>
          </w:tcPr>
          <w:p w:rsidR="0073298C" w:rsidRDefault="0073298C" w:rsidP="0073298C">
            <w:pPr>
              <w:spacing w:before="22" w:after="22"/>
              <w:ind w:left="22" w:right="22"/>
              <w:rPr>
                <w:color w:val="000000"/>
              </w:rPr>
            </w:pPr>
            <w:r>
              <w:rPr>
                <w:color w:val="000000"/>
              </w:rPr>
              <w:t> </w:t>
            </w:r>
          </w:p>
        </w:tc>
        <w:tc>
          <w:tcPr>
            <w:tcW w:w="120" w:type="dxa"/>
            <w:tcBorders>
              <w:top w:val="nil"/>
              <w:left w:val="nil"/>
              <w:bottom w:val="nil"/>
              <w:right w:val="nil"/>
            </w:tcBorders>
            <w:shd w:val="clear" w:color="CFD4D8" w:fill="CFD4D8"/>
            <w:vAlign w:val="center"/>
          </w:tcPr>
          <w:p w:rsidR="0073298C" w:rsidRDefault="0073298C" w:rsidP="0073298C">
            <w:pPr>
              <w:spacing w:before="22" w:after="22"/>
              <w:ind w:left="22"/>
              <w:rPr>
                <w:rFonts w:ascii="Arial" w:hAnsi="Arial" w:cs="Arial"/>
                <w:color w:val="000000"/>
                <w:sz w:val="18"/>
                <w:szCs w:val="18"/>
              </w:rPr>
            </w:pPr>
            <w:r>
              <w:rPr>
                <w:rFonts w:ascii="Arial" w:hAnsi="Arial" w:cs="Arial"/>
                <w:color w:val="000000"/>
                <w:sz w:val="18"/>
                <w:szCs w:val="18"/>
              </w:rPr>
              <w:t>$</w:t>
            </w:r>
          </w:p>
        </w:tc>
        <w:tc>
          <w:tcPr>
            <w:tcW w:w="1212" w:type="dxa"/>
            <w:tcBorders>
              <w:top w:val="nil"/>
              <w:left w:val="nil"/>
              <w:bottom w:val="nil"/>
              <w:right w:val="nil"/>
            </w:tcBorders>
            <w:shd w:val="clear" w:color="CFD4D8" w:fill="CFD4D8"/>
            <w:vAlign w:val="center"/>
          </w:tcPr>
          <w:p w:rsidR="0073298C" w:rsidRDefault="0073298C" w:rsidP="0073298C">
            <w:pPr>
              <w:spacing w:before="22" w:after="22"/>
              <w:jc w:val="right"/>
              <w:rPr>
                <w:rFonts w:ascii="Arial" w:hAnsi="Arial" w:cs="Arial"/>
                <w:color w:val="000000"/>
                <w:sz w:val="18"/>
                <w:szCs w:val="18"/>
              </w:rPr>
            </w:pPr>
            <w:r>
              <w:rPr>
                <w:rFonts w:ascii="Arial" w:hAnsi="Arial" w:cs="Arial"/>
                <w:color w:val="000000"/>
                <w:sz w:val="18"/>
                <w:szCs w:val="18"/>
              </w:rPr>
              <w:t>136,229</w:t>
            </w:r>
          </w:p>
        </w:tc>
        <w:tc>
          <w:tcPr>
            <w:tcW w:w="180" w:type="dxa"/>
            <w:tcBorders>
              <w:top w:val="nil"/>
              <w:left w:val="nil"/>
              <w:bottom w:val="nil"/>
              <w:right w:val="nil"/>
            </w:tcBorders>
            <w:shd w:val="clear" w:color="CFD4D8" w:fill="CFD4D8"/>
            <w:vAlign w:val="bottom"/>
          </w:tcPr>
          <w:p w:rsidR="0073298C" w:rsidRDefault="0073298C" w:rsidP="0073298C">
            <w:pPr>
              <w:spacing w:before="22" w:after="22"/>
              <w:jc w:val="right"/>
              <w:rPr>
                <w:rFonts w:ascii="Arial" w:hAnsi="Arial" w:cs="Arial"/>
                <w:color w:val="000000"/>
                <w:sz w:val="18"/>
                <w:szCs w:val="18"/>
              </w:rPr>
            </w:pPr>
          </w:p>
          <w:p w:rsidR="0073298C" w:rsidRDefault="0073298C" w:rsidP="0073298C">
            <w:pPr>
              <w:rPr>
                <w:sz w:val="16"/>
                <w:szCs w:val="16"/>
              </w:rPr>
            </w:pPr>
            <w:r>
              <w:rPr>
                <w:sz w:val="16"/>
                <w:szCs w:val="16"/>
              </w:rPr>
              <w:t> </w:t>
            </w:r>
          </w:p>
        </w:tc>
        <w:tc>
          <w:tcPr>
            <w:tcW w:w="102" w:type="dxa"/>
            <w:tcBorders>
              <w:top w:val="nil"/>
              <w:left w:val="nil"/>
              <w:bottom w:val="nil"/>
              <w:right w:val="nil"/>
            </w:tcBorders>
            <w:shd w:val="clear" w:color="CFD4D8" w:fill="CFD4D8"/>
            <w:vAlign w:val="bottom"/>
          </w:tcPr>
          <w:p w:rsidR="0073298C" w:rsidRDefault="0073298C" w:rsidP="0073298C">
            <w:pPr>
              <w:spacing w:before="22" w:after="22"/>
              <w:ind w:left="22" w:right="22"/>
              <w:rPr>
                <w:color w:val="000000"/>
              </w:rPr>
            </w:pPr>
            <w:r>
              <w:rPr>
                <w:color w:val="000000"/>
              </w:rPr>
              <w:t> </w:t>
            </w:r>
          </w:p>
        </w:tc>
        <w:tc>
          <w:tcPr>
            <w:tcW w:w="120" w:type="dxa"/>
            <w:tcBorders>
              <w:top w:val="nil"/>
              <w:left w:val="nil"/>
              <w:bottom w:val="nil"/>
              <w:right w:val="nil"/>
            </w:tcBorders>
            <w:shd w:val="clear" w:color="CFD4D8" w:fill="CFD4D8"/>
            <w:vAlign w:val="center"/>
          </w:tcPr>
          <w:p w:rsidR="0073298C" w:rsidRDefault="0073298C" w:rsidP="0073298C">
            <w:pPr>
              <w:spacing w:before="22" w:after="22"/>
              <w:ind w:left="22"/>
              <w:rPr>
                <w:rFonts w:ascii="Arial" w:hAnsi="Arial" w:cs="Arial"/>
                <w:color w:val="000000"/>
                <w:sz w:val="18"/>
                <w:szCs w:val="18"/>
              </w:rPr>
            </w:pPr>
            <w:r>
              <w:rPr>
                <w:rFonts w:ascii="Arial" w:hAnsi="Arial" w:cs="Arial"/>
                <w:color w:val="000000"/>
                <w:sz w:val="18"/>
                <w:szCs w:val="18"/>
              </w:rPr>
              <w:t>$</w:t>
            </w:r>
          </w:p>
        </w:tc>
        <w:tc>
          <w:tcPr>
            <w:tcW w:w="1212" w:type="dxa"/>
            <w:tcBorders>
              <w:top w:val="nil"/>
              <w:left w:val="nil"/>
              <w:bottom w:val="nil"/>
              <w:right w:val="nil"/>
            </w:tcBorders>
            <w:shd w:val="clear" w:color="CFD4D8" w:fill="CFD4D8"/>
            <w:vAlign w:val="center"/>
          </w:tcPr>
          <w:p w:rsidR="0073298C" w:rsidRDefault="0073298C" w:rsidP="0073298C">
            <w:pPr>
              <w:spacing w:before="22" w:after="22"/>
              <w:jc w:val="right"/>
              <w:rPr>
                <w:rFonts w:ascii="Arial" w:hAnsi="Arial" w:cs="Arial"/>
                <w:color w:val="000000"/>
                <w:sz w:val="18"/>
                <w:szCs w:val="18"/>
              </w:rPr>
            </w:pPr>
            <w:bookmarkStart w:id="33" w:name="OLE_LINK1"/>
            <w:r>
              <w:rPr>
                <w:rFonts w:ascii="Arial" w:hAnsi="Arial" w:cs="Arial"/>
                <w:color w:val="000000"/>
                <w:sz w:val="18"/>
                <w:szCs w:val="18"/>
              </w:rPr>
              <w:t>162,143</w:t>
            </w:r>
            <w:bookmarkEnd w:id="33"/>
          </w:p>
        </w:tc>
        <w:tc>
          <w:tcPr>
            <w:tcW w:w="180" w:type="dxa"/>
            <w:tcBorders>
              <w:top w:val="nil"/>
              <w:left w:val="nil"/>
              <w:bottom w:val="nil"/>
              <w:right w:val="nil"/>
            </w:tcBorders>
            <w:shd w:val="clear" w:color="CFD4D8" w:fill="CFD4D8"/>
            <w:vAlign w:val="bottom"/>
          </w:tcPr>
          <w:p w:rsidR="0073298C" w:rsidRDefault="0073298C" w:rsidP="0073298C">
            <w:pPr>
              <w:spacing w:before="22" w:after="22"/>
              <w:jc w:val="right"/>
              <w:rPr>
                <w:rFonts w:ascii="Arial" w:hAnsi="Arial" w:cs="Arial"/>
                <w:color w:val="000000"/>
                <w:sz w:val="18"/>
                <w:szCs w:val="18"/>
              </w:rPr>
            </w:pPr>
          </w:p>
          <w:p w:rsidR="0073298C" w:rsidRDefault="0073298C" w:rsidP="0073298C">
            <w:pPr>
              <w:rPr>
                <w:sz w:val="16"/>
                <w:szCs w:val="16"/>
              </w:rPr>
            </w:pPr>
            <w:r>
              <w:rPr>
                <w:sz w:val="16"/>
                <w:szCs w:val="16"/>
              </w:rPr>
              <w:t> </w:t>
            </w:r>
          </w:p>
        </w:tc>
        <w:tc>
          <w:tcPr>
            <w:tcW w:w="102" w:type="dxa"/>
            <w:tcBorders>
              <w:top w:val="single" w:sz="6" w:space="0" w:color="00467E"/>
              <w:left w:val="nil"/>
              <w:bottom w:val="single" w:sz="6" w:space="0" w:color="00467E"/>
              <w:right w:val="nil"/>
            </w:tcBorders>
            <w:shd w:val="clear" w:color="00467E" w:fill="00467E"/>
            <w:vAlign w:val="bottom"/>
          </w:tcPr>
          <w:p w:rsidR="0073298C" w:rsidRDefault="0073298C" w:rsidP="0073298C">
            <w:pPr>
              <w:spacing w:before="22" w:after="22"/>
              <w:ind w:left="22" w:right="22"/>
              <w:rPr>
                <w:color w:val="000000"/>
              </w:rPr>
            </w:pPr>
            <w:r>
              <w:rPr>
                <w:color w:val="000000"/>
              </w:rPr>
              <w:t> </w:t>
            </w:r>
          </w:p>
        </w:tc>
        <w:tc>
          <w:tcPr>
            <w:tcW w:w="993" w:type="dxa"/>
            <w:tcBorders>
              <w:top w:val="nil"/>
              <w:left w:val="nil"/>
              <w:bottom w:val="nil"/>
              <w:right w:val="nil"/>
            </w:tcBorders>
            <w:shd w:val="clear" w:color="CFD4D8" w:fill="CFD4D8"/>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(32.2</w:t>
            </w:r>
          </w:p>
        </w:tc>
        <w:tc>
          <w:tcPr>
            <w:tcW w:w="360" w:type="dxa"/>
            <w:tcBorders>
              <w:top w:val="nil"/>
              <w:left w:val="nil"/>
              <w:bottom w:val="nil"/>
              <w:right w:val="nil"/>
            </w:tcBorders>
            <w:shd w:val="clear" w:color="CFD4D8" w:fill="CFD4D8"/>
            <w:vAlign w:val="center"/>
          </w:tcPr>
          <w:p w:rsidR="0073298C" w:rsidRDefault="0073298C" w:rsidP="0073298C">
            <w:pPr>
              <w:spacing w:before="22" w:after="22"/>
              <w:ind w:right="22"/>
              <w:rPr>
                <w:rFonts w:ascii="Arial" w:hAnsi="Arial" w:cs="Arial"/>
                <w:color w:val="000000"/>
                <w:sz w:val="18"/>
                <w:szCs w:val="18"/>
              </w:rPr>
            </w:pPr>
            <w:r>
              <w:rPr>
                <w:rFonts w:ascii="Arial" w:hAnsi="Arial" w:cs="Arial"/>
                <w:color w:val="000000"/>
                <w:sz w:val="18"/>
                <w:szCs w:val="18"/>
              </w:rPr>
              <w:t>) %</w:t>
            </w:r>
          </w:p>
        </w:tc>
        <w:tc>
          <w:tcPr>
            <w:tcW w:w="102" w:type="dxa"/>
            <w:tcBorders>
              <w:top w:val="nil"/>
              <w:left w:val="nil"/>
              <w:bottom w:val="nil"/>
              <w:right w:val="nil"/>
            </w:tcBorders>
            <w:shd w:val="clear" w:color="CFD4D8" w:fill="CFD4D8"/>
            <w:vAlign w:val="bottom"/>
          </w:tcPr>
          <w:p w:rsidR="0073298C" w:rsidRDefault="0073298C" w:rsidP="0073298C">
            <w:pPr>
              <w:spacing w:before="22" w:after="22"/>
              <w:ind w:left="22" w:right="22"/>
              <w:rPr>
                <w:color w:val="000000"/>
              </w:rPr>
            </w:pPr>
            <w:r>
              <w:rPr>
                <w:color w:val="000000"/>
              </w:rPr>
              <w:t> </w:t>
            </w:r>
          </w:p>
        </w:tc>
        <w:tc>
          <w:tcPr>
            <w:tcW w:w="993" w:type="dxa"/>
            <w:tcBorders>
              <w:top w:val="nil"/>
              <w:left w:val="nil"/>
              <w:bottom w:val="nil"/>
              <w:right w:val="nil"/>
            </w:tcBorders>
            <w:shd w:val="clear" w:color="CFD4D8" w:fill="CFD4D8"/>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(16.0</w:t>
            </w:r>
          </w:p>
        </w:tc>
        <w:tc>
          <w:tcPr>
            <w:tcW w:w="366" w:type="dxa"/>
            <w:gridSpan w:val="2"/>
            <w:tcBorders>
              <w:top w:val="nil"/>
              <w:left w:val="nil"/>
              <w:bottom w:val="nil"/>
              <w:right w:val="single" w:sz="6" w:space="0" w:color="00467E"/>
            </w:tcBorders>
            <w:shd w:val="clear" w:color="CFD4D8" w:fill="CFD4D8"/>
            <w:vAlign w:val="center"/>
          </w:tcPr>
          <w:p w:rsidR="0073298C" w:rsidRDefault="0073298C" w:rsidP="0073298C">
            <w:pPr>
              <w:spacing w:before="22" w:after="22"/>
              <w:ind w:right="22"/>
              <w:rPr>
                <w:rFonts w:ascii="Arial" w:hAnsi="Arial" w:cs="Arial"/>
                <w:color w:val="000000"/>
                <w:sz w:val="18"/>
                <w:szCs w:val="18"/>
              </w:rPr>
            </w:pPr>
            <w:r>
              <w:rPr>
                <w:rFonts w:ascii="Arial" w:hAnsi="Arial" w:cs="Arial"/>
                <w:color w:val="000000"/>
                <w:sz w:val="18"/>
                <w:szCs w:val="18"/>
              </w:rPr>
              <w:t>) %</w:t>
            </w:r>
          </w:p>
        </w:tc>
      </w:tr>
      <w:tr w:rsidR="0073298C" w:rsidTr="0073298C">
        <w:tblPrEx>
          <w:tblCellMar>
            <w:top w:w="0" w:type="dxa"/>
            <w:left w:w="0" w:type="dxa"/>
            <w:bottom w:w="0" w:type="dxa"/>
            <w:right w:w="0" w:type="dxa"/>
          </w:tblCellMar>
        </w:tblPrEx>
        <w:trPr>
          <w:trHeight w:val="298"/>
          <w:jc w:val="center"/>
        </w:trPr>
        <w:tc>
          <w:tcPr>
            <w:tcW w:w="3144" w:type="dxa"/>
            <w:tcBorders>
              <w:top w:val="nil"/>
              <w:left w:val="single" w:sz="6" w:space="0" w:color="00467E"/>
              <w:bottom w:val="nil"/>
              <w:right w:val="nil"/>
            </w:tcBorders>
            <w:vAlign w:val="center"/>
          </w:tcPr>
          <w:p w:rsidR="0073298C" w:rsidRDefault="0073298C" w:rsidP="0073298C">
            <w:pPr>
              <w:spacing w:before="22" w:after="22"/>
              <w:ind w:left="22" w:right="22"/>
              <w:rPr>
                <w:rFonts w:ascii="Arial" w:hAnsi="Arial" w:cs="Arial"/>
                <w:color w:val="000000"/>
                <w:sz w:val="16"/>
                <w:szCs w:val="16"/>
                <w:vertAlign w:val="superscript"/>
              </w:rPr>
            </w:pPr>
            <w:r>
              <w:rPr>
                <w:rFonts w:ascii="Arial" w:hAnsi="Arial" w:cs="Arial"/>
                <w:color w:val="000000"/>
                <w:sz w:val="18"/>
                <w:szCs w:val="18"/>
              </w:rPr>
              <w:t xml:space="preserve">Average revenue per tractor </w:t>
            </w:r>
            <w:r>
              <w:rPr>
                <w:rFonts w:ascii="Arial" w:hAnsi="Arial" w:cs="Arial"/>
                <w:color w:val="000000"/>
                <w:sz w:val="16"/>
                <w:szCs w:val="16"/>
                <w:vertAlign w:val="superscript"/>
              </w:rPr>
              <w:t>(1)</w:t>
            </w:r>
          </w:p>
        </w:tc>
        <w:tc>
          <w:tcPr>
            <w:tcW w:w="120" w:type="dxa"/>
            <w:tcBorders>
              <w:top w:val="nil"/>
              <w:left w:val="nil"/>
              <w:bottom w:val="nil"/>
              <w:right w:val="nil"/>
            </w:tcBorders>
            <w:vAlign w:val="center"/>
          </w:tcPr>
          <w:p w:rsidR="0073298C" w:rsidRDefault="0073298C" w:rsidP="0073298C">
            <w:pPr>
              <w:spacing w:before="22" w:after="22"/>
              <w:ind w:left="22"/>
              <w:rPr>
                <w:rFonts w:ascii="Arial" w:hAnsi="Arial" w:cs="Arial"/>
                <w:color w:val="000000"/>
                <w:sz w:val="18"/>
                <w:szCs w:val="18"/>
              </w:rPr>
            </w:pPr>
            <w:r>
              <w:rPr>
                <w:rFonts w:ascii="Arial" w:hAnsi="Arial" w:cs="Arial"/>
                <w:color w:val="000000"/>
                <w:sz w:val="18"/>
                <w:szCs w:val="18"/>
              </w:rPr>
              <w:t>$</w:t>
            </w:r>
          </w:p>
        </w:tc>
        <w:tc>
          <w:tcPr>
            <w:tcW w:w="1212" w:type="dxa"/>
            <w:tcBorders>
              <w:top w:val="nil"/>
              <w:left w:val="nil"/>
              <w:bottom w:val="nil"/>
              <w:right w:val="nil"/>
            </w:tcBorders>
            <w:vAlign w:val="center"/>
          </w:tcPr>
          <w:p w:rsidR="0073298C" w:rsidRDefault="0073298C" w:rsidP="0073298C">
            <w:pPr>
              <w:spacing w:before="22" w:after="22"/>
              <w:jc w:val="right"/>
              <w:rPr>
                <w:rFonts w:ascii="Arial" w:hAnsi="Arial" w:cs="Arial"/>
                <w:color w:val="000000"/>
                <w:sz w:val="18"/>
                <w:szCs w:val="18"/>
              </w:rPr>
            </w:pPr>
            <w:r>
              <w:rPr>
                <w:rFonts w:ascii="Arial" w:hAnsi="Arial" w:cs="Arial"/>
                <w:color w:val="000000"/>
                <w:sz w:val="18"/>
                <w:szCs w:val="18"/>
              </w:rPr>
              <w:t>174,553</w:t>
            </w:r>
          </w:p>
        </w:tc>
        <w:tc>
          <w:tcPr>
            <w:tcW w:w="180" w:type="dxa"/>
            <w:tcBorders>
              <w:top w:val="nil"/>
              <w:left w:val="nil"/>
              <w:bottom w:val="nil"/>
              <w:right w:val="nil"/>
            </w:tcBorders>
            <w:vAlign w:val="bottom"/>
          </w:tcPr>
          <w:p w:rsidR="0073298C" w:rsidRDefault="0073298C" w:rsidP="0073298C">
            <w:pPr>
              <w:spacing w:before="22" w:after="22"/>
              <w:jc w:val="right"/>
              <w:rPr>
                <w:rFonts w:ascii="Arial" w:hAnsi="Arial" w:cs="Arial"/>
                <w:color w:val="000000"/>
                <w:sz w:val="18"/>
                <w:szCs w:val="18"/>
              </w:rPr>
            </w:pPr>
          </w:p>
          <w:p w:rsidR="0073298C" w:rsidRDefault="0073298C" w:rsidP="0073298C">
            <w:pPr>
              <w:rPr>
                <w:sz w:val="16"/>
                <w:szCs w:val="16"/>
              </w:rPr>
            </w:pPr>
            <w:r>
              <w:rPr>
                <w:sz w:val="16"/>
                <w:szCs w:val="16"/>
              </w:rPr>
              <w:t> </w:t>
            </w:r>
          </w:p>
        </w:tc>
        <w:tc>
          <w:tcPr>
            <w:tcW w:w="102" w:type="dxa"/>
            <w:tcBorders>
              <w:top w:val="nil"/>
              <w:left w:val="nil"/>
              <w:bottom w:val="nil"/>
              <w:right w:val="nil"/>
            </w:tcBorders>
            <w:vAlign w:val="bottom"/>
          </w:tcPr>
          <w:p w:rsidR="0073298C" w:rsidRDefault="0073298C" w:rsidP="0073298C">
            <w:pPr>
              <w:spacing w:before="22" w:after="22"/>
              <w:ind w:left="22" w:right="22"/>
              <w:rPr>
                <w:color w:val="000000"/>
              </w:rPr>
            </w:pPr>
            <w:r>
              <w:rPr>
                <w:color w:val="000000"/>
              </w:rPr>
              <w:t> </w:t>
            </w:r>
          </w:p>
        </w:tc>
        <w:tc>
          <w:tcPr>
            <w:tcW w:w="120" w:type="dxa"/>
            <w:tcBorders>
              <w:top w:val="nil"/>
              <w:left w:val="nil"/>
              <w:bottom w:val="nil"/>
              <w:right w:val="nil"/>
            </w:tcBorders>
            <w:vAlign w:val="center"/>
          </w:tcPr>
          <w:p w:rsidR="0073298C" w:rsidRDefault="0073298C" w:rsidP="0073298C">
            <w:pPr>
              <w:spacing w:before="22" w:after="22"/>
              <w:ind w:left="22"/>
              <w:rPr>
                <w:rFonts w:ascii="Arial" w:hAnsi="Arial" w:cs="Arial"/>
                <w:color w:val="000000"/>
                <w:sz w:val="18"/>
                <w:szCs w:val="18"/>
              </w:rPr>
            </w:pPr>
            <w:r>
              <w:rPr>
                <w:rFonts w:ascii="Arial" w:hAnsi="Arial" w:cs="Arial"/>
                <w:color w:val="000000"/>
                <w:sz w:val="18"/>
                <w:szCs w:val="18"/>
              </w:rPr>
              <w:t>$</w:t>
            </w:r>
          </w:p>
        </w:tc>
        <w:tc>
          <w:tcPr>
            <w:tcW w:w="1212" w:type="dxa"/>
            <w:tcBorders>
              <w:top w:val="nil"/>
              <w:left w:val="nil"/>
              <w:bottom w:val="nil"/>
              <w:right w:val="nil"/>
            </w:tcBorders>
            <w:vAlign w:val="center"/>
          </w:tcPr>
          <w:p w:rsidR="0073298C" w:rsidRDefault="0073298C" w:rsidP="0073298C">
            <w:pPr>
              <w:spacing w:before="22" w:after="22"/>
              <w:jc w:val="right"/>
              <w:rPr>
                <w:rFonts w:ascii="Arial" w:hAnsi="Arial" w:cs="Arial"/>
                <w:color w:val="000000"/>
                <w:sz w:val="18"/>
                <w:szCs w:val="18"/>
              </w:rPr>
            </w:pPr>
            <w:r>
              <w:rPr>
                <w:rFonts w:ascii="Arial" w:hAnsi="Arial" w:cs="Arial"/>
                <w:color w:val="000000"/>
                <w:sz w:val="18"/>
                <w:szCs w:val="18"/>
              </w:rPr>
              <w:t>172,185</w:t>
            </w:r>
          </w:p>
        </w:tc>
        <w:tc>
          <w:tcPr>
            <w:tcW w:w="180" w:type="dxa"/>
            <w:tcBorders>
              <w:top w:val="nil"/>
              <w:left w:val="nil"/>
              <w:bottom w:val="nil"/>
              <w:right w:val="nil"/>
            </w:tcBorders>
            <w:vAlign w:val="bottom"/>
          </w:tcPr>
          <w:p w:rsidR="0073298C" w:rsidRDefault="0073298C" w:rsidP="0073298C">
            <w:pPr>
              <w:spacing w:before="22" w:after="22"/>
              <w:jc w:val="right"/>
              <w:rPr>
                <w:rFonts w:ascii="Arial" w:hAnsi="Arial" w:cs="Arial"/>
                <w:color w:val="000000"/>
                <w:sz w:val="18"/>
                <w:szCs w:val="18"/>
              </w:rPr>
            </w:pPr>
          </w:p>
          <w:p w:rsidR="0073298C" w:rsidRDefault="0073298C" w:rsidP="0073298C">
            <w:pPr>
              <w:rPr>
                <w:sz w:val="16"/>
                <w:szCs w:val="16"/>
              </w:rPr>
            </w:pPr>
            <w:r>
              <w:rPr>
                <w:sz w:val="16"/>
                <w:szCs w:val="16"/>
              </w:rPr>
              <w:t> </w:t>
            </w:r>
          </w:p>
        </w:tc>
        <w:tc>
          <w:tcPr>
            <w:tcW w:w="102" w:type="dxa"/>
            <w:tcBorders>
              <w:top w:val="nil"/>
              <w:left w:val="nil"/>
              <w:bottom w:val="nil"/>
              <w:right w:val="nil"/>
            </w:tcBorders>
            <w:vAlign w:val="bottom"/>
          </w:tcPr>
          <w:p w:rsidR="0073298C" w:rsidRDefault="0073298C" w:rsidP="0073298C">
            <w:pPr>
              <w:spacing w:before="22" w:after="22"/>
              <w:ind w:left="22" w:right="22"/>
              <w:rPr>
                <w:color w:val="000000"/>
              </w:rPr>
            </w:pPr>
            <w:r>
              <w:rPr>
                <w:color w:val="000000"/>
              </w:rPr>
              <w:t> </w:t>
            </w:r>
          </w:p>
        </w:tc>
        <w:tc>
          <w:tcPr>
            <w:tcW w:w="120" w:type="dxa"/>
            <w:tcBorders>
              <w:top w:val="nil"/>
              <w:left w:val="nil"/>
              <w:bottom w:val="nil"/>
              <w:right w:val="nil"/>
            </w:tcBorders>
            <w:vAlign w:val="center"/>
          </w:tcPr>
          <w:p w:rsidR="0073298C" w:rsidRDefault="0073298C" w:rsidP="0073298C">
            <w:pPr>
              <w:spacing w:before="22" w:after="22"/>
              <w:ind w:left="22"/>
              <w:rPr>
                <w:rFonts w:ascii="Arial" w:hAnsi="Arial" w:cs="Arial"/>
                <w:color w:val="000000"/>
                <w:sz w:val="18"/>
                <w:szCs w:val="18"/>
              </w:rPr>
            </w:pPr>
            <w:r>
              <w:rPr>
                <w:rFonts w:ascii="Arial" w:hAnsi="Arial" w:cs="Arial"/>
                <w:color w:val="000000"/>
                <w:sz w:val="18"/>
                <w:szCs w:val="18"/>
              </w:rPr>
              <w:t>$</w:t>
            </w:r>
          </w:p>
        </w:tc>
        <w:tc>
          <w:tcPr>
            <w:tcW w:w="1212" w:type="dxa"/>
            <w:tcBorders>
              <w:top w:val="nil"/>
              <w:left w:val="nil"/>
              <w:bottom w:val="nil"/>
              <w:right w:val="nil"/>
            </w:tcBorders>
            <w:vAlign w:val="center"/>
          </w:tcPr>
          <w:p w:rsidR="0073298C" w:rsidRDefault="0073298C" w:rsidP="0073298C">
            <w:pPr>
              <w:spacing w:before="22" w:after="22"/>
              <w:jc w:val="right"/>
              <w:rPr>
                <w:rFonts w:ascii="Arial" w:hAnsi="Arial" w:cs="Arial"/>
                <w:color w:val="000000"/>
                <w:sz w:val="18"/>
                <w:szCs w:val="18"/>
              </w:rPr>
            </w:pPr>
            <w:r>
              <w:rPr>
                <w:rFonts w:ascii="Arial" w:hAnsi="Arial" w:cs="Arial"/>
                <w:color w:val="000000"/>
                <w:sz w:val="18"/>
                <w:szCs w:val="18"/>
              </w:rPr>
              <w:t>173,329</w:t>
            </w:r>
          </w:p>
        </w:tc>
        <w:tc>
          <w:tcPr>
            <w:tcW w:w="180" w:type="dxa"/>
            <w:tcBorders>
              <w:top w:val="nil"/>
              <w:left w:val="nil"/>
              <w:bottom w:val="nil"/>
              <w:right w:val="nil"/>
            </w:tcBorders>
            <w:vAlign w:val="bottom"/>
          </w:tcPr>
          <w:p w:rsidR="0073298C" w:rsidRDefault="0073298C" w:rsidP="0073298C">
            <w:pPr>
              <w:spacing w:before="22" w:after="22"/>
              <w:jc w:val="right"/>
              <w:rPr>
                <w:rFonts w:ascii="Arial" w:hAnsi="Arial" w:cs="Arial"/>
                <w:color w:val="000000"/>
                <w:sz w:val="18"/>
                <w:szCs w:val="18"/>
              </w:rPr>
            </w:pPr>
          </w:p>
          <w:p w:rsidR="0073298C" w:rsidRDefault="0073298C" w:rsidP="0073298C">
            <w:pPr>
              <w:rPr>
                <w:sz w:val="16"/>
                <w:szCs w:val="16"/>
              </w:rPr>
            </w:pPr>
            <w:r>
              <w:rPr>
                <w:sz w:val="16"/>
                <w:szCs w:val="16"/>
              </w:rPr>
              <w:t> </w:t>
            </w:r>
          </w:p>
        </w:tc>
        <w:tc>
          <w:tcPr>
            <w:tcW w:w="102" w:type="dxa"/>
            <w:tcBorders>
              <w:top w:val="single" w:sz="6" w:space="0" w:color="00467E"/>
              <w:left w:val="nil"/>
              <w:bottom w:val="nil"/>
              <w:right w:val="nil"/>
            </w:tcBorders>
            <w:shd w:val="clear" w:color="00467E" w:fill="00467E"/>
            <w:vAlign w:val="bottom"/>
          </w:tcPr>
          <w:p w:rsidR="0073298C" w:rsidRDefault="0073298C" w:rsidP="0073298C">
            <w:pPr>
              <w:spacing w:before="22" w:after="22"/>
              <w:ind w:left="22" w:right="22"/>
              <w:rPr>
                <w:color w:val="000000"/>
              </w:rPr>
            </w:pPr>
            <w:r>
              <w:rPr>
                <w:color w:val="000000"/>
              </w:rPr>
              <w:t> </w:t>
            </w:r>
          </w:p>
        </w:tc>
        <w:tc>
          <w:tcPr>
            <w:tcW w:w="993" w:type="dxa"/>
            <w:tcBorders>
              <w:top w:val="nil"/>
              <w:left w:val="nil"/>
              <w:bottom w:val="nil"/>
              <w:right w:val="nil"/>
            </w:tcBorders>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1.4</w:t>
            </w:r>
          </w:p>
        </w:tc>
        <w:tc>
          <w:tcPr>
            <w:tcW w:w="360" w:type="dxa"/>
            <w:tcBorders>
              <w:top w:val="nil"/>
              <w:left w:val="nil"/>
              <w:bottom w:val="nil"/>
              <w:right w:val="nil"/>
            </w:tcBorders>
            <w:vAlign w:val="center"/>
          </w:tcPr>
          <w:p w:rsidR="0073298C" w:rsidRDefault="0073298C" w:rsidP="0073298C">
            <w:pPr>
              <w:spacing w:before="22" w:after="22"/>
              <w:ind w:right="22"/>
              <w:rPr>
                <w:rFonts w:ascii="Arial" w:hAnsi="Arial" w:cs="Arial"/>
                <w:color w:val="000000"/>
                <w:sz w:val="18"/>
                <w:szCs w:val="18"/>
              </w:rPr>
            </w:pPr>
            <w:r>
              <w:rPr>
                <w:rFonts w:ascii="Arial" w:hAnsi="Arial" w:cs="Arial"/>
                <w:color w:val="000000"/>
                <w:sz w:val="18"/>
                <w:szCs w:val="18"/>
              </w:rPr>
              <w:t>  %</w:t>
            </w:r>
          </w:p>
        </w:tc>
        <w:tc>
          <w:tcPr>
            <w:tcW w:w="102" w:type="dxa"/>
            <w:tcBorders>
              <w:top w:val="nil"/>
              <w:left w:val="nil"/>
              <w:bottom w:val="nil"/>
              <w:right w:val="nil"/>
            </w:tcBorders>
            <w:vAlign w:val="bottom"/>
          </w:tcPr>
          <w:p w:rsidR="0073298C" w:rsidRDefault="0073298C" w:rsidP="0073298C">
            <w:pPr>
              <w:spacing w:before="22" w:after="22"/>
              <w:ind w:left="22" w:right="22"/>
              <w:rPr>
                <w:color w:val="000000"/>
              </w:rPr>
            </w:pPr>
            <w:r>
              <w:rPr>
                <w:color w:val="000000"/>
              </w:rPr>
              <w:t> </w:t>
            </w:r>
          </w:p>
        </w:tc>
        <w:tc>
          <w:tcPr>
            <w:tcW w:w="993" w:type="dxa"/>
            <w:tcBorders>
              <w:top w:val="nil"/>
              <w:left w:val="nil"/>
              <w:bottom w:val="nil"/>
              <w:right w:val="nil"/>
            </w:tcBorders>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(0.7</w:t>
            </w:r>
          </w:p>
        </w:tc>
        <w:tc>
          <w:tcPr>
            <w:tcW w:w="366" w:type="dxa"/>
            <w:gridSpan w:val="2"/>
            <w:tcBorders>
              <w:top w:val="nil"/>
              <w:left w:val="nil"/>
              <w:bottom w:val="nil"/>
              <w:right w:val="single" w:sz="6" w:space="0" w:color="00467E"/>
            </w:tcBorders>
            <w:vAlign w:val="center"/>
          </w:tcPr>
          <w:p w:rsidR="0073298C" w:rsidRDefault="0073298C" w:rsidP="0073298C">
            <w:pPr>
              <w:spacing w:before="22" w:after="22"/>
              <w:ind w:right="22"/>
              <w:rPr>
                <w:rFonts w:ascii="Arial" w:hAnsi="Arial" w:cs="Arial"/>
                <w:color w:val="000000"/>
                <w:sz w:val="18"/>
                <w:szCs w:val="18"/>
              </w:rPr>
            </w:pPr>
            <w:r>
              <w:rPr>
                <w:rFonts w:ascii="Arial" w:hAnsi="Arial" w:cs="Arial"/>
                <w:color w:val="000000"/>
                <w:sz w:val="18"/>
                <w:szCs w:val="18"/>
              </w:rPr>
              <w:t>) %</w:t>
            </w:r>
          </w:p>
        </w:tc>
      </w:tr>
      <w:tr w:rsidR="0073298C" w:rsidTr="0073298C">
        <w:tblPrEx>
          <w:tblCellMar>
            <w:top w:w="0" w:type="dxa"/>
            <w:left w:w="0" w:type="dxa"/>
            <w:bottom w:w="0" w:type="dxa"/>
            <w:right w:w="0" w:type="dxa"/>
          </w:tblCellMar>
        </w:tblPrEx>
        <w:trPr>
          <w:trHeight w:val="298"/>
          <w:jc w:val="center"/>
        </w:trPr>
        <w:tc>
          <w:tcPr>
            <w:tcW w:w="3144" w:type="dxa"/>
            <w:tcBorders>
              <w:top w:val="nil"/>
              <w:left w:val="single" w:sz="6" w:space="0" w:color="00467E"/>
              <w:bottom w:val="nil"/>
              <w:right w:val="nil"/>
            </w:tcBorders>
            <w:shd w:val="clear" w:color="CFD4D8" w:fill="CFD4D8"/>
            <w:vAlign w:val="center"/>
          </w:tcPr>
          <w:p w:rsidR="0073298C" w:rsidRDefault="0073298C" w:rsidP="0073298C">
            <w:pPr>
              <w:spacing w:before="22" w:after="22"/>
              <w:ind w:left="22" w:right="22"/>
              <w:rPr>
                <w:rFonts w:ascii="Arial" w:hAnsi="Arial" w:cs="Arial"/>
                <w:color w:val="000000"/>
                <w:sz w:val="16"/>
                <w:szCs w:val="16"/>
                <w:vertAlign w:val="superscript"/>
              </w:rPr>
            </w:pPr>
            <w:r>
              <w:rPr>
                <w:rFonts w:ascii="Arial" w:hAnsi="Arial" w:cs="Arial"/>
                <w:color w:val="000000"/>
                <w:sz w:val="18"/>
                <w:szCs w:val="18"/>
              </w:rPr>
              <w:t xml:space="preserve">GAAP: Operating ratio </w:t>
            </w:r>
            <w:r>
              <w:rPr>
                <w:rFonts w:ascii="Arial" w:hAnsi="Arial" w:cs="Arial"/>
                <w:color w:val="000000"/>
                <w:sz w:val="16"/>
                <w:szCs w:val="16"/>
                <w:vertAlign w:val="superscript"/>
              </w:rPr>
              <w:t>(1)</w:t>
            </w:r>
          </w:p>
        </w:tc>
        <w:tc>
          <w:tcPr>
            <w:tcW w:w="1332" w:type="dxa"/>
            <w:gridSpan w:val="2"/>
            <w:tcBorders>
              <w:top w:val="nil"/>
              <w:left w:val="nil"/>
              <w:bottom w:val="nil"/>
              <w:right w:val="nil"/>
            </w:tcBorders>
            <w:shd w:val="clear" w:color="CFD4D8" w:fill="CFD4D8"/>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89.8</w:t>
            </w:r>
          </w:p>
        </w:tc>
        <w:tc>
          <w:tcPr>
            <w:tcW w:w="180" w:type="dxa"/>
            <w:tcBorders>
              <w:top w:val="nil"/>
              <w:left w:val="nil"/>
              <w:bottom w:val="nil"/>
              <w:right w:val="nil"/>
            </w:tcBorders>
            <w:shd w:val="clear" w:color="CFD4D8" w:fill="CFD4D8"/>
            <w:vAlign w:val="center"/>
          </w:tcPr>
          <w:p w:rsidR="0073298C" w:rsidRDefault="0073298C" w:rsidP="0073298C">
            <w:pPr>
              <w:spacing w:before="22" w:after="22"/>
              <w:ind w:right="22"/>
              <w:rPr>
                <w:rFonts w:ascii="Arial" w:hAnsi="Arial" w:cs="Arial"/>
                <w:color w:val="000000"/>
                <w:sz w:val="18"/>
                <w:szCs w:val="18"/>
              </w:rPr>
            </w:pPr>
            <w:r>
              <w:rPr>
                <w:rFonts w:ascii="Arial" w:hAnsi="Arial" w:cs="Arial"/>
                <w:color w:val="000000"/>
                <w:sz w:val="18"/>
                <w:szCs w:val="18"/>
              </w:rPr>
              <w:t>%</w:t>
            </w:r>
          </w:p>
        </w:tc>
        <w:tc>
          <w:tcPr>
            <w:tcW w:w="102" w:type="dxa"/>
            <w:tcBorders>
              <w:top w:val="nil"/>
              <w:left w:val="nil"/>
              <w:bottom w:val="nil"/>
              <w:right w:val="nil"/>
            </w:tcBorders>
            <w:shd w:val="clear" w:color="CFD4D8" w:fill="CFD4D8"/>
            <w:vAlign w:val="bottom"/>
          </w:tcPr>
          <w:p w:rsidR="0073298C" w:rsidRDefault="0073298C" w:rsidP="0073298C">
            <w:pPr>
              <w:spacing w:before="22" w:after="22"/>
              <w:ind w:left="22" w:right="22"/>
              <w:rPr>
                <w:color w:val="000000"/>
              </w:rPr>
            </w:pPr>
            <w:r>
              <w:rPr>
                <w:color w:val="000000"/>
              </w:rPr>
              <w:t> </w:t>
            </w:r>
          </w:p>
        </w:tc>
        <w:tc>
          <w:tcPr>
            <w:tcW w:w="1332" w:type="dxa"/>
            <w:gridSpan w:val="2"/>
            <w:tcBorders>
              <w:top w:val="nil"/>
              <w:left w:val="nil"/>
              <w:bottom w:val="nil"/>
              <w:right w:val="nil"/>
            </w:tcBorders>
            <w:shd w:val="clear" w:color="CFD4D8" w:fill="CFD4D8"/>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84.9</w:t>
            </w:r>
          </w:p>
        </w:tc>
        <w:tc>
          <w:tcPr>
            <w:tcW w:w="180" w:type="dxa"/>
            <w:tcBorders>
              <w:top w:val="nil"/>
              <w:left w:val="nil"/>
              <w:bottom w:val="nil"/>
              <w:right w:val="nil"/>
            </w:tcBorders>
            <w:shd w:val="clear" w:color="CFD4D8" w:fill="CFD4D8"/>
            <w:vAlign w:val="center"/>
          </w:tcPr>
          <w:p w:rsidR="0073298C" w:rsidRDefault="0073298C" w:rsidP="0073298C">
            <w:pPr>
              <w:spacing w:before="22" w:after="22"/>
              <w:ind w:right="22"/>
              <w:rPr>
                <w:rFonts w:ascii="Arial" w:hAnsi="Arial" w:cs="Arial"/>
                <w:color w:val="000000"/>
                <w:sz w:val="18"/>
                <w:szCs w:val="18"/>
              </w:rPr>
            </w:pPr>
            <w:r>
              <w:rPr>
                <w:rFonts w:ascii="Arial" w:hAnsi="Arial" w:cs="Arial"/>
                <w:color w:val="000000"/>
                <w:sz w:val="18"/>
                <w:szCs w:val="18"/>
              </w:rPr>
              <w:t>%</w:t>
            </w:r>
          </w:p>
        </w:tc>
        <w:tc>
          <w:tcPr>
            <w:tcW w:w="102" w:type="dxa"/>
            <w:tcBorders>
              <w:top w:val="nil"/>
              <w:left w:val="nil"/>
              <w:bottom w:val="nil"/>
              <w:right w:val="nil"/>
            </w:tcBorders>
            <w:shd w:val="clear" w:color="CFD4D8" w:fill="CFD4D8"/>
            <w:vAlign w:val="bottom"/>
          </w:tcPr>
          <w:p w:rsidR="0073298C" w:rsidRDefault="0073298C" w:rsidP="0073298C">
            <w:pPr>
              <w:spacing w:before="22" w:after="22"/>
              <w:ind w:left="22" w:right="22"/>
              <w:rPr>
                <w:color w:val="000000"/>
              </w:rPr>
            </w:pPr>
            <w:r>
              <w:rPr>
                <w:color w:val="000000"/>
              </w:rPr>
              <w:t> </w:t>
            </w:r>
          </w:p>
        </w:tc>
        <w:tc>
          <w:tcPr>
            <w:tcW w:w="1332" w:type="dxa"/>
            <w:gridSpan w:val="2"/>
            <w:tcBorders>
              <w:top w:val="nil"/>
              <w:left w:val="nil"/>
              <w:bottom w:val="nil"/>
              <w:right w:val="nil"/>
            </w:tcBorders>
            <w:shd w:val="clear" w:color="CFD4D8" w:fill="CFD4D8"/>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83.0</w:t>
            </w:r>
          </w:p>
        </w:tc>
        <w:tc>
          <w:tcPr>
            <w:tcW w:w="180" w:type="dxa"/>
            <w:tcBorders>
              <w:top w:val="nil"/>
              <w:left w:val="nil"/>
              <w:bottom w:val="nil"/>
              <w:right w:val="nil"/>
            </w:tcBorders>
            <w:shd w:val="clear" w:color="CFD4D8" w:fill="CFD4D8"/>
            <w:vAlign w:val="center"/>
          </w:tcPr>
          <w:p w:rsidR="0073298C" w:rsidRDefault="0073298C" w:rsidP="0073298C">
            <w:pPr>
              <w:spacing w:before="22" w:after="22"/>
              <w:ind w:right="22"/>
              <w:rPr>
                <w:rFonts w:ascii="Arial" w:hAnsi="Arial" w:cs="Arial"/>
                <w:color w:val="000000"/>
                <w:sz w:val="18"/>
                <w:szCs w:val="18"/>
              </w:rPr>
            </w:pPr>
            <w:r>
              <w:rPr>
                <w:rFonts w:ascii="Arial" w:hAnsi="Arial" w:cs="Arial"/>
                <w:color w:val="000000"/>
                <w:sz w:val="18"/>
                <w:szCs w:val="18"/>
              </w:rPr>
              <w:t>%</w:t>
            </w:r>
          </w:p>
        </w:tc>
        <w:tc>
          <w:tcPr>
            <w:tcW w:w="102" w:type="dxa"/>
            <w:tcBorders>
              <w:top w:val="single" w:sz="6" w:space="0" w:color="00467E"/>
              <w:left w:val="nil"/>
              <w:bottom w:val="nil"/>
              <w:right w:val="nil"/>
            </w:tcBorders>
            <w:shd w:val="clear" w:color="00467E" w:fill="00467E"/>
            <w:vAlign w:val="bottom"/>
          </w:tcPr>
          <w:p w:rsidR="0073298C" w:rsidRDefault="0073298C" w:rsidP="0073298C">
            <w:pPr>
              <w:spacing w:before="22" w:after="22"/>
              <w:ind w:left="22" w:right="22"/>
              <w:rPr>
                <w:color w:val="000000"/>
              </w:rPr>
            </w:pPr>
            <w:r>
              <w:rPr>
                <w:color w:val="000000"/>
              </w:rPr>
              <w:t> </w:t>
            </w:r>
          </w:p>
        </w:tc>
        <w:tc>
          <w:tcPr>
            <w:tcW w:w="993" w:type="dxa"/>
            <w:tcBorders>
              <w:top w:val="nil"/>
              <w:left w:val="nil"/>
              <w:bottom w:val="nil"/>
              <w:right w:val="nil"/>
            </w:tcBorders>
            <w:shd w:val="clear" w:color="CFD4D8" w:fill="CFD4D8"/>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490</w:t>
            </w:r>
          </w:p>
        </w:tc>
        <w:tc>
          <w:tcPr>
            <w:tcW w:w="360" w:type="dxa"/>
            <w:tcBorders>
              <w:top w:val="nil"/>
              <w:left w:val="nil"/>
              <w:bottom w:val="nil"/>
              <w:right w:val="nil"/>
            </w:tcBorders>
            <w:shd w:val="clear" w:color="CFD4D8" w:fill="CFD4D8"/>
            <w:vAlign w:val="center"/>
          </w:tcPr>
          <w:p w:rsidR="0073298C" w:rsidRDefault="0073298C" w:rsidP="0073298C">
            <w:pPr>
              <w:spacing w:before="22" w:after="22"/>
              <w:ind w:right="22"/>
              <w:rPr>
                <w:rFonts w:ascii="Arial" w:hAnsi="Arial" w:cs="Arial"/>
                <w:color w:val="000000"/>
                <w:sz w:val="18"/>
                <w:szCs w:val="18"/>
              </w:rPr>
            </w:pPr>
            <w:r>
              <w:rPr>
                <w:rFonts w:ascii="Arial" w:hAnsi="Arial" w:cs="Arial"/>
                <w:color w:val="000000"/>
                <w:sz w:val="18"/>
                <w:szCs w:val="18"/>
              </w:rPr>
              <w:t> bps</w:t>
            </w:r>
          </w:p>
        </w:tc>
        <w:tc>
          <w:tcPr>
            <w:tcW w:w="102" w:type="dxa"/>
            <w:tcBorders>
              <w:top w:val="nil"/>
              <w:left w:val="nil"/>
              <w:bottom w:val="nil"/>
              <w:right w:val="nil"/>
            </w:tcBorders>
            <w:shd w:val="clear" w:color="CFD4D8" w:fill="CFD4D8"/>
            <w:vAlign w:val="bottom"/>
          </w:tcPr>
          <w:p w:rsidR="0073298C" w:rsidRDefault="0073298C" w:rsidP="0073298C">
            <w:pPr>
              <w:spacing w:before="22" w:after="22"/>
              <w:ind w:left="22" w:right="22"/>
              <w:rPr>
                <w:color w:val="000000"/>
              </w:rPr>
            </w:pPr>
            <w:r>
              <w:rPr>
                <w:color w:val="000000"/>
              </w:rPr>
              <w:t> </w:t>
            </w:r>
          </w:p>
        </w:tc>
        <w:tc>
          <w:tcPr>
            <w:tcW w:w="993" w:type="dxa"/>
            <w:tcBorders>
              <w:top w:val="nil"/>
              <w:left w:val="nil"/>
              <w:bottom w:val="nil"/>
              <w:right w:val="nil"/>
            </w:tcBorders>
            <w:shd w:val="clear" w:color="CFD4D8" w:fill="CFD4D8"/>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190</w:t>
            </w:r>
          </w:p>
        </w:tc>
        <w:tc>
          <w:tcPr>
            <w:tcW w:w="366" w:type="dxa"/>
            <w:gridSpan w:val="2"/>
            <w:tcBorders>
              <w:top w:val="nil"/>
              <w:left w:val="nil"/>
              <w:bottom w:val="nil"/>
              <w:right w:val="single" w:sz="6" w:space="0" w:color="00467E"/>
            </w:tcBorders>
            <w:shd w:val="clear" w:color="CFD4D8" w:fill="CFD4D8"/>
            <w:vAlign w:val="center"/>
          </w:tcPr>
          <w:p w:rsidR="0073298C" w:rsidRDefault="0073298C" w:rsidP="0073298C">
            <w:pPr>
              <w:spacing w:before="22" w:after="22"/>
              <w:ind w:right="22"/>
              <w:rPr>
                <w:rFonts w:ascii="Arial" w:hAnsi="Arial" w:cs="Arial"/>
                <w:color w:val="000000"/>
                <w:sz w:val="18"/>
                <w:szCs w:val="18"/>
              </w:rPr>
            </w:pPr>
            <w:r>
              <w:rPr>
                <w:rFonts w:ascii="Arial" w:hAnsi="Arial" w:cs="Arial"/>
                <w:color w:val="000000"/>
                <w:sz w:val="18"/>
                <w:szCs w:val="18"/>
              </w:rPr>
              <w:t> bps</w:t>
            </w:r>
          </w:p>
        </w:tc>
      </w:tr>
      <w:tr w:rsidR="0073298C" w:rsidTr="0073298C">
        <w:tblPrEx>
          <w:tblCellMar>
            <w:top w:w="0" w:type="dxa"/>
            <w:left w:w="0" w:type="dxa"/>
            <w:bottom w:w="0" w:type="dxa"/>
            <w:right w:w="0" w:type="dxa"/>
          </w:tblCellMar>
        </w:tblPrEx>
        <w:trPr>
          <w:trHeight w:val="479"/>
          <w:jc w:val="center"/>
        </w:trPr>
        <w:tc>
          <w:tcPr>
            <w:tcW w:w="3144" w:type="dxa"/>
            <w:tcBorders>
              <w:top w:val="nil"/>
              <w:left w:val="single" w:sz="6" w:space="0" w:color="00467E"/>
              <w:bottom w:val="nil"/>
              <w:right w:val="nil"/>
            </w:tcBorders>
            <w:vAlign w:val="center"/>
          </w:tcPr>
          <w:p w:rsidR="0073298C" w:rsidRDefault="0073298C" w:rsidP="0073298C">
            <w:pPr>
              <w:spacing w:before="22" w:after="22"/>
              <w:ind w:left="22" w:right="22"/>
              <w:rPr>
                <w:rFonts w:ascii="Arial" w:hAnsi="Arial" w:cs="Arial"/>
                <w:color w:val="000000"/>
                <w:sz w:val="16"/>
                <w:szCs w:val="16"/>
                <w:vertAlign w:val="superscript"/>
              </w:rPr>
            </w:pPr>
            <w:r>
              <w:rPr>
                <w:rFonts w:ascii="Arial" w:hAnsi="Arial" w:cs="Arial"/>
                <w:color w:val="000000"/>
                <w:sz w:val="18"/>
                <w:szCs w:val="18"/>
              </w:rPr>
              <w:t xml:space="preserve">Non-GAAP: Adjusted Operating Ratio </w:t>
            </w:r>
            <w:r>
              <w:rPr>
                <w:rFonts w:ascii="Arial" w:hAnsi="Arial" w:cs="Arial"/>
                <w:color w:val="000000"/>
                <w:sz w:val="16"/>
                <w:szCs w:val="16"/>
                <w:vertAlign w:val="superscript"/>
              </w:rPr>
              <w:t xml:space="preserve"> (1)</w:t>
            </w:r>
          </w:p>
        </w:tc>
        <w:tc>
          <w:tcPr>
            <w:tcW w:w="1332" w:type="dxa"/>
            <w:gridSpan w:val="2"/>
            <w:tcBorders>
              <w:top w:val="nil"/>
              <w:left w:val="nil"/>
              <w:bottom w:val="nil"/>
              <w:right w:val="nil"/>
            </w:tcBorders>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85.3</w:t>
            </w:r>
          </w:p>
        </w:tc>
        <w:tc>
          <w:tcPr>
            <w:tcW w:w="180" w:type="dxa"/>
            <w:tcBorders>
              <w:top w:val="nil"/>
              <w:left w:val="nil"/>
              <w:bottom w:val="nil"/>
              <w:right w:val="nil"/>
            </w:tcBorders>
            <w:vAlign w:val="center"/>
          </w:tcPr>
          <w:p w:rsidR="0073298C" w:rsidRDefault="0073298C" w:rsidP="0073298C">
            <w:pPr>
              <w:spacing w:before="22" w:after="22"/>
              <w:ind w:right="22"/>
              <w:rPr>
                <w:rFonts w:ascii="Arial" w:hAnsi="Arial" w:cs="Arial"/>
                <w:color w:val="000000"/>
                <w:sz w:val="18"/>
                <w:szCs w:val="18"/>
              </w:rPr>
            </w:pPr>
            <w:r>
              <w:rPr>
                <w:rFonts w:ascii="Arial" w:hAnsi="Arial" w:cs="Arial"/>
                <w:color w:val="000000"/>
                <w:sz w:val="18"/>
                <w:szCs w:val="18"/>
              </w:rPr>
              <w:t>%</w:t>
            </w:r>
          </w:p>
        </w:tc>
        <w:tc>
          <w:tcPr>
            <w:tcW w:w="102" w:type="dxa"/>
            <w:tcBorders>
              <w:top w:val="nil"/>
              <w:left w:val="nil"/>
              <w:bottom w:val="nil"/>
              <w:right w:val="nil"/>
            </w:tcBorders>
            <w:vAlign w:val="bottom"/>
          </w:tcPr>
          <w:p w:rsidR="0073298C" w:rsidRDefault="0073298C" w:rsidP="0073298C">
            <w:pPr>
              <w:spacing w:before="22" w:after="22"/>
              <w:ind w:left="22" w:right="22"/>
              <w:rPr>
                <w:color w:val="000000"/>
              </w:rPr>
            </w:pPr>
            <w:r>
              <w:rPr>
                <w:color w:val="000000"/>
              </w:rPr>
              <w:t> </w:t>
            </w:r>
          </w:p>
        </w:tc>
        <w:tc>
          <w:tcPr>
            <w:tcW w:w="1332" w:type="dxa"/>
            <w:gridSpan w:val="2"/>
            <w:tcBorders>
              <w:top w:val="nil"/>
              <w:left w:val="nil"/>
              <w:bottom w:val="nil"/>
              <w:right w:val="nil"/>
            </w:tcBorders>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82.9</w:t>
            </w:r>
          </w:p>
        </w:tc>
        <w:tc>
          <w:tcPr>
            <w:tcW w:w="180" w:type="dxa"/>
            <w:tcBorders>
              <w:top w:val="nil"/>
              <w:left w:val="nil"/>
              <w:bottom w:val="nil"/>
              <w:right w:val="nil"/>
            </w:tcBorders>
            <w:vAlign w:val="center"/>
          </w:tcPr>
          <w:p w:rsidR="0073298C" w:rsidRDefault="0073298C" w:rsidP="0073298C">
            <w:pPr>
              <w:spacing w:before="22" w:after="22"/>
              <w:ind w:right="22"/>
              <w:rPr>
                <w:rFonts w:ascii="Arial" w:hAnsi="Arial" w:cs="Arial"/>
                <w:color w:val="000000"/>
                <w:sz w:val="18"/>
                <w:szCs w:val="18"/>
              </w:rPr>
            </w:pPr>
            <w:r>
              <w:rPr>
                <w:rFonts w:ascii="Arial" w:hAnsi="Arial" w:cs="Arial"/>
                <w:color w:val="000000"/>
                <w:sz w:val="18"/>
                <w:szCs w:val="18"/>
              </w:rPr>
              <w:t>%</w:t>
            </w:r>
          </w:p>
        </w:tc>
        <w:tc>
          <w:tcPr>
            <w:tcW w:w="102" w:type="dxa"/>
            <w:tcBorders>
              <w:top w:val="nil"/>
              <w:left w:val="nil"/>
              <w:bottom w:val="nil"/>
              <w:right w:val="nil"/>
            </w:tcBorders>
            <w:vAlign w:val="bottom"/>
          </w:tcPr>
          <w:p w:rsidR="0073298C" w:rsidRDefault="0073298C" w:rsidP="0073298C">
            <w:pPr>
              <w:spacing w:before="22" w:after="22"/>
              <w:ind w:left="22" w:right="22"/>
              <w:rPr>
                <w:color w:val="000000"/>
              </w:rPr>
            </w:pPr>
            <w:r>
              <w:rPr>
                <w:color w:val="000000"/>
              </w:rPr>
              <w:t> </w:t>
            </w:r>
          </w:p>
        </w:tc>
        <w:tc>
          <w:tcPr>
            <w:tcW w:w="1332" w:type="dxa"/>
            <w:gridSpan w:val="2"/>
            <w:tcBorders>
              <w:top w:val="nil"/>
              <w:left w:val="nil"/>
              <w:bottom w:val="nil"/>
              <w:right w:val="nil"/>
            </w:tcBorders>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79.6</w:t>
            </w:r>
          </w:p>
        </w:tc>
        <w:tc>
          <w:tcPr>
            <w:tcW w:w="180" w:type="dxa"/>
            <w:tcBorders>
              <w:top w:val="nil"/>
              <w:left w:val="nil"/>
              <w:bottom w:val="nil"/>
              <w:right w:val="nil"/>
            </w:tcBorders>
            <w:vAlign w:val="center"/>
          </w:tcPr>
          <w:p w:rsidR="0073298C" w:rsidRDefault="0073298C" w:rsidP="0073298C">
            <w:pPr>
              <w:spacing w:before="22" w:after="22"/>
              <w:ind w:right="22"/>
              <w:rPr>
                <w:rFonts w:ascii="Arial" w:hAnsi="Arial" w:cs="Arial"/>
                <w:color w:val="000000"/>
                <w:sz w:val="18"/>
                <w:szCs w:val="18"/>
              </w:rPr>
            </w:pPr>
            <w:r>
              <w:rPr>
                <w:rFonts w:ascii="Arial" w:hAnsi="Arial" w:cs="Arial"/>
                <w:color w:val="000000"/>
                <w:sz w:val="18"/>
                <w:szCs w:val="18"/>
              </w:rPr>
              <w:t>%</w:t>
            </w:r>
          </w:p>
        </w:tc>
        <w:tc>
          <w:tcPr>
            <w:tcW w:w="102" w:type="dxa"/>
            <w:tcBorders>
              <w:top w:val="single" w:sz="6" w:space="0" w:color="00467E"/>
              <w:left w:val="nil"/>
              <w:bottom w:val="nil"/>
              <w:right w:val="nil"/>
            </w:tcBorders>
            <w:shd w:val="clear" w:color="00467E" w:fill="00467E"/>
            <w:vAlign w:val="bottom"/>
          </w:tcPr>
          <w:p w:rsidR="0073298C" w:rsidRDefault="0073298C" w:rsidP="0073298C">
            <w:pPr>
              <w:spacing w:before="22" w:after="22"/>
              <w:ind w:left="22" w:right="22"/>
              <w:rPr>
                <w:color w:val="000000"/>
              </w:rPr>
            </w:pPr>
            <w:r>
              <w:rPr>
                <w:color w:val="000000"/>
              </w:rPr>
              <w:t> </w:t>
            </w:r>
          </w:p>
        </w:tc>
        <w:tc>
          <w:tcPr>
            <w:tcW w:w="993" w:type="dxa"/>
            <w:tcBorders>
              <w:top w:val="nil"/>
              <w:left w:val="nil"/>
              <w:bottom w:val="nil"/>
              <w:right w:val="nil"/>
            </w:tcBorders>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240</w:t>
            </w:r>
          </w:p>
        </w:tc>
        <w:tc>
          <w:tcPr>
            <w:tcW w:w="360" w:type="dxa"/>
            <w:tcBorders>
              <w:top w:val="nil"/>
              <w:left w:val="nil"/>
              <w:bottom w:val="nil"/>
              <w:right w:val="nil"/>
            </w:tcBorders>
            <w:vAlign w:val="center"/>
          </w:tcPr>
          <w:p w:rsidR="0073298C" w:rsidRDefault="0073298C" w:rsidP="0073298C">
            <w:pPr>
              <w:spacing w:before="22" w:after="22"/>
              <w:ind w:right="22"/>
              <w:rPr>
                <w:rFonts w:ascii="Arial" w:hAnsi="Arial" w:cs="Arial"/>
                <w:color w:val="000000"/>
                <w:sz w:val="18"/>
                <w:szCs w:val="18"/>
              </w:rPr>
            </w:pPr>
            <w:r>
              <w:rPr>
                <w:rFonts w:ascii="Arial" w:hAnsi="Arial" w:cs="Arial"/>
                <w:color w:val="000000"/>
                <w:sz w:val="18"/>
                <w:szCs w:val="18"/>
              </w:rPr>
              <w:t> bps</w:t>
            </w:r>
          </w:p>
        </w:tc>
        <w:tc>
          <w:tcPr>
            <w:tcW w:w="102" w:type="dxa"/>
            <w:tcBorders>
              <w:top w:val="nil"/>
              <w:left w:val="nil"/>
              <w:bottom w:val="nil"/>
              <w:right w:val="nil"/>
            </w:tcBorders>
            <w:vAlign w:val="bottom"/>
          </w:tcPr>
          <w:p w:rsidR="0073298C" w:rsidRDefault="0073298C" w:rsidP="0073298C">
            <w:pPr>
              <w:spacing w:before="22" w:after="22"/>
              <w:ind w:left="22" w:right="22"/>
              <w:rPr>
                <w:color w:val="000000"/>
              </w:rPr>
            </w:pPr>
            <w:r>
              <w:rPr>
                <w:color w:val="000000"/>
              </w:rPr>
              <w:t> </w:t>
            </w:r>
          </w:p>
        </w:tc>
        <w:tc>
          <w:tcPr>
            <w:tcW w:w="993" w:type="dxa"/>
            <w:tcBorders>
              <w:top w:val="nil"/>
              <w:left w:val="nil"/>
              <w:bottom w:val="nil"/>
              <w:right w:val="nil"/>
            </w:tcBorders>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330</w:t>
            </w:r>
          </w:p>
        </w:tc>
        <w:tc>
          <w:tcPr>
            <w:tcW w:w="366" w:type="dxa"/>
            <w:gridSpan w:val="2"/>
            <w:tcBorders>
              <w:top w:val="nil"/>
              <w:left w:val="nil"/>
              <w:bottom w:val="nil"/>
              <w:right w:val="single" w:sz="6" w:space="0" w:color="00467E"/>
            </w:tcBorders>
            <w:vAlign w:val="center"/>
          </w:tcPr>
          <w:p w:rsidR="0073298C" w:rsidRDefault="0073298C" w:rsidP="0073298C">
            <w:pPr>
              <w:spacing w:before="22" w:after="22"/>
              <w:ind w:right="22"/>
              <w:rPr>
                <w:rFonts w:ascii="Arial" w:hAnsi="Arial" w:cs="Arial"/>
                <w:color w:val="000000"/>
                <w:sz w:val="18"/>
                <w:szCs w:val="18"/>
              </w:rPr>
            </w:pPr>
            <w:r>
              <w:rPr>
                <w:rFonts w:ascii="Arial" w:hAnsi="Arial" w:cs="Arial"/>
                <w:color w:val="000000"/>
                <w:sz w:val="18"/>
                <w:szCs w:val="18"/>
              </w:rPr>
              <w:t> bps</w:t>
            </w:r>
          </w:p>
        </w:tc>
      </w:tr>
      <w:tr w:rsidR="0073298C" w:rsidTr="0073298C">
        <w:tblPrEx>
          <w:tblCellMar>
            <w:top w:w="0" w:type="dxa"/>
            <w:left w:w="0" w:type="dxa"/>
            <w:bottom w:w="0" w:type="dxa"/>
            <w:right w:w="0" w:type="dxa"/>
          </w:tblCellMar>
        </w:tblPrEx>
        <w:trPr>
          <w:trHeight w:val="298"/>
          <w:jc w:val="center"/>
        </w:trPr>
        <w:tc>
          <w:tcPr>
            <w:tcW w:w="3144" w:type="dxa"/>
            <w:tcBorders>
              <w:top w:val="nil"/>
              <w:left w:val="single" w:sz="6" w:space="0" w:color="00467E"/>
              <w:bottom w:val="nil"/>
              <w:right w:val="nil"/>
            </w:tcBorders>
            <w:shd w:val="clear" w:color="CFD4D8" w:fill="CFD4D8"/>
            <w:vAlign w:val="center"/>
          </w:tcPr>
          <w:p w:rsidR="0073298C" w:rsidRDefault="0073298C" w:rsidP="0073298C">
            <w:pPr>
              <w:spacing w:before="22" w:after="22"/>
              <w:ind w:left="22" w:right="22"/>
              <w:rPr>
                <w:rFonts w:ascii="Arial" w:hAnsi="Arial" w:cs="Arial"/>
                <w:color w:val="000000"/>
                <w:sz w:val="16"/>
                <w:szCs w:val="16"/>
                <w:vertAlign w:val="superscript"/>
              </w:rPr>
            </w:pPr>
            <w:r>
              <w:rPr>
                <w:rFonts w:ascii="Arial" w:hAnsi="Arial" w:cs="Arial"/>
                <w:color w:val="000000"/>
                <w:sz w:val="18"/>
                <w:szCs w:val="18"/>
              </w:rPr>
              <w:t>Non-paid empty miles percentage</w:t>
            </w:r>
            <w:r>
              <w:rPr>
                <w:rFonts w:ascii="Arial" w:hAnsi="Arial" w:cs="Arial"/>
                <w:color w:val="000000"/>
                <w:sz w:val="16"/>
                <w:szCs w:val="16"/>
                <w:vertAlign w:val="superscript"/>
              </w:rPr>
              <w:t> (1)</w:t>
            </w:r>
          </w:p>
        </w:tc>
        <w:tc>
          <w:tcPr>
            <w:tcW w:w="1332" w:type="dxa"/>
            <w:gridSpan w:val="2"/>
            <w:tcBorders>
              <w:top w:val="nil"/>
              <w:left w:val="nil"/>
              <w:bottom w:val="nil"/>
              <w:right w:val="nil"/>
            </w:tcBorders>
            <w:shd w:val="clear" w:color="CFD4D8" w:fill="CFD4D8"/>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12.9</w:t>
            </w:r>
          </w:p>
        </w:tc>
        <w:tc>
          <w:tcPr>
            <w:tcW w:w="180" w:type="dxa"/>
            <w:tcBorders>
              <w:top w:val="nil"/>
              <w:left w:val="nil"/>
              <w:bottom w:val="nil"/>
              <w:right w:val="nil"/>
            </w:tcBorders>
            <w:shd w:val="clear" w:color="CFD4D8" w:fill="CFD4D8"/>
            <w:vAlign w:val="center"/>
          </w:tcPr>
          <w:p w:rsidR="0073298C" w:rsidRDefault="0073298C" w:rsidP="0073298C">
            <w:pPr>
              <w:spacing w:before="22" w:after="22"/>
              <w:ind w:right="22"/>
              <w:rPr>
                <w:rFonts w:ascii="Arial" w:hAnsi="Arial" w:cs="Arial"/>
                <w:color w:val="000000"/>
                <w:sz w:val="18"/>
                <w:szCs w:val="18"/>
              </w:rPr>
            </w:pPr>
            <w:r>
              <w:rPr>
                <w:rFonts w:ascii="Arial" w:hAnsi="Arial" w:cs="Arial"/>
                <w:color w:val="000000"/>
                <w:sz w:val="18"/>
                <w:szCs w:val="18"/>
              </w:rPr>
              <w:t>%</w:t>
            </w:r>
          </w:p>
        </w:tc>
        <w:tc>
          <w:tcPr>
            <w:tcW w:w="102" w:type="dxa"/>
            <w:tcBorders>
              <w:top w:val="nil"/>
              <w:left w:val="nil"/>
              <w:bottom w:val="nil"/>
              <w:right w:val="nil"/>
            </w:tcBorders>
            <w:shd w:val="clear" w:color="CFD4D8" w:fill="CFD4D8"/>
            <w:vAlign w:val="bottom"/>
          </w:tcPr>
          <w:p w:rsidR="0073298C" w:rsidRDefault="0073298C" w:rsidP="0073298C">
            <w:pPr>
              <w:spacing w:before="22" w:after="22"/>
              <w:ind w:left="22" w:right="22"/>
              <w:rPr>
                <w:color w:val="000000"/>
              </w:rPr>
            </w:pPr>
            <w:r>
              <w:rPr>
                <w:color w:val="000000"/>
              </w:rPr>
              <w:t> </w:t>
            </w:r>
          </w:p>
        </w:tc>
        <w:tc>
          <w:tcPr>
            <w:tcW w:w="1332" w:type="dxa"/>
            <w:gridSpan w:val="2"/>
            <w:tcBorders>
              <w:top w:val="nil"/>
              <w:left w:val="nil"/>
              <w:bottom w:val="nil"/>
              <w:right w:val="nil"/>
            </w:tcBorders>
            <w:shd w:val="clear" w:color="CFD4D8" w:fill="CFD4D8"/>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12.5</w:t>
            </w:r>
          </w:p>
        </w:tc>
        <w:tc>
          <w:tcPr>
            <w:tcW w:w="180" w:type="dxa"/>
            <w:tcBorders>
              <w:top w:val="nil"/>
              <w:left w:val="nil"/>
              <w:bottom w:val="nil"/>
              <w:right w:val="nil"/>
            </w:tcBorders>
            <w:shd w:val="clear" w:color="CFD4D8" w:fill="CFD4D8"/>
            <w:vAlign w:val="center"/>
          </w:tcPr>
          <w:p w:rsidR="0073298C" w:rsidRDefault="0073298C" w:rsidP="0073298C">
            <w:pPr>
              <w:spacing w:before="22" w:after="22"/>
              <w:ind w:right="22"/>
              <w:rPr>
                <w:rFonts w:ascii="Arial" w:hAnsi="Arial" w:cs="Arial"/>
                <w:color w:val="000000"/>
                <w:sz w:val="18"/>
                <w:szCs w:val="18"/>
              </w:rPr>
            </w:pPr>
            <w:r>
              <w:rPr>
                <w:rFonts w:ascii="Arial" w:hAnsi="Arial" w:cs="Arial"/>
                <w:color w:val="000000"/>
                <w:sz w:val="18"/>
                <w:szCs w:val="18"/>
              </w:rPr>
              <w:t>%</w:t>
            </w:r>
          </w:p>
        </w:tc>
        <w:tc>
          <w:tcPr>
            <w:tcW w:w="102" w:type="dxa"/>
            <w:tcBorders>
              <w:top w:val="nil"/>
              <w:left w:val="nil"/>
              <w:bottom w:val="nil"/>
              <w:right w:val="nil"/>
            </w:tcBorders>
            <w:shd w:val="clear" w:color="CFD4D8" w:fill="CFD4D8"/>
            <w:vAlign w:val="bottom"/>
          </w:tcPr>
          <w:p w:rsidR="0073298C" w:rsidRDefault="0073298C" w:rsidP="0073298C">
            <w:pPr>
              <w:spacing w:before="22" w:after="22"/>
              <w:ind w:left="22" w:right="22"/>
              <w:rPr>
                <w:color w:val="000000"/>
              </w:rPr>
            </w:pPr>
            <w:r>
              <w:rPr>
                <w:color w:val="000000"/>
              </w:rPr>
              <w:t> </w:t>
            </w:r>
          </w:p>
        </w:tc>
        <w:tc>
          <w:tcPr>
            <w:tcW w:w="1332" w:type="dxa"/>
            <w:gridSpan w:val="2"/>
            <w:tcBorders>
              <w:top w:val="nil"/>
              <w:left w:val="nil"/>
              <w:bottom w:val="nil"/>
              <w:right w:val="nil"/>
            </w:tcBorders>
            <w:shd w:val="clear" w:color="CFD4D8" w:fill="CFD4D8"/>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12.0</w:t>
            </w:r>
          </w:p>
        </w:tc>
        <w:tc>
          <w:tcPr>
            <w:tcW w:w="180" w:type="dxa"/>
            <w:tcBorders>
              <w:top w:val="nil"/>
              <w:left w:val="nil"/>
              <w:bottom w:val="nil"/>
              <w:right w:val="nil"/>
            </w:tcBorders>
            <w:shd w:val="clear" w:color="CFD4D8" w:fill="CFD4D8"/>
            <w:vAlign w:val="center"/>
          </w:tcPr>
          <w:p w:rsidR="0073298C" w:rsidRDefault="0073298C" w:rsidP="0073298C">
            <w:pPr>
              <w:spacing w:before="22" w:after="22"/>
              <w:ind w:right="22"/>
              <w:rPr>
                <w:rFonts w:ascii="Arial" w:hAnsi="Arial" w:cs="Arial"/>
                <w:color w:val="000000"/>
                <w:sz w:val="18"/>
                <w:szCs w:val="18"/>
              </w:rPr>
            </w:pPr>
            <w:r>
              <w:rPr>
                <w:rFonts w:ascii="Arial" w:hAnsi="Arial" w:cs="Arial"/>
                <w:color w:val="000000"/>
                <w:sz w:val="18"/>
                <w:szCs w:val="18"/>
              </w:rPr>
              <w:t>%</w:t>
            </w:r>
          </w:p>
        </w:tc>
        <w:tc>
          <w:tcPr>
            <w:tcW w:w="102" w:type="dxa"/>
            <w:tcBorders>
              <w:top w:val="single" w:sz="6" w:space="0" w:color="00467E"/>
              <w:left w:val="nil"/>
              <w:bottom w:val="nil"/>
              <w:right w:val="nil"/>
            </w:tcBorders>
            <w:shd w:val="clear" w:color="00467E" w:fill="00467E"/>
            <w:vAlign w:val="bottom"/>
          </w:tcPr>
          <w:p w:rsidR="0073298C" w:rsidRDefault="0073298C" w:rsidP="0073298C">
            <w:pPr>
              <w:spacing w:before="22" w:after="22"/>
              <w:ind w:left="22" w:right="22"/>
              <w:rPr>
                <w:color w:val="000000"/>
              </w:rPr>
            </w:pPr>
            <w:r>
              <w:rPr>
                <w:color w:val="000000"/>
              </w:rPr>
              <w:t> </w:t>
            </w:r>
          </w:p>
        </w:tc>
        <w:tc>
          <w:tcPr>
            <w:tcW w:w="993" w:type="dxa"/>
            <w:tcBorders>
              <w:top w:val="nil"/>
              <w:left w:val="nil"/>
              <w:bottom w:val="nil"/>
              <w:right w:val="nil"/>
            </w:tcBorders>
            <w:shd w:val="clear" w:color="CFD4D8" w:fill="CFD4D8"/>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40</w:t>
            </w:r>
          </w:p>
        </w:tc>
        <w:tc>
          <w:tcPr>
            <w:tcW w:w="360" w:type="dxa"/>
            <w:tcBorders>
              <w:top w:val="nil"/>
              <w:left w:val="nil"/>
              <w:bottom w:val="nil"/>
              <w:right w:val="nil"/>
            </w:tcBorders>
            <w:shd w:val="clear" w:color="CFD4D8" w:fill="CFD4D8"/>
            <w:vAlign w:val="center"/>
          </w:tcPr>
          <w:p w:rsidR="0073298C" w:rsidRDefault="0073298C" w:rsidP="0073298C">
            <w:pPr>
              <w:spacing w:before="22" w:after="22"/>
              <w:ind w:right="22"/>
              <w:rPr>
                <w:rFonts w:ascii="Arial" w:hAnsi="Arial" w:cs="Arial"/>
                <w:color w:val="000000"/>
                <w:sz w:val="18"/>
                <w:szCs w:val="18"/>
              </w:rPr>
            </w:pPr>
            <w:r>
              <w:rPr>
                <w:rFonts w:ascii="Arial" w:hAnsi="Arial" w:cs="Arial"/>
                <w:color w:val="000000"/>
                <w:sz w:val="18"/>
                <w:szCs w:val="18"/>
              </w:rPr>
              <w:t> bps</w:t>
            </w:r>
          </w:p>
        </w:tc>
        <w:tc>
          <w:tcPr>
            <w:tcW w:w="102" w:type="dxa"/>
            <w:tcBorders>
              <w:top w:val="nil"/>
              <w:left w:val="nil"/>
              <w:bottom w:val="nil"/>
              <w:right w:val="nil"/>
            </w:tcBorders>
            <w:shd w:val="clear" w:color="CFD4D8" w:fill="CFD4D8"/>
            <w:vAlign w:val="bottom"/>
          </w:tcPr>
          <w:p w:rsidR="0073298C" w:rsidRDefault="0073298C" w:rsidP="0073298C">
            <w:pPr>
              <w:spacing w:before="22" w:after="22"/>
              <w:ind w:left="22" w:right="22"/>
              <w:rPr>
                <w:color w:val="000000"/>
              </w:rPr>
            </w:pPr>
            <w:r>
              <w:rPr>
                <w:color w:val="000000"/>
              </w:rPr>
              <w:t> </w:t>
            </w:r>
          </w:p>
        </w:tc>
        <w:tc>
          <w:tcPr>
            <w:tcW w:w="993" w:type="dxa"/>
            <w:tcBorders>
              <w:top w:val="nil"/>
              <w:left w:val="nil"/>
              <w:bottom w:val="nil"/>
              <w:right w:val="nil"/>
            </w:tcBorders>
            <w:shd w:val="clear" w:color="CFD4D8" w:fill="CFD4D8"/>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50</w:t>
            </w:r>
          </w:p>
        </w:tc>
        <w:tc>
          <w:tcPr>
            <w:tcW w:w="366" w:type="dxa"/>
            <w:gridSpan w:val="2"/>
            <w:tcBorders>
              <w:top w:val="nil"/>
              <w:left w:val="nil"/>
              <w:bottom w:val="nil"/>
              <w:right w:val="single" w:sz="6" w:space="0" w:color="00467E"/>
            </w:tcBorders>
            <w:shd w:val="clear" w:color="CFD4D8" w:fill="CFD4D8"/>
            <w:vAlign w:val="center"/>
          </w:tcPr>
          <w:p w:rsidR="0073298C" w:rsidRDefault="0073298C" w:rsidP="0073298C">
            <w:pPr>
              <w:spacing w:before="22" w:after="22"/>
              <w:ind w:right="22"/>
              <w:rPr>
                <w:rFonts w:ascii="Arial" w:hAnsi="Arial" w:cs="Arial"/>
                <w:color w:val="000000"/>
                <w:sz w:val="18"/>
                <w:szCs w:val="18"/>
              </w:rPr>
            </w:pPr>
            <w:r>
              <w:rPr>
                <w:rFonts w:ascii="Arial" w:hAnsi="Arial" w:cs="Arial"/>
                <w:color w:val="000000"/>
                <w:sz w:val="18"/>
                <w:szCs w:val="18"/>
              </w:rPr>
              <w:t> bps</w:t>
            </w:r>
          </w:p>
        </w:tc>
      </w:tr>
      <w:tr w:rsidR="0073298C" w:rsidTr="0073298C">
        <w:tblPrEx>
          <w:tblCellMar>
            <w:top w:w="0" w:type="dxa"/>
            <w:left w:w="0" w:type="dxa"/>
            <w:bottom w:w="0" w:type="dxa"/>
            <w:right w:w="0" w:type="dxa"/>
          </w:tblCellMar>
        </w:tblPrEx>
        <w:trPr>
          <w:trHeight w:val="298"/>
          <w:jc w:val="center"/>
        </w:trPr>
        <w:tc>
          <w:tcPr>
            <w:tcW w:w="3144" w:type="dxa"/>
            <w:tcBorders>
              <w:top w:val="nil"/>
              <w:left w:val="single" w:sz="6" w:space="0" w:color="00467E"/>
              <w:bottom w:val="nil"/>
              <w:right w:val="nil"/>
            </w:tcBorders>
            <w:vAlign w:val="center"/>
          </w:tcPr>
          <w:p w:rsidR="0073298C" w:rsidRDefault="0073298C" w:rsidP="0073298C">
            <w:pPr>
              <w:spacing w:before="22" w:after="22"/>
              <w:ind w:left="22" w:right="22"/>
              <w:rPr>
                <w:rFonts w:ascii="Arial" w:hAnsi="Arial" w:cs="Arial"/>
                <w:color w:val="000000"/>
                <w:sz w:val="16"/>
                <w:szCs w:val="16"/>
                <w:vertAlign w:val="superscript"/>
              </w:rPr>
            </w:pPr>
            <w:r>
              <w:rPr>
                <w:rFonts w:ascii="Arial" w:hAnsi="Arial" w:cs="Arial"/>
                <w:color w:val="000000"/>
                <w:sz w:val="18"/>
                <w:szCs w:val="18"/>
              </w:rPr>
              <w:t>Average length of haul (miles)</w:t>
            </w:r>
            <w:r>
              <w:rPr>
                <w:rFonts w:ascii="Arial" w:hAnsi="Arial" w:cs="Arial"/>
                <w:color w:val="000000"/>
                <w:sz w:val="16"/>
                <w:szCs w:val="16"/>
                <w:vertAlign w:val="superscript"/>
              </w:rPr>
              <w:t> (1)</w:t>
            </w:r>
          </w:p>
        </w:tc>
        <w:tc>
          <w:tcPr>
            <w:tcW w:w="1332" w:type="dxa"/>
            <w:gridSpan w:val="2"/>
            <w:tcBorders>
              <w:top w:val="nil"/>
              <w:left w:val="nil"/>
              <w:bottom w:val="nil"/>
              <w:right w:val="nil"/>
            </w:tcBorders>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483</w:t>
            </w:r>
          </w:p>
        </w:tc>
        <w:tc>
          <w:tcPr>
            <w:tcW w:w="180" w:type="dxa"/>
            <w:tcBorders>
              <w:top w:val="nil"/>
              <w:left w:val="nil"/>
              <w:bottom w:val="nil"/>
              <w:right w:val="nil"/>
            </w:tcBorders>
            <w:vAlign w:val="bottom"/>
          </w:tcPr>
          <w:p w:rsidR="0073298C" w:rsidRDefault="0073298C" w:rsidP="0073298C">
            <w:pPr>
              <w:spacing w:before="22" w:after="22"/>
              <w:ind w:left="22"/>
              <w:jc w:val="right"/>
              <w:rPr>
                <w:rFonts w:ascii="Arial" w:hAnsi="Arial" w:cs="Arial"/>
                <w:color w:val="000000"/>
                <w:sz w:val="18"/>
                <w:szCs w:val="18"/>
              </w:rPr>
            </w:pPr>
          </w:p>
          <w:p w:rsidR="0073298C" w:rsidRDefault="0073298C" w:rsidP="0073298C">
            <w:pPr>
              <w:rPr>
                <w:sz w:val="16"/>
                <w:szCs w:val="16"/>
              </w:rPr>
            </w:pPr>
            <w:r>
              <w:rPr>
                <w:sz w:val="16"/>
                <w:szCs w:val="16"/>
              </w:rPr>
              <w:t> </w:t>
            </w:r>
          </w:p>
        </w:tc>
        <w:tc>
          <w:tcPr>
            <w:tcW w:w="102" w:type="dxa"/>
            <w:tcBorders>
              <w:top w:val="nil"/>
              <w:left w:val="nil"/>
              <w:bottom w:val="nil"/>
              <w:right w:val="nil"/>
            </w:tcBorders>
            <w:vAlign w:val="bottom"/>
          </w:tcPr>
          <w:p w:rsidR="0073298C" w:rsidRDefault="0073298C" w:rsidP="0073298C">
            <w:pPr>
              <w:spacing w:before="22" w:after="22"/>
              <w:ind w:left="22" w:right="22"/>
              <w:rPr>
                <w:color w:val="000000"/>
              </w:rPr>
            </w:pPr>
            <w:r>
              <w:rPr>
                <w:color w:val="000000"/>
              </w:rPr>
              <w:t> </w:t>
            </w:r>
          </w:p>
        </w:tc>
        <w:tc>
          <w:tcPr>
            <w:tcW w:w="1332" w:type="dxa"/>
            <w:gridSpan w:val="2"/>
            <w:tcBorders>
              <w:top w:val="nil"/>
              <w:left w:val="nil"/>
              <w:bottom w:val="nil"/>
              <w:right w:val="nil"/>
            </w:tcBorders>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498</w:t>
            </w:r>
          </w:p>
        </w:tc>
        <w:tc>
          <w:tcPr>
            <w:tcW w:w="180" w:type="dxa"/>
            <w:tcBorders>
              <w:top w:val="nil"/>
              <w:left w:val="nil"/>
              <w:bottom w:val="nil"/>
              <w:right w:val="nil"/>
            </w:tcBorders>
            <w:vAlign w:val="bottom"/>
          </w:tcPr>
          <w:p w:rsidR="0073298C" w:rsidRDefault="0073298C" w:rsidP="0073298C">
            <w:pPr>
              <w:spacing w:before="22" w:after="22"/>
              <w:ind w:left="22"/>
              <w:jc w:val="right"/>
              <w:rPr>
                <w:rFonts w:ascii="Arial" w:hAnsi="Arial" w:cs="Arial"/>
                <w:color w:val="000000"/>
                <w:sz w:val="18"/>
                <w:szCs w:val="18"/>
              </w:rPr>
            </w:pPr>
          </w:p>
          <w:p w:rsidR="0073298C" w:rsidRDefault="0073298C" w:rsidP="0073298C">
            <w:pPr>
              <w:rPr>
                <w:sz w:val="16"/>
                <w:szCs w:val="16"/>
              </w:rPr>
            </w:pPr>
            <w:r>
              <w:rPr>
                <w:sz w:val="16"/>
                <w:szCs w:val="16"/>
              </w:rPr>
              <w:t> </w:t>
            </w:r>
          </w:p>
        </w:tc>
        <w:tc>
          <w:tcPr>
            <w:tcW w:w="102" w:type="dxa"/>
            <w:tcBorders>
              <w:top w:val="nil"/>
              <w:left w:val="nil"/>
              <w:bottom w:val="nil"/>
              <w:right w:val="nil"/>
            </w:tcBorders>
            <w:vAlign w:val="bottom"/>
          </w:tcPr>
          <w:p w:rsidR="0073298C" w:rsidRDefault="0073298C" w:rsidP="0073298C">
            <w:pPr>
              <w:spacing w:before="22" w:after="22"/>
              <w:ind w:left="22" w:right="22"/>
              <w:rPr>
                <w:color w:val="000000"/>
              </w:rPr>
            </w:pPr>
            <w:r>
              <w:rPr>
                <w:color w:val="000000"/>
              </w:rPr>
              <w:t> </w:t>
            </w:r>
          </w:p>
        </w:tc>
        <w:tc>
          <w:tcPr>
            <w:tcW w:w="1332" w:type="dxa"/>
            <w:gridSpan w:val="2"/>
            <w:tcBorders>
              <w:top w:val="nil"/>
              <w:left w:val="nil"/>
              <w:bottom w:val="nil"/>
              <w:right w:val="nil"/>
            </w:tcBorders>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503</w:t>
            </w:r>
          </w:p>
        </w:tc>
        <w:tc>
          <w:tcPr>
            <w:tcW w:w="180" w:type="dxa"/>
            <w:tcBorders>
              <w:top w:val="nil"/>
              <w:left w:val="nil"/>
              <w:bottom w:val="nil"/>
              <w:right w:val="nil"/>
            </w:tcBorders>
            <w:vAlign w:val="bottom"/>
          </w:tcPr>
          <w:p w:rsidR="0073298C" w:rsidRDefault="0073298C" w:rsidP="0073298C">
            <w:pPr>
              <w:spacing w:before="22" w:after="22"/>
              <w:ind w:left="22"/>
              <w:jc w:val="right"/>
              <w:rPr>
                <w:rFonts w:ascii="Arial" w:hAnsi="Arial" w:cs="Arial"/>
                <w:color w:val="000000"/>
                <w:sz w:val="18"/>
                <w:szCs w:val="18"/>
              </w:rPr>
            </w:pPr>
          </w:p>
          <w:p w:rsidR="0073298C" w:rsidRDefault="0073298C" w:rsidP="0073298C">
            <w:pPr>
              <w:rPr>
                <w:sz w:val="16"/>
                <w:szCs w:val="16"/>
              </w:rPr>
            </w:pPr>
            <w:r>
              <w:rPr>
                <w:sz w:val="16"/>
                <w:szCs w:val="16"/>
              </w:rPr>
              <w:t> </w:t>
            </w:r>
          </w:p>
        </w:tc>
        <w:tc>
          <w:tcPr>
            <w:tcW w:w="102" w:type="dxa"/>
            <w:tcBorders>
              <w:top w:val="single" w:sz="6" w:space="0" w:color="00467E"/>
              <w:left w:val="nil"/>
              <w:bottom w:val="single" w:sz="6" w:space="0" w:color="00467E"/>
              <w:right w:val="nil"/>
            </w:tcBorders>
            <w:shd w:val="clear" w:color="00467E" w:fill="00467E"/>
            <w:vAlign w:val="bottom"/>
          </w:tcPr>
          <w:p w:rsidR="0073298C" w:rsidRDefault="0073298C" w:rsidP="0073298C">
            <w:pPr>
              <w:spacing w:before="22" w:after="22"/>
              <w:ind w:left="22" w:right="22"/>
              <w:rPr>
                <w:color w:val="000000"/>
              </w:rPr>
            </w:pPr>
            <w:r>
              <w:rPr>
                <w:color w:val="000000"/>
              </w:rPr>
              <w:t> </w:t>
            </w:r>
          </w:p>
        </w:tc>
        <w:tc>
          <w:tcPr>
            <w:tcW w:w="993" w:type="dxa"/>
            <w:tcBorders>
              <w:top w:val="nil"/>
              <w:left w:val="nil"/>
              <w:bottom w:val="nil"/>
              <w:right w:val="nil"/>
            </w:tcBorders>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(3.0</w:t>
            </w:r>
          </w:p>
        </w:tc>
        <w:tc>
          <w:tcPr>
            <w:tcW w:w="360" w:type="dxa"/>
            <w:tcBorders>
              <w:top w:val="nil"/>
              <w:left w:val="nil"/>
              <w:bottom w:val="nil"/>
              <w:right w:val="nil"/>
            </w:tcBorders>
            <w:vAlign w:val="center"/>
          </w:tcPr>
          <w:p w:rsidR="0073298C" w:rsidRDefault="0073298C" w:rsidP="0073298C">
            <w:pPr>
              <w:spacing w:before="22" w:after="22"/>
              <w:ind w:right="22"/>
              <w:rPr>
                <w:rFonts w:ascii="Arial" w:hAnsi="Arial" w:cs="Arial"/>
                <w:color w:val="000000"/>
                <w:sz w:val="18"/>
                <w:szCs w:val="18"/>
              </w:rPr>
            </w:pPr>
            <w:r>
              <w:rPr>
                <w:rFonts w:ascii="Arial" w:hAnsi="Arial" w:cs="Arial"/>
                <w:color w:val="000000"/>
                <w:sz w:val="18"/>
                <w:szCs w:val="18"/>
              </w:rPr>
              <w:t>) %</w:t>
            </w:r>
          </w:p>
        </w:tc>
        <w:tc>
          <w:tcPr>
            <w:tcW w:w="102" w:type="dxa"/>
            <w:tcBorders>
              <w:top w:val="nil"/>
              <w:left w:val="nil"/>
              <w:bottom w:val="nil"/>
              <w:right w:val="nil"/>
            </w:tcBorders>
            <w:vAlign w:val="bottom"/>
          </w:tcPr>
          <w:p w:rsidR="0073298C" w:rsidRDefault="0073298C" w:rsidP="0073298C">
            <w:pPr>
              <w:spacing w:before="22" w:after="22"/>
              <w:ind w:left="22" w:right="22"/>
              <w:rPr>
                <w:color w:val="000000"/>
              </w:rPr>
            </w:pPr>
            <w:r>
              <w:rPr>
                <w:color w:val="000000"/>
              </w:rPr>
              <w:t> </w:t>
            </w:r>
          </w:p>
        </w:tc>
        <w:tc>
          <w:tcPr>
            <w:tcW w:w="993" w:type="dxa"/>
            <w:tcBorders>
              <w:top w:val="nil"/>
              <w:left w:val="nil"/>
              <w:bottom w:val="nil"/>
              <w:right w:val="nil"/>
            </w:tcBorders>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(1.0</w:t>
            </w:r>
          </w:p>
        </w:tc>
        <w:tc>
          <w:tcPr>
            <w:tcW w:w="366" w:type="dxa"/>
            <w:gridSpan w:val="2"/>
            <w:tcBorders>
              <w:top w:val="nil"/>
              <w:left w:val="nil"/>
              <w:bottom w:val="nil"/>
              <w:right w:val="single" w:sz="6" w:space="0" w:color="00467E"/>
            </w:tcBorders>
            <w:vAlign w:val="center"/>
          </w:tcPr>
          <w:p w:rsidR="0073298C" w:rsidRDefault="0073298C" w:rsidP="0073298C">
            <w:pPr>
              <w:spacing w:before="22" w:after="22"/>
              <w:ind w:right="22"/>
              <w:rPr>
                <w:rFonts w:ascii="Arial" w:hAnsi="Arial" w:cs="Arial"/>
                <w:color w:val="000000"/>
                <w:sz w:val="18"/>
                <w:szCs w:val="18"/>
              </w:rPr>
            </w:pPr>
            <w:r>
              <w:rPr>
                <w:rFonts w:ascii="Arial" w:hAnsi="Arial" w:cs="Arial"/>
                <w:color w:val="000000"/>
                <w:sz w:val="18"/>
                <w:szCs w:val="18"/>
              </w:rPr>
              <w:t>) %</w:t>
            </w:r>
          </w:p>
        </w:tc>
      </w:tr>
      <w:tr w:rsidR="0073298C" w:rsidTr="0073298C">
        <w:tblPrEx>
          <w:tblCellMar>
            <w:top w:w="0" w:type="dxa"/>
            <w:left w:w="0" w:type="dxa"/>
            <w:bottom w:w="0" w:type="dxa"/>
            <w:right w:w="0" w:type="dxa"/>
          </w:tblCellMar>
        </w:tblPrEx>
        <w:trPr>
          <w:trHeight w:val="298"/>
          <w:jc w:val="center"/>
        </w:trPr>
        <w:tc>
          <w:tcPr>
            <w:tcW w:w="3144" w:type="dxa"/>
            <w:tcBorders>
              <w:top w:val="nil"/>
              <w:left w:val="single" w:sz="6" w:space="0" w:color="00467E"/>
              <w:bottom w:val="nil"/>
              <w:right w:val="nil"/>
            </w:tcBorders>
            <w:shd w:val="clear" w:color="CFD4D8" w:fill="CFD4D8"/>
            <w:vAlign w:val="center"/>
          </w:tcPr>
          <w:p w:rsidR="0073298C" w:rsidRDefault="0073298C" w:rsidP="0073298C">
            <w:pPr>
              <w:spacing w:before="22" w:after="22"/>
              <w:ind w:left="22" w:right="22"/>
              <w:rPr>
                <w:rFonts w:ascii="Arial" w:hAnsi="Arial" w:cs="Arial"/>
                <w:color w:val="000000"/>
                <w:sz w:val="16"/>
                <w:szCs w:val="16"/>
                <w:vertAlign w:val="superscript"/>
              </w:rPr>
            </w:pPr>
            <w:r>
              <w:rPr>
                <w:rFonts w:ascii="Arial" w:hAnsi="Arial" w:cs="Arial"/>
                <w:color w:val="000000"/>
                <w:sz w:val="18"/>
                <w:szCs w:val="18"/>
              </w:rPr>
              <w:t>Average tractors</w:t>
            </w:r>
            <w:r>
              <w:rPr>
                <w:rFonts w:ascii="Arial" w:hAnsi="Arial" w:cs="Arial"/>
                <w:color w:val="000000"/>
                <w:sz w:val="16"/>
                <w:szCs w:val="16"/>
                <w:vertAlign w:val="superscript"/>
              </w:rPr>
              <w:t> (1) (2)</w:t>
            </w:r>
          </w:p>
        </w:tc>
        <w:tc>
          <w:tcPr>
            <w:tcW w:w="1332" w:type="dxa"/>
            <w:gridSpan w:val="2"/>
            <w:tcBorders>
              <w:top w:val="nil"/>
              <w:left w:val="nil"/>
              <w:bottom w:val="nil"/>
              <w:right w:val="nil"/>
            </w:tcBorders>
            <w:shd w:val="clear" w:color="CFD4D8" w:fill="CFD4D8"/>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4,570</w:t>
            </w:r>
          </w:p>
        </w:tc>
        <w:tc>
          <w:tcPr>
            <w:tcW w:w="180" w:type="dxa"/>
            <w:tcBorders>
              <w:top w:val="nil"/>
              <w:left w:val="nil"/>
              <w:bottom w:val="nil"/>
              <w:right w:val="nil"/>
            </w:tcBorders>
            <w:shd w:val="clear" w:color="CFD4D8" w:fill="CFD4D8"/>
            <w:vAlign w:val="bottom"/>
          </w:tcPr>
          <w:p w:rsidR="0073298C" w:rsidRDefault="0073298C" w:rsidP="0073298C">
            <w:pPr>
              <w:spacing w:before="22" w:after="22"/>
              <w:ind w:left="22"/>
              <w:jc w:val="right"/>
              <w:rPr>
                <w:rFonts w:ascii="Arial" w:hAnsi="Arial" w:cs="Arial"/>
                <w:color w:val="000000"/>
                <w:sz w:val="18"/>
                <w:szCs w:val="18"/>
              </w:rPr>
            </w:pPr>
          </w:p>
          <w:p w:rsidR="0073298C" w:rsidRDefault="0073298C" w:rsidP="0073298C">
            <w:pPr>
              <w:rPr>
                <w:sz w:val="16"/>
                <w:szCs w:val="16"/>
              </w:rPr>
            </w:pPr>
            <w:r>
              <w:rPr>
                <w:sz w:val="16"/>
                <w:szCs w:val="16"/>
              </w:rPr>
              <w:t> </w:t>
            </w:r>
          </w:p>
        </w:tc>
        <w:tc>
          <w:tcPr>
            <w:tcW w:w="102" w:type="dxa"/>
            <w:tcBorders>
              <w:top w:val="nil"/>
              <w:left w:val="nil"/>
              <w:bottom w:val="nil"/>
              <w:right w:val="nil"/>
            </w:tcBorders>
            <w:shd w:val="clear" w:color="CFD4D8" w:fill="CFD4D8"/>
            <w:vAlign w:val="bottom"/>
          </w:tcPr>
          <w:p w:rsidR="0073298C" w:rsidRDefault="0073298C" w:rsidP="0073298C">
            <w:pPr>
              <w:spacing w:before="22" w:after="22"/>
              <w:ind w:left="22" w:right="22"/>
              <w:rPr>
                <w:color w:val="000000"/>
              </w:rPr>
            </w:pPr>
            <w:r>
              <w:rPr>
                <w:color w:val="000000"/>
              </w:rPr>
              <w:t> </w:t>
            </w:r>
          </w:p>
        </w:tc>
        <w:tc>
          <w:tcPr>
            <w:tcW w:w="1332" w:type="dxa"/>
            <w:gridSpan w:val="2"/>
            <w:tcBorders>
              <w:top w:val="nil"/>
              <w:left w:val="nil"/>
              <w:bottom w:val="nil"/>
              <w:right w:val="nil"/>
            </w:tcBorders>
            <w:shd w:val="clear" w:color="CFD4D8" w:fill="CFD4D8"/>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4,706</w:t>
            </w:r>
          </w:p>
        </w:tc>
        <w:tc>
          <w:tcPr>
            <w:tcW w:w="180" w:type="dxa"/>
            <w:tcBorders>
              <w:top w:val="nil"/>
              <w:left w:val="nil"/>
              <w:bottom w:val="nil"/>
              <w:right w:val="nil"/>
            </w:tcBorders>
            <w:shd w:val="clear" w:color="CFD4D8" w:fill="CFD4D8"/>
            <w:vAlign w:val="bottom"/>
          </w:tcPr>
          <w:p w:rsidR="0073298C" w:rsidRDefault="0073298C" w:rsidP="0073298C">
            <w:pPr>
              <w:spacing w:before="22" w:after="22"/>
              <w:ind w:left="22"/>
              <w:jc w:val="right"/>
              <w:rPr>
                <w:rFonts w:ascii="Arial" w:hAnsi="Arial" w:cs="Arial"/>
                <w:color w:val="000000"/>
                <w:sz w:val="18"/>
                <w:szCs w:val="18"/>
              </w:rPr>
            </w:pPr>
          </w:p>
          <w:p w:rsidR="0073298C" w:rsidRDefault="0073298C" w:rsidP="0073298C">
            <w:pPr>
              <w:rPr>
                <w:sz w:val="16"/>
                <w:szCs w:val="16"/>
              </w:rPr>
            </w:pPr>
            <w:r>
              <w:rPr>
                <w:sz w:val="16"/>
                <w:szCs w:val="16"/>
              </w:rPr>
              <w:t> </w:t>
            </w:r>
          </w:p>
        </w:tc>
        <w:tc>
          <w:tcPr>
            <w:tcW w:w="102" w:type="dxa"/>
            <w:tcBorders>
              <w:top w:val="nil"/>
              <w:left w:val="nil"/>
              <w:bottom w:val="nil"/>
              <w:right w:val="nil"/>
            </w:tcBorders>
            <w:shd w:val="clear" w:color="CFD4D8" w:fill="CFD4D8"/>
            <w:vAlign w:val="bottom"/>
          </w:tcPr>
          <w:p w:rsidR="0073298C" w:rsidRDefault="0073298C" w:rsidP="0073298C">
            <w:pPr>
              <w:spacing w:before="22" w:after="22"/>
              <w:ind w:left="22" w:right="22"/>
              <w:rPr>
                <w:color w:val="000000"/>
              </w:rPr>
            </w:pPr>
            <w:r>
              <w:rPr>
                <w:color w:val="000000"/>
              </w:rPr>
              <w:t> </w:t>
            </w:r>
          </w:p>
        </w:tc>
        <w:tc>
          <w:tcPr>
            <w:tcW w:w="1332" w:type="dxa"/>
            <w:gridSpan w:val="2"/>
            <w:tcBorders>
              <w:top w:val="nil"/>
              <w:left w:val="nil"/>
              <w:bottom w:val="nil"/>
              <w:right w:val="nil"/>
            </w:tcBorders>
            <w:shd w:val="clear" w:color="CFD4D8" w:fill="CFD4D8"/>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4,793</w:t>
            </w:r>
          </w:p>
        </w:tc>
        <w:tc>
          <w:tcPr>
            <w:tcW w:w="180" w:type="dxa"/>
            <w:tcBorders>
              <w:top w:val="nil"/>
              <w:left w:val="nil"/>
              <w:bottom w:val="nil"/>
              <w:right w:val="nil"/>
            </w:tcBorders>
            <w:shd w:val="clear" w:color="CFD4D8" w:fill="CFD4D8"/>
            <w:vAlign w:val="bottom"/>
          </w:tcPr>
          <w:p w:rsidR="0073298C" w:rsidRDefault="0073298C" w:rsidP="0073298C">
            <w:pPr>
              <w:spacing w:before="22" w:after="22"/>
              <w:ind w:left="22"/>
              <w:jc w:val="right"/>
              <w:rPr>
                <w:rFonts w:ascii="Arial" w:hAnsi="Arial" w:cs="Arial"/>
                <w:color w:val="000000"/>
                <w:sz w:val="18"/>
                <w:szCs w:val="18"/>
              </w:rPr>
            </w:pPr>
          </w:p>
          <w:p w:rsidR="0073298C" w:rsidRDefault="0073298C" w:rsidP="0073298C">
            <w:pPr>
              <w:rPr>
                <w:sz w:val="16"/>
                <w:szCs w:val="16"/>
              </w:rPr>
            </w:pPr>
            <w:r>
              <w:rPr>
                <w:sz w:val="16"/>
                <w:szCs w:val="16"/>
              </w:rPr>
              <w:t> </w:t>
            </w:r>
          </w:p>
        </w:tc>
        <w:tc>
          <w:tcPr>
            <w:tcW w:w="102" w:type="dxa"/>
            <w:tcBorders>
              <w:top w:val="single" w:sz="6" w:space="0" w:color="00467E"/>
              <w:left w:val="nil"/>
              <w:bottom w:val="nil"/>
              <w:right w:val="nil"/>
            </w:tcBorders>
            <w:shd w:val="clear" w:color="00467E" w:fill="00467E"/>
            <w:vAlign w:val="bottom"/>
          </w:tcPr>
          <w:p w:rsidR="0073298C" w:rsidRDefault="0073298C" w:rsidP="0073298C">
            <w:pPr>
              <w:spacing w:before="22" w:after="22"/>
              <w:ind w:left="22" w:right="22"/>
              <w:rPr>
                <w:color w:val="000000"/>
              </w:rPr>
            </w:pPr>
            <w:r>
              <w:rPr>
                <w:color w:val="000000"/>
              </w:rPr>
              <w:t> </w:t>
            </w:r>
          </w:p>
        </w:tc>
        <w:tc>
          <w:tcPr>
            <w:tcW w:w="993" w:type="dxa"/>
            <w:tcBorders>
              <w:top w:val="nil"/>
              <w:left w:val="nil"/>
              <w:bottom w:val="nil"/>
              <w:right w:val="nil"/>
            </w:tcBorders>
            <w:shd w:val="clear" w:color="CFD4D8" w:fill="CFD4D8"/>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(2.9</w:t>
            </w:r>
          </w:p>
        </w:tc>
        <w:tc>
          <w:tcPr>
            <w:tcW w:w="360" w:type="dxa"/>
            <w:tcBorders>
              <w:top w:val="nil"/>
              <w:left w:val="nil"/>
              <w:bottom w:val="nil"/>
              <w:right w:val="nil"/>
            </w:tcBorders>
            <w:shd w:val="clear" w:color="CFD4D8" w:fill="CFD4D8"/>
            <w:vAlign w:val="center"/>
          </w:tcPr>
          <w:p w:rsidR="0073298C" w:rsidRDefault="0073298C" w:rsidP="0073298C">
            <w:pPr>
              <w:spacing w:before="22" w:after="22"/>
              <w:ind w:right="22"/>
              <w:rPr>
                <w:rFonts w:ascii="Arial" w:hAnsi="Arial" w:cs="Arial"/>
                <w:color w:val="000000"/>
                <w:sz w:val="18"/>
                <w:szCs w:val="18"/>
              </w:rPr>
            </w:pPr>
            <w:r>
              <w:rPr>
                <w:rFonts w:ascii="Arial" w:hAnsi="Arial" w:cs="Arial"/>
                <w:color w:val="000000"/>
                <w:sz w:val="18"/>
                <w:szCs w:val="18"/>
              </w:rPr>
              <w:t>) %</w:t>
            </w:r>
          </w:p>
        </w:tc>
        <w:tc>
          <w:tcPr>
            <w:tcW w:w="102" w:type="dxa"/>
            <w:tcBorders>
              <w:top w:val="nil"/>
              <w:left w:val="nil"/>
              <w:bottom w:val="nil"/>
              <w:right w:val="nil"/>
            </w:tcBorders>
            <w:shd w:val="clear" w:color="CFD4D8" w:fill="CFD4D8"/>
            <w:vAlign w:val="bottom"/>
          </w:tcPr>
          <w:p w:rsidR="0073298C" w:rsidRDefault="0073298C" w:rsidP="0073298C">
            <w:pPr>
              <w:spacing w:before="22" w:after="22"/>
              <w:ind w:left="22" w:right="22"/>
              <w:rPr>
                <w:color w:val="000000"/>
              </w:rPr>
            </w:pPr>
            <w:r>
              <w:rPr>
                <w:color w:val="000000"/>
              </w:rPr>
              <w:t> </w:t>
            </w:r>
          </w:p>
        </w:tc>
        <w:tc>
          <w:tcPr>
            <w:tcW w:w="993" w:type="dxa"/>
            <w:tcBorders>
              <w:top w:val="nil"/>
              <w:left w:val="nil"/>
              <w:bottom w:val="nil"/>
              <w:right w:val="nil"/>
            </w:tcBorders>
            <w:shd w:val="clear" w:color="CFD4D8" w:fill="CFD4D8"/>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(1.8</w:t>
            </w:r>
          </w:p>
        </w:tc>
        <w:tc>
          <w:tcPr>
            <w:tcW w:w="366" w:type="dxa"/>
            <w:gridSpan w:val="2"/>
            <w:tcBorders>
              <w:top w:val="nil"/>
              <w:left w:val="nil"/>
              <w:bottom w:val="nil"/>
              <w:right w:val="single" w:sz="6" w:space="0" w:color="00467E"/>
            </w:tcBorders>
            <w:shd w:val="clear" w:color="CFD4D8" w:fill="CFD4D8"/>
            <w:vAlign w:val="center"/>
          </w:tcPr>
          <w:p w:rsidR="0073298C" w:rsidRDefault="0073298C" w:rsidP="0073298C">
            <w:pPr>
              <w:spacing w:before="22" w:after="22"/>
              <w:ind w:right="22"/>
              <w:rPr>
                <w:rFonts w:ascii="Arial" w:hAnsi="Arial" w:cs="Arial"/>
                <w:color w:val="000000"/>
                <w:sz w:val="18"/>
                <w:szCs w:val="18"/>
              </w:rPr>
            </w:pPr>
            <w:r>
              <w:rPr>
                <w:rFonts w:ascii="Arial" w:hAnsi="Arial" w:cs="Arial"/>
                <w:color w:val="000000"/>
                <w:sz w:val="18"/>
                <w:szCs w:val="18"/>
              </w:rPr>
              <w:t>) %</w:t>
            </w:r>
          </w:p>
        </w:tc>
      </w:tr>
      <w:tr w:rsidR="0073298C" w:rsidTr="0073298C">
        <w:tblPrEx>
          <w:tblCellMar>
            <w:top w:w="0" w:type="dxa"/>
            <w:left w:w="0" w:type="dxa"/>
            <w:bottom w:w="0" w:type="dxa"/>
            <w:right w:w="0" w:type="dxa"/>
          </w:tblCellMar>
        </w:tblPrEx>
        <w:trPr>
          <w:trHeight w:val="298"/>
          <w:jc w:val="center"/>
        </w:trPr>
        <w:tc>
          <w:tcPr>
            <w:tcW w:w="3144" w:type="dxa"/>
            <w:tcBorders>
              <w:top w:val="nil"/>
              <w:left w:val="single" w:sz="6" w:space="0" w:color="00467E"/>
              <w:bottom w:val="single" w:sz="6" w:space="0" w:color="00467E"/>
              <w:right w:val="nil"/>
            </w:tcBorders>
            <w:vAlign w:val="center"/>
          </w:tcPr>
          <w:p w:rsidR="0073298C" w:rsidRDefault="0073298C" w:rsidP="0073298C">
            <w:pPr>
              <w:spacing w:before="22" w:after="22"/>
              <w:ind w:left="22" w:right="22"/>
              <w:rPr>
                <w:rFonts w:ascii="Arial" w:hAnsi="Arial" w:cs="Arial"/>
                <w:color w:val="000000"/>
                <w:sz w:val="16"/>
                <w:szCs w:val="16"/>
                <w:vertAlign w:val="superscript"/>
              </w:rPr>
            </w:pPr>
            <w:r>
              <w:rPr>
                <w:rFonts w:ascii="Arial" w:hAnsi="Arial" w:cs="Arial"/>
                <w:color w:val="000000"/>
                <w:sz w:val="18"/>
                <w:szCs w:val="18"/>
              </w:rPr>
              <w:t>Average trailers</w:t>
            </w:r>
            <w:r>
              <w:rPr>
                <w:rFonts w:ascii="Arial" w:hAnsi="Arial" w:cs="Arial"/>
                <w:color w:val="000000"/>
                <w:sz w:val="16"/>
                <w:szCs w:val="16"/>
                <w:vertAlign w:val="superscript"/>
              </w:rPr>
              <w:t> (1) (3)</w:t>
            </w:r>
          </w:p>
        </w:tc>
        <w:tc>
          <w:tcPr>
            <w:tcW w:w="1332" w:type="dxa"/>
            <w:gridSpan w:val="2"/>
            <w:tcBorders>
              <w:top w:val="nil"/>
              <w:left w:val="nil"/>
              <w:bottom w:val="single" w:sz="6" w:space="0" w:color="00467E"/>
              <w:right w:val="nil"/>
            </w:tcBorders>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12,383</w:t>
            </w:r>
          </w:p>
        </w:tc>
        <w:tc>
          <w:tcPr>
            <w:tcW w:w="180" w:type="dxa"/>
            <w:tcBorders>
              <w:top w:val="nil"/>
              <w:left w:val="nil"/>
              <w:bottom w:val="single" w:sz="6" w:space="0" w:color="00467E"/>
              <w:right w:val="nil"/>
            </w:tcBorders>
            <w:vAlign w:val="bottom"/>
          </w:tcPr>
          <w:p w:rsidR="0073298C" w:rsidRDefault="0073298C" w:rsidP="0073298C">
            <w:pPr>
              <w:spacing w:before="22" w:after="22"/>
              <w:ind w:left="22"/>
              <w:jc w:val="right"/>
              <w:rPr>
                <w:rFonts w:ascii="Arial" w:hAnsi="Arial" w:cs="Arial"/>
                <w:color w:val="000000"/>
                <w:sz w:val="18"/>
                <w:szCs w:val="18"/>
              </w:rPr>
            </w:pPr>
          </w:p>
          <w:p w:rsidR="0073298C" w:rsidRDefault="0073298C" w:rsidP="0073298C">
            <w:pPr>
              <w:rPr>
                <w:sz w:val="16"/>
                <w:szCs w:val="16"/>
              </w:rPr>
            </w:pPr>
            <w:r>
              <w:rPr>
                <w:sz w:val="16"/>
                <w:szCs w:val="16"/>
              </w:rPr>
              <w:t> </w:t>
            </w:r>
          </w:p>
        </w:tc>
        <w:tc>
          <w:tcPr>
            <w:tcW w:w="102" w:type="dxa"/>
            <w:tcBorders>
              <w:top w:val="nil"/>
              <w:left w:val="nil"/>
              <w:bottom w:val="single" w:sz="6" w:space="0" w:color="00467E"/>
              <w:right w:val="nil"/>
            </w:tcBorders>
            <w:vAlign w:val="bottom"/>
          </w:tcPr>
          <w:p w:rsidR="0073298C" w:rsidRDefault="0073298C" w:rsidP="0073298C">
            <w:pPr>
              <w:spacing w:before="22" w:after="22"/>
              <w:ind w:left="22" w:right="22"/>
              <w:rPr>
                <w:color w:val="000000"/>
              </w:rPr>
            </w:pPr>
            <w:r>
              <w:rPr>
                <w:color w:val="000000"/>
              </w:rPr>
              <w:t> </w:t>
            </w:r>
          </w:p>
        </w:tc>
        <w:tc>
          <w:tcPr>
            <w:tcW w:w="1332" w:type="dxa"/>
            <w:gridSpan w:val="2"/>
            <w:tcBorders>
              <w:top w:val="nil"/>
              <w:left w:val="nil"/>
              <w:bottom w:val="single" w:sz="6" w:space="0" w:color="00467E"/>
              <w:right w:val="nil"/>
            </w:tcBorders>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12,288</w:t>
            </w:r>
          </w:p>
        </w:tc>
        <w:tc>
          <w:tcPr>
            <w:tcW w:w="180" w:type="dxa"/>
            <w:tcBorders>
              <w:top w:val="nil"/>
              <w:left w:val="nil"/>
              <w:bottom w:val="single" w:sz="6" w:space="0" w:color="00467E"/>
              <w:right w:val="nil"/>
            </w:tcBorders>
            <w:vAlign w:val="bottom"/>
          </w:tcPr>
          <w:p w:rsidR="0073298C" w:rsidRDefault="0073298C" w:rsidP="0073298C">
            <w:pPr>
              <w:spacing w:before="22" w:after="22"/>
              <w:ind w:left="22"/>
              <w:jc w:val="right"/>
              <w:rPr>
                <w:rFonts w:ascii="Arial" w:hAnsi="Arial" w:cs="Arial"/>
                <w:color w:val="000000"/>
                <w:sz w:val="18"/>
                <w:szCs w:val="18"/>
              </w:rPr>
            </w:pPr>
          </w:p>
          <w:p w:rsidR="0073298C" w:rsidRDefault="0073298C" w:rsidP="0073298C">
            <w:pPr>
              <w:rPr>
                <w:sz w:val="16"/>
                <w:szCs w:val="16"/>
              </w:rPr>
            </w:pPr>
            <w:r>
              <w:rPr>
                <w:sz w:val="16"/>
                <w:szCs w:val="16"/>
              </w:rPr>
              <w:t> </w:t>
            </w:r>
          </w:p>
        </w:tc>
        <w:tc>
          <w:tcPr>
            <w:tcW w:w="102" w:type="dxa"/>
            <w:tcBorders>
              <w:top w:val="nil"/>
              <w:left w:val="nil"/>
              <w:bottom w:val="single" w:sz="6" w:space="0" w:color="00467E"/>
              <w:right w:val="nil"/>
            </w:tcBorders>
            <w:vAlign w:val="bottom"/>
          </w:tcPr>
          <w:p w:rsidR="0073298C" w:rsidRDefault="0073298C" w:rsidP="0073298C">
            <w:pPr>
              <w:spacing w:before="22" w:after="22"/>
              <w:ind w:left="22" w:right="22"/>
              <w:rPr>
                <w:color w:val="000000"/>
              </w:rPr>
            </w:pPr>
            <w:r>
              <w:rPr>
                <w:color w:val="000000"/>
              </w:rPr>
              <w:t> </w:t>
            </w:r>
          </w:p>
        </w:tc>
        <w:tc>
          <w:tcPr>
            <w:tcW w:w="1332" w:type="dxa"/>
            <w:gridSpan w:val="2"/>
            <w:tcBorders>
              <w:top w:val="nil"/>
              <w:left w:val="nil"/>
              <w:bottom w:val="single" w:sz="6" w:space="0" w:color="00467E"/>
              <w:right w:val="nil"/>
            </w:tcBorders>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11,789</w:t>
            </w:r>
          </w:p>
        </w:tc>
        <w:tc>
          <w:tcPr>
            <w:tcW w:w="180" w:type="dxa"/>
            <w:tcBorders>
              <w:top w:val="nil"/>
              <w:left w:val="nil"/>
              <w:bottom w:val="single" w:sz="6" w:space="0" w:color="00467E"/>
              <w:right w:val="nil"/>
            </w:tcBorders>
            <w:vAlign w:val="bottom"/>
          </w:tcPr>
          <w:p w:rsidR="0073298C" w:rsidRDefault="0073298C" w:rsidP="0073298C">
            <w:pPr>
              <w:spacing w:before="22" w:after="22"/>
              <w:ind w:left="22"/>
              <w:jc w:val="right"/>
              <w:rPr>
                <w:rFonts w:ascii="Arial" w:hAnsi="Arial" w:cs="Arial"/>
                <w:color w:val="000000"/>
                <w:sz w:val="18"/>
                <w:szCs w:val="18"/>
              </w:rPr>
            </w:pPr>
          </w:p>
          <w:p w:rsidR="0073298C" w:rsidRDefault="0073298C" w:rsidP="0073298C">
            <w:pPr>
              <w:rPr>
                <w:sz w:val="16"/>
                <w:szCs w:val="16"/>
              </w:rPr>
            </w:pPr>
            <w:r>
              <w:rPr>
                <w:sz w:val="16"/>
                <w:szCs w:val="16"/>
              </w:rPr>
              <w:t> </w:t>
            </w:r>
          </w:p>
        </w:tc>
        <w:tc>
          <w:tcPr>
            <w:tcW w:w="102" w:type="dxa"/>
            <w:tcBorders>
              <w:top w:val="single" w:sz="6" w:space="0" w:color="00467E"/>
              <w:left w:val="nil"/>
              <w:bottom w:val="single" w:sz="6" w:space="0" w:color="00467E"/>
              <w:right w:val="nil"/>
            </w:tcBorders>
            <w:shd w:val="clear" w:color="00467E" w:fill="00467E"/>
            <w:vAlign w:val="bottom"/>
          </w:tcPr>
          <w:p w:rsidR="0073298C" w:rsidRDefault="0073298C" w:rsidP="0073298C">
            <w:pPr>
              <w:spacing w:before="22" w:after="22"/>
              <w:ind w:left="22" w:right="22"/>
              <w:rPr>
                <w:color w:val="000000"/>
              </w:rPr>
            </w:pPr>
            <w:r>
              <w:rPr>
                <w:color w:val="000000"/>
              </w:rPr>
              <w:t> </w:t>
            </w:r>
          </w:p>
        </w:tc>
        <w:tc>
          <w:tcPr>
            <w:tcW w:w="993" w:type="dxa"/>
            <w:tcBorders>
              <w:top w:val="nil"/>
              <w:left w:val="nil"/>
              <w:bottom w:val="single" w:sz="6" w:space="0" w:color="00467E"/>
              <w:right w:val="nil"/>
            </w:tcBorders>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0.8</w:t>
            </w:r>
          </w:p>
        </w:tc>
        <w:tc>
          <w:tcPr>
            <w:tcW w:w="360" w:type="dxa"/>
            <w:tcBorders>
              <w:top w:val="nil"/>
              <w:left w:val="nil"/>
              <w:bottom w:val="single" w:sz="6" w:space="0" w:color="00467E"/>
              <w:right w:val="nil"/>
            </w:tcBorders>
            <w:vAlign w:val="center"/>
          </w:tcPr>
          <w:p w:rsidR="0073298C" w:rsidRDefault="0073298C" w:rsidP="0073298C">
            <w:pPr>
              <w:spacing w:before="22" w:after="22"/>
              <w:ind w:right="22"/>
              <w:rPr>
                <w:rFonts w:ascii="Arial" w:hAnsi="Arial" w:cs="Arial"/>
                <w:color w:val="000000"/>
                <w:sz w:val="18"/>
                <w:szCs w:val="18"/>
              </w:rPr>
            </w:pPr>
            <w:r>
              <w:rPr>
                <w:rFonts w:ascii="Arial" w:hAnsi="Arial" w:cs="Arial"/>
                <w:color w:val="000000"/>
                <w:sz w:val="18"/>
                <w:szCs w:val="18"/>
              </w:rPr>
              <w:t>  %</w:t>
            </w:r>
          </w:p>
        </w:tc>
        <w:tc>
          <w:tcPr>
            <w:tcW w:w="102" w:type="dxa"/>
            <w:tcBorders>
              <w:top w:val="nil"/>
              <w:left w:val="nil"/>
              <w:bottom w:val="single" w:sz="6" w:space="0" w:color="00467E"/>
              <w:right w:val="nil"/>
            </w:tcBorders>
            <w:vAlign w:val="bottom"/>
          </w:tcPr>
          <w:p w:rsidR="0073298C" w:rsidRDefault="0073298C" w:rsidP="0073298C">
            <w:pPr>
              <w:spacing w:before="22" w:after="22"/>
              <w:ind w:left="22" w:right="22"/>
              <w:rPr>
                <w:color w:val="000000"/>
              </w:rPr>
            </w:pPr>
            <w:r>
              <w:rPr>
                <w:color w:val="000000"/>
              </w:rPr>
              <w:t> </w:t>
            </w:r>
          </w:p>
        </w:tc>
        <w:tc>
          <w:tcPr>
            <w:tcW w:w="993" w:type="dxa"/>
            <w:tcBorders>
              <w:top w:val="nil"/>
              <w:left w:val="nil"/>
              <w:bottom w:val="single" w:sz="6" w:space="0" w:color="00467E"/>
              <w:right w:val="nil"/>
            </w:tcBorders>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4.2</w:t>
            </w:r>
          </w:p>
        </w:tc>
        <w:tc>
          <w:tcPr>
            <w:tcW w:w="366" w:type="dxa"/>
            <w:gridSpan w:val="2"/>
            <w:tcBorders>
              <w:top w:val="nil"/>
              <w:left w:val="nil"/>
              <w:bottom w:val="single" w:sz="6" w:space="0" w:color="00467E"/>
              <w:right w:val="single" w:sz="6" w:space="0" w:color="00467E"/>
            </w:tcBorders>
            <w:vAlign w:val="center"/>
          </w:tcPr>
          <w:p w:rsidR="0073298C" w:rsidRDefault="0073298C" w:rsidP="0073298C">
            <w:pPr>
              <w:spacing w:before="22" w:after="22"/>
              <w:ind w:right="22"/>
              <w:rPr>
                <w:rFonts w:ascii="Arial" w:hAnsi="Arial" w:cs="Arial"/>
                <w:color w:val="000000"/>
                <w:sz w:val="18"/>
                <w:szCs w:val="18"/>
              </w:rPr>
            </w:pPr>
            <w:r>
              <w:rPr>
                <w:rFonts w:ascii="Arial" w:hAnsi="Arial" w:cs="Arial"/>
                <w:color w:val="000000"/>
                <w:sz w:val="18"/>
                <w:szCs w:val="18"/>
              </w:rPr>
              <w:t>  %</w:t>
            </w:r>
          </w:p>
        </w:tc>
      </w:tr>
    </w:tbl>
    <w:p w:rsidR="0073298C" w:rsidRDefault="0073298C" w:rsidP="000E3B20">
      <w:pPr>
        <w:rPr>
          <w:rFonts w:ascii="Arial" w:hAnsi="Arial" w:cs="Arial"/>
          <w:b/>
          <w:bCs w:val="0"/>
          <w:color w:val="000000"/>
          <w:sz w:val="18"/>
          <w:szCs w:val="18"/>
        </w:rPr>
      </w:pPr>
    </w:p>
    <w:p w:rsidR="0073298C" w:rsidRDefault="0073298C" w:rsidP="0073298C">
      <w:pPr>
        <w:spacing w:after="132"/>
        <w:jc w:val="both"/>
        <w:rPr>
          <w:rFonts w:ascii="Arial" w:hAnsi="Arial" w:cs="Arial"/>
          <w:color w:val="000000"/>
          <w:sz w:val="18"/>
          <w:szCs w:val="18"/>
        </w:rPr>
      </w:pPr>
      <w:r>
        <w:rPr>
          <w:rFonts w:ascii="Arial" w:hAnsi="Arial" w:cs="Arial"/>
          <w:i/>
          <w:iCs/>
          <w:color w:val="000000"/>
          <w:sz w:val="18"/>
          <w:szCs w:val="18"/>
        </w:rPr>
        <w:t>2017 Compared to 2016—</w:t>
      </w:r>
      <w:r>
        <w:rPr>
          <w:rFonts w:ascii="Arial" w:hAnsi="Arial" w:cs="Arial"/>
          <w:color w:val="000000"/>
          <w:sz w:val="18"/>
          <w:szCs w:val="18"/>
        </w:rPr>
        <w:t>TheKnight Trucking segment total revenue increased $6.1 million, consisting of an $18.8 million increase in fuel surcharge revenue from higher average fuel prices, partially offset by a $12.7 million decrease in revenue, net of fuel surcharge and intersegment transactions. Average revenue per loaded mile increased 4.3% due to an increase in non-contract opportunities and rates during the year. This was partially offset by a 2.4% decrease in average miles per tractor, a difficult driver market, and other network disruptions, thus resulting in a 1.4% increase in average revenue per tractor. Additionally, non-paid empty miles increased, as a percentage of total miles.</w:t>
      </w:r>
    </w:p>
    <w:p w:rsidR="0073298C" w:rsidRDefault="0073298C" w:rsidP="0073298C">
      <w:pPr>
        <w:spacing w:after="132"/>
        <w:jc w:val="both"/>
        <w:rPr>
          <w:rFonts w:ascii="Arial" w:hAnsi="Arial" w:cs="Arial"/>
          <w:color w:val="000000"/>
          <w:sz w:val="18"/>
          <w:szCs w:val="18"/>
        </w:rPr>
      </w:pPr>
      <w:r>
        <w:rPr>
          <w:rFonts w:ascii="Arial" w:hAnsi="Arial" w:cs="Arial"/>
          <w:color w:val="000000"/>
          <w:sz w:val="18"/>
          <w:szCs w:val="18"/>
        </w:rPr>
        <w:t>Operating ratio and Adjusted Operating Ratio increased, as driving associate-related costs and less gain on sale of equipment continued to present cost headwinds in the Knight Trucking segment, and are continuing to be challenging in 2018. Our focus in the Knight Trucking segment remains on developing our freight network, improving the productivity of our assets, and controlling costs, in areas where we have experienced higher than normal inflation, such as maintenance, driving associate pay, and professional fees.</w:t>
      </w:r>
    </w:p>
    <w:p w:rsidR="0073298C" w:rsidRDefault="0073298C" w:rsidP="0073298C">
      <w:pPr>
        <w:spacing w:after="132"/>
        <w:jc w:val="both"/>
        <w:rPr>
          <w:rFonts w:ascii="Arial" w:hAnsi="Arial" w:cs="Arial"/>
          <w:color w:val="000000"/>
          <w:sz w:val="18"/>
          <w:szCs w:val="18"/>
        </w:rPr>
      </w:pPr>
      <w:r>
        <w:rPr>
          <w:rFonts w:ascii="Arial" w:hAnsi="Arial" w:cs="Arial"/>
          <w:color w:val="000000"/>
          <w:sz w:val="18"/>
          <w:szCs w:val="18"/>
        </w:rPr>
        <w:t>Knight Trucking depreciation and amortization of property and equipment as a percentage of Knight Trucking revenue, net of fuel surcharge and intersegment transactions remained relatively flat in 2017, compared to 2016. Rising new equipment prices in 2017 caused expense to increase; however, this was offset by a decrease in the segment's tractor to trailer ratio and older fleet.</w:t>
      </w:r>
    </w:p>
    <w:p w:rsidR="0073298C" w:rsidRDefault="0073298C" w:rsidP="0073298C">
      <w:pPr>
        <w:spacing w:after="132"/>
        <w:jc w:val="both"/>
        <w:rPr>
          <w:rFonts w:ascii="Arial" w:hAnsi="Arial" w:cs="Arial"/>
          <w:color w:val="000000"/>
          <w:sz w:val="18"/>
          <w:szCs w:val="18"/>
        </w:rPr>
      </w:pPr>
      <w:r>
        <w:rPr>
          <w:rFonts w:ascii="Arial" w:hAnsi="Arial" w:cs="Arial"/>
          <w:color w:val="000000"/>
          <w:sz w:val="18"/>
          <w:szCs w:val="18"/>
        </w:rPr>
        <w:t>Knight Trucking purchased transportation expense as a percentage of Knight Trucking revenue, net of fuel surcharge and intersegment transactions increased 80 basis points to 7.9% in 2017. This increase was predominately related to increases in fuel reimbursements to our independent contractors due to the increase in average diesel fuel prices, as well as a 2.8% increase in miles driven by independent contractors.</w:t>
      </w:r>
    </w:p>
    <w:p w:rsidR="0073298C" w:rsidRDefault="0073298C" w:rsidP="0073298C">
      <w:pPr>
        <w:spacing w:after="132"/>
        <w:jc w:val="both"/>
        <w:rPr>
          <w:rFonts w:ascii="Arial" w:hAnsi="Arial" w:cs="Arial"/>
          <w:color w:val="000000"/>
          <w:sz w:val="18"/>
          <w:szCs w:val="18"/>
        </w:rPr>
      </w:pPr>
      <w:r>
        <w:rPr>
          <w:rFonts w:ascii="Arial" w:hAnsi="Arial" w:cs="Arial"/>
          <w:i/>
          <w:iCs/>
          <w:color w:val="000000"/>
          <w:sz w:val="18"/>
          <w:szCs w:val="18"/>
        </w:rPr>
        <w:t>2016 Compared to 2015</w:t>
      </w:r>
      <w:r>
        <w:rPr>
          <w:rFonts w:ascii="Arial" w:hAnsi="Arial" w:cs="Arial"/>
          <w:color w:val="000000"/>
          <w:sz w:val="18"/>
          <w:szCs w:val="18"/>
        </w:rPr>
        <w:t xml:space="preserve"> —Knight Trucking segment total revenue decreased $51.7 million, consisting of a $31.3 million decrease in fuel surcharge revenue driven by lower average fuel prices and a $20.4 million decrease in revenue, net of fuel surcharge and intersegment transactions. Average miles per tractor increased 1.4% in 2016, compared to 2015. However, this improvement was offset by a 1.5% decrease in average revenue per loaded mile, and an increase in non-paid empty miles percentage rate to 12.5% from 12.0%. This negatively affected our tractor productivity, as measured by average revenue per tractor, net of fuel surcharge, which decreased by 0.7% in 2016, compared to 2015.</w:t>
      </w:r>
    </w:p>
    <w:p w:rsidR="0073298C" w:rsidRDefault="0073298C" w:rsidP="0073298C">
      <w:pPr>
        <w:spacing w:after="132"/>
        <w:jc w:val="both"/>
        <w:rPr>
          <w:rFonts w:ascii="Arial" w:hAnsi="Arial" w:cs="Arial"/>
          <w:color w:val="000000"/>
          <w:sz w:val="18"/>
          <w:szCs w:val="18"/>
        </w:rPr>
      </w:pPr>
      <w:r>
        <w:rPr>
          <w:rFonts w:ascii="Arial" w:hAnsi="Arial" w:cs="Arial"/>
          <w:color w:val="000000"/>
          <w:sz w:val="18"/>
          <w:szCs w:val="18"/>
        </w:rPr>
        <w:lastRenderedPageBreak/>
        <w:t>Operating ratio and Adjusted Operating Ratio increased from 2015 to 2016. Higher net fuel expense, less gain on sale of revenue equipment, and higher driving associate-related expenses were the main factors negatively affecting our 2016 operating results when compared to the prior year.</w:t>
      </w:r>
    </w:p>
    <w:p w:rsidR="000E3B20" w:rsidRDefault="0073298C" w:rsidP="000E3B20">
      <w:pPr>
        <w:spacing w:after="132"/>
        <w:jc w:val="both"/>
      </w:pPr>
      <w:r>
        <w:rPr>
          <w:rFonts w:ascii="Arial" w:hAnsi="Arial" w:cs="Arial"/>
          <w:color w:val="000000"/>
          <w:sz w:val="18"/>
          <w:szCs w:val="18"/>
        </w:rPr>
        <w:t>Depreciation and amortization expense for the Knight Trucking segment, as a percentage of Knight Trucking revenue, was 13.8% in 2016, compared to 12.9% in 2015. Factors contributing to the increase were the decrease in average revenue per tractor, rising new equipment prices, and an increase in our tractor to trailer ratio.</w:t>
      </w:r>
      <w:r w:rsidR="000E3B20">
        <w:t xml:space="preserve"> </w:t>
      </w:r>
    </w:p>
    <w:p w:rsidR="0073298C" w:rsidRDefault="0073298C" w:rsidP="000E3B20">
      <w:pPr>
        <w:pStyle w:val="Heading2"/>
      </w:pPr>
      <w:bookmarkStart w:id="34" w:name="_Toc526330229"/>
      <w:r>
        <w:t>Knight Logistics Segment</w:t>
      </w:r>
      <w:bookmarkEnd w:id="34"/>
    </w:p>
    <w:p w:rsidR="0073298C" w:rsidRDefault="0073298C" w:rsidP="0073298C">
      <w:pPr>
        <w:spacing w:after="132"/>
        <w:jc w:val="both"/>
        <w:rPr>
          <w:rFonts w:ascii="Arial" w:hAnsi="Arial" w:cs="Arial"/>
          <w:color w:val="000000"/>
          <w:sz w:val="18"/>
          <w:szCs w:val="18"/>
        </w:rPr>
      </w:pPr>
      <w:r>
        <w:rPr>
          <w:rFonts w:ascii="Arial" w:hAnsi="Arial" w:cs="Arial"/>
          <w:color w:val="000000"/>
          <w:sz w:val="18"/>
          <w:szCs w:val="18"/>
        </w:rPr>
        <w:t>The Knight Logistics segment is less asset-intensive than the trucking segments and is instead dependent upon capable non-driver employees, modern and effective information technology, and third-party capacity providers. Knight Logistics' revenue is generated primarily by its brokerage and intermodal operating units. We also provide logistics, freight management and other non-trucking services to our customers through our Knight Logistics segment. We generate additional revenue by offering specialized logistics solutions (including, but not limited to, origin management, surge volume, disaster relief, special projects, and other logistic needs). Knight Logistics' revenue is mainly affected by the rates we obtain from customers, the freight volumes we ship through third-party capacity providers, and our ability to secure third-party capacity providers to transport customer freight.</w:t>
      </w:r>
    </w:p>
    <w:p w:rsidR="0073298C" w:rsidRDefault="0073298C" w:rsidP="0073298C">
      <w:pPr>
        <w:jc w:val="both"/>
        <w:rPr>
          <w:rFonts w:ascii="Arial" w:hAnsi="Arial" w:cs="Arial"/>
          <w:color w:val="000000"/>
          <w:sz w:val="18"/>
          <w:szCs w:val="18"/>
        </w:rPr>
      </w:pPr>
      <w:r>
        <w:rPr>
          <w:rFonts w:ascii="Arial" w:hAnsi="Arial" w:cs="Arial"/>
          <w:color w:val="000000"/>
          <w:sz w:val="18"/>
          <w:szCs w:val="18"/>
        </w:rPr>
        <w:t>The most significant expense in the Knight Logistics segment is the (primarily) variable cost of purchased transportation that we pay to third-party capacity providers (including rail providers), included in "Purchased transportation" in the consolidated income statements. This expense generally varies depending upon truckload and rail capacity, availability of third-party capacity providers, rates charged to customers, and current freight demand and customer shipping needs. Other Knight Logistics operating expenses are generally fixed and primarily include non-driver employee compensation and benefits recorded in "Salaries, wages, and benefits" in the consolidated income statements, and depreciation and amortization expense recorded in "Depreciation and amortization of property and equipment."</w:t>
      </w:r>
    </w:p>
    <w:tbl>
      <w:tblPr>
        <w:tblW w:w="0" w:type="auto"/>
        <w:jc w:val="center"/>
        <w:tblLayout w:type="fixed"/>
        <w:tblCellMar>
          <w:left w:w="0" w:type="dxa"/>
          <w:right w:w="0" w:type="dxa"/>
        </w:tblCellMar>
        <w:tblLook w:val="0000"/>
      </w:tblPr>
      <w:tblGrid>
        <w:gridCol w:w="3087"/>
        <w:gridCol w:w="120"/>
        <w:gridCol w:w="1197"/>
        <w:gridCol w:w="180"/>
        <w:gridCol w:w="101"/>
        <w:gridCol w:w="120"/>
        <w:gridCol w:w="1197"/>
        <w:gridCol w:w="180"/>
        <w:gridCol w:w="101"/>
        <w:gridCol w:w="120"/>
        <w:gridCol w:w="1197"/>
        <w:gridCol w:w="182"/>
        <w:gridCol w:w="101"/>
        <w:gridCol w:w="1015"/>
        <w:gridCol w:w="410"/>
        <w:gridCol w:w="101"/>
        <w:gridCol w:w="977"/>
        <w:gridCol w:w="411"/>
        <w:gridCol w:w="6"/>
      </w:tblGrid>
      <w:tr w:rsidR="0073298C" w:rsidTr="0073298C">
        <w:tblPrEx>
          <w:tblCellMar>
            <w:top w:w="0" w:type="dxa"/>
            <w:left w:w="0" w:type="dxa"/>
            <w:bottom w:w="0" w:type="dxa"/>
            <w:right w:w="0" w:type="dxa"/>
          </w:tblCellMar>
        </w:tblPrEx>
        <w:trPr>
          <w:trHeight w:val="66"/>
          <w:jc w:val="center"/>
        </w:trPr>
        <w:tc>
          <w:tcPr>
            <w:tcW w:w="10800" w:type="dxa"/>
            <w:gridSpan w:val="19"/>
            <w:tcBorders>
              <w:top w:val="nil"/>
              <w:left w:val="nil"/>
              <w:bottom w:val="nil"/>
              <w:right w:val="nil"/>
            </w:tcBorders>
            <w:vAlign w:val="center"/>
          </w:tcPr>
          <w:p w:rsidR="0073298C" w:rsidRDefault="0073298C" w:rsidP="0073298C">
            <w:pPr>
              <w:rPr>
                <w:sz w:val="16"/>
                <w:szCs w:val="16"/>
              </w:rPr>
            </w:pPr>
            <w:r>
              <w:rPr>
                <w:sz w:val="16"/>
                <w:szCs w:val="16"/>
              </w:rPr>
              <w:t> </w:t>
            </w:r>
          </w:p>
        </w:tc>
      </w:tr>
      <w:tr w:rsidR="0073298C" w:rsidTr="0073298C">
        <w:tblPrEx>
          <w:tblCellMar>
            <w:top w:w="0" w:type="dxa"/>
            <w:left w:w="0" w:type="dxa"/>
            <w:bottom w:w="0" w:type="dxa"/>
            <w:right w:w="0" w:type="dxa"/>
          </w:tblCellMar>
        </w:tblPrEx>
        <w:trPr>
          <w:trHeight w:val="66"/>
          <w:jc w:val="center"/>
        </w:trPr>
        <w:tc>
          <w:tcPr>
            <w:tcW w:w="3087" w:type="dxa"/>
            <w:tcBorders>
              <w:top w:val="nil"/>
              <w:left w:val="nil"/>
              <w:bottom w:val="nil"/>
              <w:right w:val="nil"/>
            </w:tcBorders>
            <w:vAlign w:val="center"/>
          </w:tcPr>
          <w:p w:rsidR="0073298C" w:rsidRDefault="0073298C" w:rsidP="0073298C">
            <w:pPr>
              <w:rPr>
                <w:sz w:val="16"/>
                <w:szCs w:val="16"/>
              </w:rPr>
            </w:pPr>
            <w:r>
              <w:rPr>
                <w:sz w:val="16"/>
                <w:szCs w:val="16"/>
              </w:rPr>
              <w:t> </w:t>
            </w:r>
          </w:p>
        </w:tc>
        <w:tc>
          <w:tcPr>
            <w:tcW w:w="120" w:type="dxa"/>
            <w:tcBorders>
              <w:top w:val="nil"/>
              <w:left w:val="nil"/>
              <w:bottom w:val="nil"/>
              <w:right w:val="nil"/>
            </w:tcBorders>
            <w:vAlign w:val="center"/>
          </w:tcPr>
          <w:p w:rsidR="0073298C" w:rsidRDefault="0073298C" w:rsidP="0073298C">
            <w:pPr>
              <w:rPr>
                <w:sz w:val="16"/>
                <w:szCs w:val="16"/>
              </w:rPr>
            </w:pPr>
            <w:r>
              <w:rPr>
                <w:sz w:val="16"/>
                <w:szCs w:val="16"/>
              </w:rPr>
              <w:t> </w:t>
            </w:r>
          </w:p>
        </w:tc>
        <w:tc>
          <w:tcPr>
            <w:tcW w:w="1197" w:type="dxa"/>
            <w:tcBorders>
              <w:top w:val="nil"/>
              <w:left w:val="nil"/>
              <w:bottom w:val="nil"/>
              <w:right w:val="nil"/>
            </w:tcBorders>
            <w:vAlign w:val="center"/>
          </w:tcPr>
          <w:p w:rsidR="0073298C" w:rsidRDefault="0073298C" w:rsidP="0073298C">
            <w:pPr>
              <w:rPr>
                <w:sz w:val="16"/>
                <w:szCs w:val="16"/>
              </w:rPr>
            </w:pPr>
            <w:r>
              <w:rPr>
                <w:sz w:val="16"/>
                <w:szCs w:val="16"/>
              </w:rPr>
              <w:t> </w:t>
            </w:r>
          </w:p>
        </w:tc>
        <w:tc>
          <w:tcPr>
            <w:tcW w:w="180" w:type="dxa"/>
            <w:tcBorders>
              <w:top w:val="nil"/>
              <w:left w:val="nil"/>
              <w:bottom w:val="nil"/>
              <w:right w:val="nil"/>
            </w:tcBorders>
            <w:vAlign w:val="center"/>
          </w:tcPr>
          <w:p w:rsidR="0073298C" w:rsidRDefault="0073298C" w:rsidP="0073298C">
            <w:pPr>
              <w:rPr>
                <w:sz w:val="16"/>
                <w:szCs w:val="16"/>
              </w:rPr>
            </w:pPr>
            <w:r>
              <w:rPr>
                <w:sz w:val="16"/>
                <w:szCs w:val="16"/>
              </w:rPr>
              <w:t> </w:t>
            </w:r>
          </w:p>
        </w:tc>
        <w:tc>
          <w:tcPr>
            <w:tcW w:w="101" w:type="dxa"/>
            <w:tcBorders>
              <w:top w:val="nil"/>
              <w:left w:val="nil"/>
              <w:bottom w:val="nil"/>
              <w:right w:val="nil"/>
            </w:tcBorders>
            <w:vAlign w:val="center"/>
          </w:tcPr>
          <w:p w:rsidR="0073298C" w:rsidRDefault="0073298C" w:rsidP="0073298C">
            <w:pPr>
              <w:rPr>
                <w:sz w:val="16"/>
                <w:szCs w:val="16"/>
              </w:rPr>
            </w:pPr>
            <w:r>
              <w:rPr>
                <w:sz w:val="16"/>
                <w:szCs w:val="16"/>
              </w:rPr>
              <w:t> </w:t>
            </w:r>
          </w:p>
        </w:tc>
        <w:tc>
          <w:tcPr>
            <w:tcW w:w="120" w:type="dxa"/>
            <w:tcBorders>
              <w:top w:val="nil"/>
              <w:left w:val="nil"/>
              <w:bottom w:val="nil"/>
              <w:right w:val="nil"/>
            </w:tcBorders>
            <w:vAlign w:val="center"/>
          </w:tcPr>
          <w:p w:rsidR="0073298C" w:rsidRDefault="0073298C" w:rsidP="0073298C">
            <w:pPr>
              <w:rPr>
                <w:sz w:val="16"/>
                <w:szCs w:val="16"/>
              </w:rPr>
            </w:pPr>
            <w:r>
              <w:rPr>
                <w:sz w:val="16"/>
                <w:szCs w:val="16"/>
              </w:rPr>
              <w:t> </w:t>
            </w:r>
          </w:p>
        </w:tc>
        <w:tc>
          <w:tcPr>
            <w:tcW w:w="1197" w:type="dxa"/>
            <w:tcBorders>
              <w:top w:val="nil"/>
              <w:left w:val="nil"/>
              <w:bottom w:val="nil"/>
              <w:right w:val="nil"/>
            </w:tcBorders>
            <w:vAlign w:val="center"/>
          </w:tcPr>
          <w:p w:rsidR="0073298C" w:rsidRDefault="0073298C" w:rsidP="0073298C">
            <w:pPr>
              <w:rPr>
                <w:sz w:val="16"/>
                <w:szCs w:val="16"/>
              </w:rPr>
            </w:pPr>
            <w:r>
              <w:rPr>
                <w:sz w:val="16"/>
                <w:szCs w:val="16"/>
              </w:rPr>
              <w:t> </w:t>
            </w:r>
          </w:p>
        </w:tc>
        <w:tc>
          <w:tcPr>
            <w:tcW w:w="180" w:type="dxa"/>
            <w:tcBorders>
              <w:top w:val="nil"/>
              <w:left w:val="nil"/>
              <w:bottom w:val="nil"/>
              <w:right w:val="nil"/>
            </w:tcBorders>
            <w:vAlign w:val="center"/>
          </w:tcPr>
          <w:p w:rsidR="0073298C" w:rsidRDefault="0073298C" w:rsidP="0073298C">
            <w:pPr>
              <w:rPr>
                <w:sz w:val="16"/>
                <w:szCs w:val="16"/>
              </w:rPr>
            </w:pPr>
            <w:r>
              <w:rPr>
                <w:sz w:val="16"/>
                <w:szCs w:val="16"/>
              </w:rPr>
              <w:t> </w:t>
            </w:r>
          </w:p>
        </w:tc>
        <w:tc>
          <w:tcPr>
            <w:tcW w:w="101" w:type="dxa"/>
            <w:tcBorders>
              <w:top w:val="nil"/>
              <w:left w:val="nil"/>
              <w:bottom w:val="nil"/>
              <w:right w:val="nil"/>
            </w:tcBorders>
            <w:vAlign w:val="center"/>
          </w:tcPr>
          <w:p w:rsidR="0073298C" w:rsidRDefault="0073298C" w:rsidP="0073298C">
            <w:pPr>
              <w:rPr>
                <w:sz w:val="16"/>
                <w:szCs w:val="16"/>
              </w:rPr>
            </w:pPr>
            <w:r>
              <w:rPr>
                <w:sz w:val="16"/>
                <w:szCs w:val="16"/>
              </w:rPr>
              <w:t> </w:t>
            </w:r>
          </w:p>
        </w:tc>
        <w:tc>
          <w:tcPr>
            <w:tcW w:w="120" w:type="dxa"/>
            <w:tcBorders>
              <w:top w:val="nil"/>
              <w:left w:val="nil"/>
              <w:bottom w:val="nil"/>
              <w:right w:val="nil"/>
            </w:tcBorders>
            <w:vAlign w:val="center"/>
          </w:tcPr>
          <w:p w:rsidR="0073298C" w:rsidRDefault="0073298C" w:rsidP="0073298C">
            <w:pPr>
              <w:rPr>
                <w:sz w:val="16"/>
                <w:szCs w:val="16"/>
              </w:rPr>
            </w:pPr>
            <w:r>
              <w:rPr>
                <w:sz w:val="16"/>
                <w:szCs w:val="16"/>
              </w:rPr>
              <w:t> </w:t>
            </w:r>
          </w:p>
        </w:tc>
        <w:tc>
          <w:tcPr>
            <w:tcW w:w="1197" w:type="dxa"/>
            <w:tcBorders>
              <w:top w:val="nil"/>
              <w:left w:val="nil"/>
              <w:bottom w:val="nil"/>
              <w:right w:val="nil"/>
            </w:tcBorders>
            <w:vAlign w:val="center"/>
          </w:tcPr>
          <w:p w:rsidR="0073298C" w:rsidRDefault="0073298C" w:rsidP="0073298C">
            <w:pPr>
              <w:rPr>
                <w:sz w:val="16"/>
                <w:szCs w:val="16"/>
              </w:rPr>
            </w:pPr>
            <w:r>
              <w:rPr>
                <w:sz w:val="16"/>
                <w:szCs w:val="16"/>
              </w:rPr>
              <w:t> </w:t>
            </w:r>
          </w:p>
        </w:tc>
        <w:tc>
          <w:tcPr>
            <w:tcW w:w="180" w:type="dxa"/>
            <w:tcBorders>
              <w:top w:val="nil"/>
              <w:left w:val="nil"/>
              <w:bottom w:val="nil"/>
              <w:right w:val="nil"/>
            </w:tcBorders>
            <w:vAlign w:val="center"/>
          </w:tcPr>
          <w:p w:rsidR="0073298C" w:rsidRDefault="0073298C" w:rsidP="0073298C">
            <w:pPr>
              <w:rPr>
                <w:sz w:val="16"/>
                <w:szCs w:val="16"/>
              </w:rPr>
            </w:pPr>
            <w:r>
              <w:rPr>
                <w:sz w:val="16"/>
                <w:szCs w:val="16"/>
              </w:rPr>
              <w:t> </w:t>
            </w:r>
          </w:p>
        </w:tc>
        <w:tc>
          <w:tcPr>
            <w:tcW w:w="101" w:type="dxa"/>
            <w:tcBorders>
              <w:top w:val="nil"/>
              <w:left w:val="nil"/>
              <w:bottom w:val="nil"/>
              <w:right w:val="nil"/>
            </w:tcBorders>
            <w:vAlign w:val="center"/>
          </w:tcPr>
          <w:p w:rsidR="0073298C" w:rsidRDefault="0073298C" w:rsidP="0073298C">
            <w:pPr>
              <w:rPr>
                <w:sz w:val="16"/>
                <w:szCs w:val="16"/>
              </w:rPr>
            </w:pPr>
            <w:r>
              <w:rPr>
                <w:sz w:val="16"/>
                <w:szCs w:val="16"/>
              </w:rPr>
              <w:t> </w:t>
            </w:r>
          </w:p>
        </w:tc>
        <w:tc>
          <w:tcPr>
            <w:tcW w:w="1015" w:type="dxa"/>
            <w:tcBorders>
              <w:top w:val="nil"/>
              <w:left w:val="nil"/>
              <w:bottom w:val="nil"/>
              <w:right w:val="nil"/>
            </w:tcBorders>
            <w:vAlign w:val="center"/>
          </w:tcPr>
          <w:p w:rsidR="0073298C" w:rsidRDefault="0073298C" w:rsidP="0073298C">
            <w:pPr>
              <w:rPr>
                <w:sz w:val="16"/>
                <w:szCs w:val="16"/>
              </w:rPr>
            </w:pPr>
            <w:r>
              <w:rPr>
                <w:sz w:val="16"/>
                <w:szCs w:val="16"/>
              </w:rPr>
              <w:t> </w:t>
            </w:r>
          </w:p>
        </w:tc>
        <w:tc>
          <w:tcPr>
            <w:tcW w:w="410" w:type="dxa"/>
            <w:tcBorders>
              <w:top w:val="nil"/>
              <w:left w:val="nil"/>
              <w:bottom w:val="nil"/>
              <w:right w:val="nil"/>
            </w:tcBorders>
            <w:vAlign w:val="center"/>
          </w:tcPr>
          <w:p w:rsidR="0073298C" w:rsidRDefault="0073298C" w:rsidP="0073298C">
            <w:pPr>
              <w:rPr>
                <w:sz w:val="16"/>
                <w:szCs w:val="16"/>
              </w:rPr>
            </w:pPr>
            <w:r>
              <w:rPr>
                <w:sz w:val="16"/>
                <w:szCs w:val="16"/>
              </w:rPr>
              <w:t> </w:t>
            </w:r>
          </w:p>
        </w:tc>
        <w:tc>
          <w:tcPr>
            <w:tcW w:w="101" w:type="dxa"/>
            <w:tcBorders>
              <w:top w:val="nil"/>
              <w:left w:val="nil"/>
              <w:bottom w:val="nil"/>
              <w:right w:val="nil"/>
            </w:tcBorders>
            <w:vAlign w:val="center"/>
          </w:tcPr>
          <w:p w:rsidR="0073298C" w:rsidRDefault="0073298C" w:rsidP="0073298C">
            <w:pPr>
              <w:rPr>
                <w:sz w:val="16"/>
                <w:szCs w:val="16"/>
              </w:rPr>
            </w:pPr>
            <w:r>
              <w:rPr>
                <w:sz w:val="16"/>
                <w:szCs w:val="16"/>
              </w:rPr>
              <w:t> </w:t>
            </w:r>
          </w:p>
        </w:tc>
        <w:tc>
          <w:tcPr>
            <w:tcW w:w="977" w:type="dxa"/>
            <w:tcBorders>
              <w:top w:val="nil"/>
              <w:left w:val="nil"/>
              <w:bottom w:val="nil"/>
              <w:right w:val="nil"/>
            </w:tcBorders>
            <w:vAlign w:val="center"/>
          </w:tcPr>
          <w:p w:rsidR="0073298C" w:rsidRDefault="0073298C" w:rsidP="0073298C">
            <w:pPr>
              <w:rPr>
                <w:sz w:val="16"/>
                <w:szCs w:val="16"/>
              </w:rPr>
            </w:pPr>
            <w:r>
              <w:rPr>
                <w:sz w:val="16"/>
                <w:szCs w:val="16"/>
              </w:rPr>
              <w:t> </w:t>
            </w:r>
          </w:p>
        </w:tc>
        <w:tc>
          <w:tcPr>
            <w:tcW w:w="416" w:type="dxa"/>
            <w:gridSpan w:val="2"/>
            <w:tcBorders>
              <w:top w:val="nil"/>
              <w:left w:val="nil"/>
              <w:bottom w:val="nil"/>
              <w:right w:val="nil"/>
            </w:tcBorders>
            <w:vAlign w:val="center"/>
          </w:tcPr>
          <w:p w:rsidR="0073298C" w:rsidRDefault="0073298C" w:rsidP="0073298C">
            <w:pPr>
              <w:rPr>
                <w:sz w:val="16"/>
                <w:szCs w:val="16"/>
              </w:rPr>
            </w:pPr>
            <w:r>
              <w:rPr>
                <w:sz w:val="16"/>
                <w:szCs w:val="16"/>
              </w:rPr>
              <w:t> </w:t>
            </w:r>
          </w:p>
        </w:tc>
      </w:tr>
      <w:tr w:rsidR="0073298C" w:rsidTr="0073298C">
        <w:tblPrEx>
          <w:tblCellMar>
            <w:top w:w="0" w:type="dxa"/>
            <w:left w:w="0" w:type="dxa"/>
            <w:bottom w:w="0" w:type="dxa"/>
            <w:right w:w="0" w:type="dxa"/>
          </w:tblCellMar>
        </w:tblPrEx>
        <w:trPr>
          <w:gridAfter w:val="1"/>
          <w:wAfter w:w="6" w:type="dxa"/>
          <w:trHeight w:val="298"/>
          <w:jc w:val="center"/>
        </w:trPr>
        <w:tc>
          <w:tcPr>
            <w:tcW w:w="3087" w:type="dxa"/>
            <w:tcBorders>
              <w:top w:val="single" w:sz="6" w:space="0" w:color="00467E"/>
              <w:left w:val="single" w:sz="6" w:space="0" w:color="00467E"/>
              <w:bottom w:val="nil"/>
              <w:right w:val="nil"/>
            </w:tcBorders>
            <w:vAlign w:val="bottom"/>
          </w:tcPr>
          <w:p w:rsidR="0073298C" w:rsidRDefault="0073298C" w:rsidP="0073298C">
            <w:pPr>
              <w:spacing w:before="22" w:after="22"/>
              <w:ind w:left="22" w:right="22"/>
              <w:rPr>
                <w:color w:val="000000"/>
              </w:rPr>
            </w:pPr>
            <w:r>
              <w:rPr>
                <w:color w:val="000000"/>
              </w:rPr>
              <w:t> </w:t>
            </w:r>
          </w:p>
        </w:tc>
        <w:tc>
          <w:tcPr>
            <w:tcW w:w="1497" w:type="dxa"/>
            <w:gridSpan w:val="3"/>
            <w:tcBorders>
              <w:top w:val="single" w:sz="6" w:space="0" w:color="00467E"/>
              <w:left w:val="nil"/>
              <w:bottom w:val="single" w:sz="6" w:space="0" w:color="000000"/>
              <w:right w:val="nil"/>
            </w:tcBorders>
            <w:vAlign w:val="center"/>
          </w:tcPr>
          <w:p w:rsidR="0073298C" w:rsidRDefault="0073298C" w:rsidP="0073298C">
            <w:pPr>
              <w:spacing w:before="22" w:after="22"/>
              <w:ind w:left="22" w:right="22"/>
              <w:jc w:val="center"/>
              <w:rPr>
                <w:rFonts w:ascii="Arial" w:hAnsi="Arial" w:cs="Arial"/>
                <w:b/>
                <w:bCs w:val="0"/>
                <w:color w:val="000000"/>
                <w:sz w:val="14"/>
                <w:szCs w:val="14"/>
              </w:rPr>
            </w:pPr>
            <w:r>
              <w:rPr>
                <w:rFonts w:ascii="Arial" w:hAnsi="Arial" w:cs="Arial"/>
                <w:b/>
                <w:bCs w:val="0"/>
                <w:color w:val="000000"/>
                <w:sz w:val="14"/>
                <w:szCs w:val="14"/>
              </w:rPr>
              <w:t>2017</w:t>
            </w:r>
          </w:p>
        </w:tc>
        <w:tc>
          <w:tcPr>
            <w:tcW w:w="101" w:type="dxa"/>
            <w:tcBorders>
              <w:top w:val="single" w:sz="6" w:space="0" w:color="00467E"/>
              <w:left w:val="nil"/>
              <w:bottom w:val="nil"/>
              <w:right w:val="nil"/>
            </w:tcBorders>
            <w:vAlign w:val="bottom"/>
          </w:tcPr>
          <w:p w:rsidR="0073298C" w:rsidRDefault="0073298C" w:rsidP="0073298C">
            <w:pPr>
              <w:spacing w:before="22" w:after="22"/>
              <w:ind w:left="22" w:right="22"/>
              <w:rPr>
                <w:color w:val="000000"/>
              </w:rPr>
            </w:pPr>
            <w:r>
              <w:rPr>
                <w:color w:val="000000"/>
              </w:rPr>
              <w:t> </w:t>
            </w:r>
          </w:p>
        </w:tc>
        <w:tc>
          <w:tcPr>
            <w:tcW w:w="1497" w:type="dxa"/>
            <w:gridSpan w:val="3"/>
            <w:tcBorders>
              <w:top w:val="single" w:sz="6" w:space="0" w:color="00467E"/>
              <w:left w:val="nil"/>
              <w:bottom w:val="single" w:sz="6" w:space="0" w:color="000000"/>
              <w:right w:val="nil"/>
            </w:tcBorders>
            <w:vAlign w:val="center"/>
          </w:tcPr>
          <w:p w:rsidR="0073298C" w:rsidRDefault="0073298C" w:rsidP="0073298C">
            <w:pPr>
              <w:spacing w:before="22" w:after="22"/>
              <w:ind w:left="22" w:right="22"/>
              <w:jc w:val="center"/>
              <w:rPr>
                <w:rFonts w:ascii="Arial" w:hAnsi="Arial" w:cs="Arial"/>
                <w:b/>
                <w:bCs w:val="0"/>
                <w:color w:val="000000"/>
                <w:sz w:val="14"/>
                <w:szCs w:val="14"/>
              </w:rPr>
            </w:pPr>
            <w:r>
              <w:rPr>
                <w:rFonts w:ascii="Arial" w:hAnsi="Arial" w:cs="Arial"/>
                <w:b/>
                <w:bCs w:val="0"/>
                <w:color w:val="000000"/>
                <w:sz w:val="14"/>
                <w:szCs w:val="14"/>
              </w:rPr>
              <w:t>2016</w:t>
            </w:r>
          </w:p>
        </w:tc>
        <w:tc>
          <w:tcPr>
            <w:tcW w:w="101" w:type="dxa"/>
            <w:tcBorders>
              <w:top w:val="single" w:sz="6" w:space="0" w:color="00467E"/>
              <w:left w:val="nil"/>
              <w:bottom w:val="nil"/>
              <w:right w:val="nil"/>
            </w:tcBorders>
            <w:vAlign w:val="bottom"/>
          </w:tcPr>
          <w:p w:rsidR="0073298C" w:rsidRDefault="0073298C" w:rsidP="0073298C">
            <w:pPr>
              <w:spacing w:before="22" w:after="22"/>
              <w:ind w:left="22" w:right="22"/>
              <w:rPr>
                <w:color w:val="000000"/>
              </w:rPr>
            </w:pPr>
            <w:r>
              <w:rPr>
                <w:color w:val="000000"/>
              </w:rPr>
              <w:t> </w:t>
            </w:r>
          </w:p>
        </w:tc>
        <w:tc>
          <w:tcPr>
            <w:tcW w:w="1497" w:type="dxa"/>
            <w:gridSpan w:val="3"/>
            <w:tcBorders>
              <w:top w:val="single" w:sz="6" w:space="0" w:color="00467E"/>
              <w:left w:val="nil"/>
              <w:bottom w:val="single" w:sz="6" w:space="0" w:color="000000"/>
              <w:right w:val="nil"/>
            </w:tcBorders>
            <w:vAlign w:val="center"/>
          </w:tcPr>
          <w:p w:rsidR="0073298C" w:rsidRDefault="0073298C" w:rsidP="0073298C">
            <w:pPr>
              <w:spacing w:before="22" w:after="22"/>
              <w:ind w:left="22" w:right="22"/>
              <w:jc w:val="center"/>
              <w:rPr>
                <w:rFonts w:ascii="Arial" w:hAnsi="Arial" w:cs="Arial"/>
                <w:b/>
                <w:bCs w:val="0"/>
                <w:color w:val="000000"/>
                <w:sz w:val="14"/>
                <w:szCs w:val="14"/>
              </w:rPr>
            </w:pPr>
            <w:r>
              <w:rPr>
                <w:rFonts w:ascii="Arial" w:hAnsi="Arial" w:cs="Arial"/>
                <w:b/>
                <w:bCs w:val="0"/>
                <w:color w:val="000000"/>
                <w:sz w:val="14"/>
                <w:szCs w:val="14"/>
              </w:rPr>
              <w:t>2015</w:t>
            </w:r>
          </w:p>
        </w:tc>
        <w:tc>
          <w:tcPr>
            <w:tcW w:w="101" w:type="dxa"/>
            <w:tcBorders>
              <w:top w:val="single" w:sz="6" w:space="0" w:color="00467E"/>
              <w:left w:val="nil"/>
              <w:bottom w:val="nil"/>
              <w:right w:val="nil"/>
            </w:tcBorders>
            <w:shd w:val="clear" w:color="00467E" w:fill="00467E"/>
            <w:vAlign w:val="bottom"/>
          </w:tcPr>
          <w:p w:rsidR="0073298C" w:rsidRDefault="0073298C" w:rsidP="0073298C">
            <w:pPr>
              <w:spacing w:before="22" w:after="22"/>
              <w:ind w:left="22" w:right="22"/>
              <w:rPr>
                <w:color w:val="000000"/>
              </w:rPr>
            </w:pPr>
            <w:r>
              <w:rPr>
                <w:color w:val="000000"/>
              </w:rPr>
              <w:t> </w:t>
            </w:r>
          </w:p>
        </w:tc>
        <w:tc>
          <w:tcPr>
            <w:tcW w:w="1425" w:type="dxa"/>
            <w:gridSpan w:val="2"/>
            <w:tcBorders>
              <w:top w:val="single" w:sz="6" w:space="0" w:color="00467E"/>
              <w:left w:val="nil"/>
              <w:bottom w:val="single" w:sz="6" w:space="0" w:color="000000"/>
              <w:right w:val="nil"/>
            </w:tcBorders>
            <w:vAlign w:val="center"/>
          </w:tcPr>
          <w:p w:rsidR="0073298C" w:rsidRDefault="0073298C" w:rsidP="0073298C">
            <w:pPr>
              <w:spacing w:before="22" w:after="22"/>
              <w:ind w:left="22" w:right="22"/>
              <w:jc w:val="center"/>
              <w:rPr>
                <w:rFonts w:ascii="Arial" w:hAnsi="Arial" w:cs="Arial"/>
                <w:b/>
                <w:bCs w:val="0"/>
                <w:color w:val="000000"/>
                <w:sz w:val="14"/>
                <w:szCs w:val="14"/>
              </w:rPr>
            </w:pPr>
            <w:r>
              <w:rPr>
                <w:rFonts w:ascii="Arial" w:hAnsi="Arial" w:cs="Arial"/>
                <w:b/>
                <w:bCs w:val="0"/>
                <w:color w:val="000000"/>
                <w:sz w:val="14"/>
                <w:szCs w:val="14"/>
              </w:rPr>
              <w:t>2017 vs. 2016</w:t>
            </w:r>
          </w:p>
        </w:tc>
        <w:tc>
          <w:tcPr>
            <w:tcW w:w="101" w:type="dxa"/>
            <w:tcBorders>
              <w:top w:val="single" w:sz="6" w:space="0" w:color="00467E"/>
              <w:left w:val="nil"/>
              <w:bottom w:val="nil"/>
              <w:right w:val="nil"/>
            </w:tcBorders>
            <w:vAlign w:val="bottom"/>
          </w:tcPr>
          <w:p w:rsidR="0073298C" w:rsidRDefault="0073298C" w:rsidP="0073298C">
            <w:pPr>
              <w:spacing w:before="22" w:after="22"/>
              <w:ind w:left="22" w:right="22"/>
              <w:rPr>
                <w:color w:val="000000"/>
              </w:rPr>
            </w:pPr>
            <w:r>
              <w:rPr>
                <w:color w:val="000000"/>
              </w:rPr>
              <w:t> </w:t>
            </w:r>
          </w:p>
        </w:tc>
        <w:tc>
          <w:tcPr>
            <w:tcW w:w="1387" w:type="dxa"/>
            <w:gridSpan w:val="2"/>
            <w:tcBorders>
              <w:top w:val="single" w:sz="6" w:space="0" w:color="00467E"/>
              <w:left w:val="nil"/>
              <w:bottom w:val="single" w:sz="6" w:space="0" w:color="000000"/>
              <w:right w:val="single" w:sz="6" w:space="0" w:color="00467E"/>
            </w:tcBorders>
            <w:vAlign w:val="center"/>
          </w:tcPr>
          <w:p w:rsidR="0073298C" w:rsidRDefault="0073298C" w:rsidP="0073298C">
            <w:pPr>
              <w:spacing w:before="22" w:after="22"/>
              <w:ind w:left="22" w:right="22"/>
              <w:jc w:val="center"/>
              <w:rPr>
                <w:rFonts w:ascii="Arial" w:hAnsi="Arial" w:cs="Arial"/>
                <w:b/>
                <w:bCs w:val="0"/>
                <w:color w:val="000000"/>
                <w:sz w:val="14"/>
                <w:szCs w:val="14"/>
              </w:rPr>
            </w:pPr>
            <w:r>
              <w:rPr>
                <w:rFonts w:ascii="Arial" w:hAnsi="Arial" w:cs="Arial"/>
                <w:b/>
                <w:bCs w:val="0"/>
                <w:color w:val="000000"/>
                <w:sz w:val="14"/>
                <w:szCs w:val="14"/>
              </w:rPr>
              <w:t>2016 vs. 2015</w:t>
            </w:r>
          </w:p>
        </w:tc>
      </w:tr>
      <w:tr w:rsidR="0073298C" w:rsidTr="0073298C">
        <w:tblPrEx>
          <w:tblCellMar>
            <w:top w:w="0" w:type="dxa"/>
            <w:left w:w="0" w:type="dxa"/>
            <w:bottom w:w="0" w:type="dxa"/>
            <w:right w:w="0" w:type="dxa"/>
          </w:tblCellMar>
        </w:tblPrEx>
        <w:trPr>
          <w:gridAfter w:val="1"/>
          <w:wAfter w:w="3" w:type="dxa"/>
          <w:trHeight w:val="298"/>
          <w:jc w:val="center"/>
        </w:trPr>
        <w:tc>
          <w:tcPr>
            <w:tcW w:w="3087" w:type="dxa"/>
            <w:tcBorders>
              <w:top w:val="nil"/>
              <w:left w:val="single" w:sz="6" w:space="0" w:color="00467E"/>
              <w:bottom w:val="nil"/>
              <w:right w:val="nil"/>
            </w:tcBorders>
            <w:vAlign w:val="bottom"/>
          </w:tcPr>
          <w:p w:rsidR="0073298C" w:rsidRDefault="0073298C" w:rsidP="0073298C">
            <w:pPr>
              <w:spacing w:before="22" w:after="22"/>
              <w:ind w:left="22" w:right="22"/>
              <w:rPr>
                <w:color w:val="000000"/>
              </w:rPr>
            </w:pPr>
            <w:r>
              <w:rPr>
                <w:color w:val="000000"/>
              </w:rPr>
              <w:t> </w:t>
            </w:r>
          </w:p>
        </w:tc>
        <w:tc>
          <w:tcPr>
            <w:tcW w:w="4695" w:type="dxa"/>
            <w:gridSpan w:val="11"/>
            <w:tcBorders>
              <w:top w:val="nil"/>
              <w:left w:val="nil"/>
              <w:bottom w:val="single" w:sz="6" w:space="0" w:color="000000"/>
              <w:right w:val="nil"/>
            </w:tcBorders>
            <w:vAlign w:val="center"/>
          </w:tcPr>
          <w:p w:rsidR="0073298C" w:rsidRDefault="0073298C" w:rsidP="0073298C">
            <w:pPr>
              <w:spacing w:before="22" w:after="22"/>
              <w:ind w:left="22"/>
              <w:jc w:val="center"/>
              <w:rPr>
                <w:rFonts w:ascii="Arial" w:hAnsi="Arial" w:cs="Arial"/>
                <w:b/>
                <w:bCs w:val="0"/>
                <w:color w:val="000000"/>
                <w:sz w:val="14"/>
                <w:szCs w:val="14"/>
              </w:rPr>
            </w:pPr>
            <w:r>
              <w:rPr>
                <w:rFonts w:ascii="Arial" w:hAnsi="Arial" w:cs="Arial"/>
                <w:b/>
                <w:bCs w:val="0"/>
                <w:color w:val="000000"/>
                <w:sz w:val="14"/>
                <w:szCs w:val="14"/>
              </w:rPr>
              <w:t>(Dollars in thousands, except per load data)</w:t>
            </w:r>
          </w:p>
        </w:tc>
        <w:tc>
          <w:tcPr>
            <w:tcW w:w="101" w:type="dxa"/>
            <w:tcBorders>
              <w:top w:val="single" w:sz="6" w:space="0" w:color="00467E"/>
              <w:left w:val="nil"/>
              <w:bottom w:val="nil"/>
              <w:right w:val="nil"/>
            </w:tcBorders>
            <w:shd w:val="clear" w:color="00467E" w:fill="00467E"/>
            <w:vAlign w:val="bottom"/>
          </w:tcPr>
          <w:p w:rsidR="0073298C" w:rsidRDefault="0073298C" w:rsidP="0073298C">
            <w:pPr>
              <w:spacing w:before="22" w:after="22"/>
              <w:ind w:left="22" w:right="22"/>
              <w:rPr>
                <w:color w:val="000000"/>
              </w:rPr>
            </w:pPr>
            <w:r>
              <w:rPr>
                <w:color w:val="000000"/>
              </w:rPr>
              <w:t> </w:t>
            </w:r>
          </w:p>
        </w:tc>
        <w:tc>
          <w:tcPr>
            <w:tcW w:w="2914" w:type="dxa"/>
            <w:gridSpan w:val="5"/>
            <w:tcBorders>
              <w:top w:val="nil"/>
              <w:left w:val="nil"/>
              <w:bottom w:val="single" w:sz="6" w:space="0" w:color="000000"/>
              <w:right w:val="single" w:sz="6" w:space="0" w:color="00467E"/>
            </w:tcBorders>
            <w:vAlign w:val="center"/>
          </w:tcPr>
          <w:p w:rsidR="0073298C" w:rsidRDefault="0073298C" w:rsidP="0073298C">
            <w:pPr>
              <w:spacing w:before="22" w:after="22"/>
              <w:ind w:left="22"/>
              <w:jc w:val="center"/>
              <w:rPr>
                <w:rFonts w:ascii="Arial" w:hAnsi="Arial" w:cs="Arial"/>
                <w:b/>
                <w:bCs w:val="0"/>
                <w:color w:val="000000"/>
                <w:sz w:val="14"/>
                <w:szCs w:val="14"/>
              </w:rPr>
            </w:pPr>
            <w:r>
              <w:rPr>
                <w:rFonts w:ascii="Arial" w:hAnsi="Arial" w:cs="Arial"/>
                <w:b/>
                <w:bCs w:val="0"/>
                <w:color w:val="000000"/>
                <w:sz w:val="14"/>
                <w:szCs w:val="14"/>
              </w:rPr>
              <w:t>Increase (decrease)</w:t>
            </w:r>
          </w:p>
        </w:tc>
      </w:tr>
      <w:tr w:rsidR="0073298C" w:rsidTr="0073298C">
        <w:tblPrEx>
          <w:tblCellMar>
            <w:top w:w="0" w:type="dxa"/>
            <w:left w:w="0" w:type="dxa"/>
            <w:bottom w:w="0" w:type="dxa"/>
            <w:right w:w="0" w:type="dxa"/>
          </w:tblCellMar>
        </w:tblPrEx>
        <w:trPr>
          <w:trHeight w:val="298"/>
          <w:jc w:val="center"/>
        </w:trPr>
        <w:tc>
          <w:tcPr>
            <w:tcW w:w="3087" w:type="dxa"/>
            <w:tcBorders>
              <w:top w:val="nil"/>
              <w:left w:val="single" w:sz="6" w:space="0" w:color="00467E"/>
              <w:bottom w:val="nil"/>
              <w:right w:val="nil"/>
            </w:tcBorders>
            <w:shd w:val="clear" w:color="CFD4D8" w:fill="CFD4D8"/>
            <w:vAlign w:val="center"/>
          </w:tcPr>
          <w:p w:rsidR="0073298C" w:rsidRDefault="0073298C" w:rsidP="0073298C">
            <w:pPr>
              <w:spacing w:before="22" w:after="22"/>
              <w:ind w:left="22" w:right="22"/>
              <w:rPr>
                <w:rFonts w:ascii="Arial" w:hAnsi="Arial" w:cs="Arial"/>
                <w:color w:val="000000"/>
                <w:sz w:val="18"/>
                <w:szCs w:val="18"/>
              </w:rPr>
            </w:pPr>
            <w:r>
              <w:rPr>
                <w:rFonts w:ascii="Arial" w:hAnsi="Arial" w:cs="Arial"/>
                <w:color w:val="000000"/>
                <w:sz w:val="18"/>
                <w:szCs w:val="18"/>
              </w:rPr>
              <w:t>Total revenue</w:t>
            </w:r>
          </w:p>
        </w:tc>
        <w:tc>
          <w:tcPr>
            <w:tcW w:w="120" w:type="dxa"/>
            <w:tcBorders>
              <w:top w:val="nil"/>
              <w:left w:val="nil"/>
              <w:bottom w:val="nil"/>
              <w:right w:val="nil"/>
            </w:tcBorders>
            <w:shd w:val="clear" w:color="CFD4D8" w:fill="CFD4D8"/>
            <w:vAlign w:val="center"/>
          </w:tcPr>
          <w:p w:rsidR="0073298C" w:rsidRDefault="0073298C" w:rsidP="0073298C">
            <w:pPr>
              <w:spacing w:before="22" w:after="22"/>
              <w:ind w:left="22"/>
              <w:rPr>
                <w:rFonts w:ascii="Arial" w:hAnsi="Arial" w:cs="Arial"/>
                <w:color w:val="000000"/>
                <w:sz w:val="18"/>
                <w:szCs w:val="18"/>
              </w:rPr>
            </w:pPr>
            <w:r>
              <w:rPr>
                <w:rFonts w:ascii="Arial" w:hAnsi="Arial" w:cs="Arial"/>
                <w:color w:val="000000"/>
                <w:sz w:val="18"/>
                <w:szCs w:val="18"/>
              </w:rPr>
              <w:t>$</w:t>
            </w:r>
          </w:p>
        </w:tc>
        <w:tc>
          <w:tcPr>
            <w:tcW w:w="1197" w:type="dxa"/>
            <w:tcBorders>
              <w:top w:val="nil"/>
              <w:left w:val="nil"/>
              <w:bottom w:val="nil"/>
              <w:right w:val="nil"/>
            </w:tcBorders>
            <w:shd w:val="clear" w:color="CFD4D8" w:fill="CFD4D8"/>
            <w:vAlign w:val="center"/>
          </w:tcPr>
          <w:p w:rsidR="0073298C" w:rsidRDefault="0073298C" w:rsidP="0073298C">
            <w:pPr>
              <w:spacing w:before="22" w:after="22"/>
              <w:jc w:val="right"/>
              <w:rPr>
                <w:rFonts w:ascii="Arial" w:hAnsi="Arial" w:cs="Arial"/>
                <w:color w:val="000000"/>
                <w:sz w:val="18"/>
                <w:szCs w:val="18"/>
              </w:rPr>
            </w:pPr>
            <w:r>
              <w:rPr>
                <w:rFonts w:ascii="Arial" w:hAnsi="Arial" w:cs="Arial"/>
                <w:color w:val="000000"/>
                <w:sz w:val="18"/>
                <w:szCs w:val="18"/>
              </w:rPr>
              <w:t>234,155</w:t>
            </w:r>
          </w:p>
        </w:tc>
        <w:tc>
          <w:tcPr>
            <w:tcW w:w="180" w:type="dxa"/>
            <w:tcBorders>
              <w:top w:val="nil"/>
              <w:left w:val="nil"/>
              <w:bottom w:val="nil"/>
              <w:right w:val="nil"/>
            </w:tcBorders>
            <w:shd w:val="clear" w:color="CFD4D8" w:fill="CFD4D8"/>
            <w:vAlign w:val="bottom"/>
          </w:tcPr>
          <w:p w:rsidR="0073298C" w:rsidRDefault="0073298C" w:rsidP="0073298C">
            <w:pPr>
              <w:spacing w:before="22" w:after="22"/>
              <w:jc w:val="right"/>
              <w:rPr>
                <w:rFonts w:ascii="Arial" w:hAnsi="Arial" w:cs="Arial"/>
                <w:color w:val="000000"/>
                <w:sz w:val="18"/>
                <w:szCs w:val="18"/>
              </w:rPr>
            </w:pPr>
          </w:p>
          <w:p w:rsidR="0073298C" w:rsidRDefault="0073298C" w:rsidP="0073298C">
            <w:pPr>
              <w:rPr>
                <w:sz w:val="16"/>
                <w:szCs w:val="16"/>
              </w:rPr>
            </w:pPr>
            <w:r>
              <w:rPr>
                <w:sz w:val="16"/>
                <w:szCs w:val="16"/>
              </w:rPr>
              <w:t> </w:t>
            </w:r>
          </w:p>
        </w:tc>
        <w:tc>
          <w:tcPr>
            <w:tcW w:w="101" w:type="dxa"/>
            <w:tcBorders>
              <w:top w:val="nil"/>
              <w:left w:val="nil"/>
              <w:bottom w:val="nil"/>
              <w:right w:val="nil"/>
            </w:tcBorders>
            <w:shd w:val="clear" w:color="CFD4D8" w:fill="CFD4D8"/>
            <w:vAlign w:val="bottom"/>
          </w:tcPr>
          <w:p w:rsidR="0073298C" w:rsidRDefault="0073298C" w:rsidP="0073298C">
            <w:pPr>
              <w:spacing w:before="22" w:after="22"/>
              <w:ind w:left="22" w:right="22"/>
              <w:rPr>
                <w:color w:val="000000"/>
              </w:rPr>
            </w:pPr>
            <w:r>
              <w:rPr>
                <w:color w:val="000000"/>
              </w:rPr>
              <w:t> </w:t>
            </w:r>
          </w:p>
        </w:tc>
        <w:tc>
          <w:tcPr>
            <w:tcW w:w="120" w:type="dxa"/>
            <w:tcBorders>
              <w:top w:val="nil"/>
              <w:left w:val="nil"/>
              <w:bottom w:val="nil"/>
              <w:right w:val="nil"/>
            </w:tcBorders>
            <w:shd w:val="clear" w:color="CFD4D8" w:fill="CFD4D8"/>
            <w:vAlign w:val="center"/>
          </w:tcPr>
          <w:p w:rsidR="0073298C" w:rsidRDefault="0073298C" w:rsidP="0073298C">
            <w:pPr>
              <w:spacing w:before="22" w:after="22"/>
              <w:ind w:left="22"/>
              <w:rPr>
                <w:rFonts w:ascii="Arial" w:hAnsi="Arial" w:cs="Arial"/>
                <w:color w:val="000000"/>
                <w:sz w:val="18"/>
                <w:szCs w:val="18"/>
              </w:rPr>
            </w:pPr>
            <w:r>
              <w:rPr>
                <w:rFonts w:ascii="Arial" w:hAnsi="Arial" w:cs="Arial"/>
                <w:color w:val="000000"/>
                <w:sz w:val="18"/>
                <w:szCs w:val="18"/>
              </w:rPr>
              <w:t>$</w:t>
            </w:r>
          </w:p>
        </w:tc>
        <w:tc>
          <w:tcPr>
            <w:tcW w:w="1197" w:type="dxa"/>
            <w:tcBorders>
              <w:top w:val="nil"/>
              <w:left w:val="nil"/>
              <w:bottom w:val="nil"/>
              <w:right w:val="nil"/>
            </w:tcBorders>
            <w:shd w:val="clear" w:color="CFD4D8" w:fill="CFD4D8"/>
            <w:vAlign w:val="center"/>
          </w:tcPr>
          <w:p w:rsidR="0073298C" w:rsidRDefault="0073298C" w:rsidP="0073298C">
            <w:pPr>
              <w:spacing w:before="22" w:after="22"/>
              <w:jc w:val="right"/>
              <w:rPr>
                <w:rFonts w:ascii="Arial" w:hAnsi="Arial" w:cs="Arial"/>
                <w:color w:val="000000"/>
                <w:sz w:val="18"/>
                <w:szCs w:val="18"/>
              </w:rPr>
            </w:pPr>
            <w:r>
              <w:rPr>
                <w:rFonts w:ascii="Arial" w:hAnsi="Arial" w:cs="Arial"/>
                <w:color w:val="000000"/>
                <w:sz w:val="18"/>
                <w:szCs w:val="18"/>
              </w:rPr>
              <w:t>226,912</w:t>
            </w:r>
          </w:p>
        </w:tc>
        <w:tc>
          <w:tcPr>
            <w:tcW w:w="180" w:type="dxa"/>
            <w:tcBorders>
              <w:top w:val="nil"/>
              <w:left w:val="nil"/>
              <w:bottom w:val="nil"/>
              <w:right w:val="nil"/>
            </w:tcBorders>
            <w:shd w:val="clear" w:color="CFD4D8" w:fill="CFD4D8"/>
            <w:vAlign w:val="bottom"/>
          </w:tcPr>
          <w:p w:rsidR="0073298C" w:rsidRDefault="0073298C" w:rsidP="0073298C">
            <w:pPr>
              <w:spacing w:before="22" w:after="22"/>
              <w:jc w:val="right"/>
              <w:rPr>
                <w:rFonts w:ascii="Arial" w:hAnsi="Arial" w:cs="Arial"/>
                <w:color w:val="000000"/>
                <w:sz w:val="18"/>
                <w:szCs w:val="18"/>
              </w:rPr>
            </w:pPr>
          </w:p>
          <w:p w:rsidR="0073298C" w:rsidRDefault="0073298C" w:rsidP="0073298C">
            <w:pPr>
              <w:rPr>
                <w:sz w:val="16"/>
                <w:szCs w:val="16"/>
              </w:rPr>
            </w:pPr>
            <w:r>
              <w:rPr>
                <w:sz w:val="16"/>
                <w:szCs w:val="16"/>
              </w:rPr>
              <w:t> </w:t>
            </w:r>
          </w:p>
        </w:tc>
        <w:tc>
          <w:tcPr>
            <w:tcW w:w="101" w:type="dxa"/>
            <w:tcBorders>
              <w:top w:val="nil"/>
              <w:left w:val="nil"/>
              <w:bottom w:val="nil"/>
              <w:right w:val="nil"/>
            </w:tcBorders>
            <w:shd w:val="clear" w:color="CFD4D8" w:fill="CFD4D8"/>
            <w:vAlign w:val="bottom"/>
          </w:tcPr>
          <w:p w:rsidR="0073298C" w:rsidRDefault="0073298C" w:rsidP="0073298C">
            <w:pPr>
              <w:spacing w:before="22" w:after="22"/>
              <w:ind w:left="22" w:right="22"/>
              <w:rPr>
                <w:color w:val="000000"/>
              </w:rPr>
            </w:pPr>
            <w:r>
              <w:rPr>
                <w:color w:val="000000"/>
              </w:rPr>
              <w:t> </w:t>
            </w:r>
          </w:p>
        </w:tc>
        <w:tc>
          <w:tcPr>
            <w:tcW w:w="120" w:type="dxa"/>
            <w:tcBorders>
              <w:top w:val="nil"/>
              <w:left w:val="nil"/>
              <w:bottom w:val="nil"/>
              <w:right w:val="nil"/>
            </w:tcBorders>
            <w:shd w:val="clear" w:color="CFD4D8" w:fill="CFD4D8"/>
            <w:vAlign w:val="center"/>
          </w:tcPr>
          <w:p w:rsidR="0073298C" w:rsidRDefault="0073298C" w:rsidP="0073298C">
            <w:pPr>
              <w:spacing w:before="22" w:after="22"/>
              <w:ind w:left="22"/>
              <w:rPr>
                <w:rFonts w:ascii="Arial" w:hAnsi="Arial" w:cs="Arial"/>
                <w:color w:val="000000"/>
                <w:sz w:val="18"/>
                <w:szCs w:val="18"/>
              </w:rPr>
            </w:pPr>
            <w:r>
              <w:rPr>
                <w:rFonts w:ascii="Arial" w:hAnsi="Arial" w:cs="Arial"/>
                <w:color w:val="000000"/>
                <w:sz w:val="18"/>
                <w:szCs w:val="18"/>
              </w:rPr>
              <w:t>$</w:t>
            </w:r>
          </w:p>
        </w:tc>
        <w:tc>
          <w:tcPr>
            <w:tcW w:w="1197" w:type="dxa"/>
            <w:tcBorders>
              <w:top w:val="nil"/>
              <w:left w:val="nil"/>
              <w:bottom w:val="nil"/>
              <w:right w:val="nil"/>
            </w:tcBorders>
            <w:shd w:val="clear" w:color="CFD4D8" w:fill="CFD4D8"/>
            <w:vAlign w:val="center"/>
          </w:tcPr>
          <w:p w:rsidR="0073298C" w:rsidRDefault="0073298C" w:rsidP="0073298C">
            <w:pPr>
              <w:spacing w:before="22" w:after="22"/>
              <w:jc w:val="right"/>
              <w:rPr>
                <w:rFonts w:ascii="Arial" w:hAnsi="Arial" w:cs="Arial"/>
                <w:color w:val="000000"/>
                <w:sz w:val="18"/>
                <w:szCs w:val="18"/>
              </w:rPr>
            </w:pPr>
            <w:r>
              <w:rPr>
                <w:rFonts w:ascii="Arial" w:hAnsi="Arial" w:cs="Arial"/>
                <w:color w:val="000000"/>
                <w:sz w:val="18"/>
                <w:szCs w:val="18"/>
              </w:rPr>
              <w:t>249,365</w:t>
            </w:r>
          </w:p>
        </w:tc>
        <w:tc>
          <w:tcPr>
            <w:tcW w:w="180" w:type="dxa"/>
            <w:tcBorders>
              <w:top w:val="nil"/>
              <w:left w:val="nil"/>
              <w:bottom w:val="nil"/>
              <w:right w:val="nil"/>
            </w:tcBorders>
            <w:shd w:val="clear" w:color="CFD4D8" w:fill="CFD4D8"/>
            <w:vAlign w:val="bottom"/>
          </w:tcPr>
          <w:p w:rsidR="0073298C" w:rsidRDefault="0073298C" w:rsidP="0073298C">
            <w:pPr>
              <w:spacing w:before="22" w:after="22"/>
              <w:jc w:val="right"/>
              <w:rPr>
                <w:rFonts w:ascii="Arial" w:hAnsi="Arial" w:cs="Arial"/>
                <w:color w:val="000000"/>
                <w:sz w:val="18"/>
                <w:szCs w:val="18"/>
              </w:rPr>
            </w:pPr>
          </w:p>
          <w:p w:rsidR="0073298C" w:rsidRDefault="0073298C" w:rsidP="0073298C">
            <w:pPr>
              <w:rPr>
                <w:sz w:val="16"/>
                <w:szCs w:val="16"/>
              </w:rPr>
            </w:pPr>
            <w:r>
              <w:rPr>
                <w:sz w:val="16"/>
                <w:szCs w:val="16"/>
              </w:rPr>
              <w:t> </w:t>
            </w:r>
          </w:p>
        </w:tc>
        <w:tc>
          <w:tcPr>
            <w:tcW w:w="101" w:type="dxa"/>
            <w:tcBorders>
              <w:top w:val="single" w:sz="6" w:space="0" w:color="00467E"/>
              <w:left w:val="nil"/>
              <w:bottom w:val="nil"/>
              <w:right w:val="nil"/>
            </w:tcBorders>
            <w:shd w:val="clear" w:color="00467E" w:fill="00467E"/>
            <w:vAlign w:val="bottom"/>
          </w:tcPr>
          <w:p w:rsidR="0073298C" w:rsidRDefault="0073298C" w:rsidP="0073298C">
            <w:pPr>
              <w:spacing w:before="22" w:after="22"/>
              <w:ind w:left="22" w:right="22"/>
              <w:rPr>
                <w:color w:val="000000"/>
              </w:rPr>
            </w:pPr>
            <w:r>
              <w:rPr>
                <w:color w:val="000000"/>
              </w:rPr>
              <w:t> </w:t>
            </w:r>
          </w:p>
        </w:tc>
        <w:tc>
          <w:tcPr>
            <w:tcW w:w="1015" w:type="dxa"/>
            <w:tcBorders>
              <w:top w:val="single" w:sz="6" w:space="0" w:color="000000"/>
              <w:left w:val="nil"/>
              <w:bottom w:val="nil"/>
              <w:right w:val="nil"/>
            </w:tcBorders>
            <w:shd w:val="clear" w:color="CFD4D8" w:fill="CFD4D8"/>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3.2</w:t>
            </w:r>
          </w:p>
        </w:tc>
        <w:tc>
          <w:tcPr>
            <w:tcW w:w="410" w:type="dxa"/>
            <w:tcBorders>
              <w:top w:val="single" w:sz="6" w:space="0" w:color="000000"/>
              <w:left w:val="nil"/>
              <w:bottom w:val="nil"/>
              <w:right w:val="nil"/>
            </w:tcBorders>
            <w:shd w:val="clear" w:color="CFD4D8" w:fill="CFD4D8"/>
            <w:vAlign w:val="center"/>
          </w:tcPr>
          <w:p w:rsidR="0073298C" w:rsidRDefault="0073298C" w:rsidP="0073298C">
            <w:pPr>
              <w:spacing w:before="22" w:after="22"/>
              <w:ind w:right="22"/>
              <w:rPr>
                <w:rFonts w:ascii="Arial" w:hAnsi="Arial" w:cs="Arial"/>
                <w:color w:val="000000"/>
                <w:sz w:val="18"/>
                <w:szCs w:val="18"/>
              </w:rPr>
            </w:pPr>
            <w:r>
              <w:rPr>
                <w:rFonts w:ascii="Arial" w:hAnsi="Arial" w:cs="Arial"/>
                <w:color w:val="000000"/>
                <w:sz w:val="18"/>
                <w:szCs w:val="18"/>
              </w:rPr>
              <w:t> %</w:t>
            </w:r>
          </w:p>
        </w:tc>
        <w:tc>
          <w:tcPr>
            <w:tcW w:w="101" w:type="dxa"/>
            <w:tcBorders>
              <w:top w:val="single" w:sz="6" w:space="0" w:color="000000"/>
              <w:left w:val="nil"/>
              <w:bottom w:val="nil"/>
              <w:right w:val="nil"/>
            </w:tcBorders>
            <w:shd w:val="clear" w:color="CFD4D8" w:fill="CFD4D8"/>
            <w:vAlign w:val="bottom"/>
          </w:tcPr>
          <w:p w:rsidR="0073298C" w:rsidRDefault="0073298C" w:rsidP="0073298C">
            <w:pPr>
              <w:spacing w:before="22" w:after="22"/>
              <w:ind w:left="22" w:right="22"/>
              <w:rPr>
                <w:color w:val="000000"/>
              </w:rPr>
            </w:pPr>
            <w:r>
              <w:rPr>
                <w:color w:val="000000"/>
              </w:rPr>
              <w:t> </w:t>
            </w:r>
          </w:p>
        </w:tc>
        <w:tc>
          <w:tcPr>
            <w:tcW w:w="977" w:type="dxa"/>
            <w:tcBorders>
              <w:top w:val="single" w:sz="6" w:space="0" w:color="000000"/>
              <w:left w:val="nil"/>
              <w:bottom w:val="nil"/>
              <w:right w:val="nil"/>
            </w:tcBorders>
            <w:shd w:val="clear" w:color="CFD4D8" w:fill="CFD4D8"/>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(9.0</w:t>
            </w:r>
          </w:p>
        </w:tc>
        <w:tc>
          <w:tcPr>
            <w:tcW w:w="416" w:type="dxa"/>
            <w:gridSpan w:val="2"/>
            <w:tcBorders>
              <w:top w:val="single" w:sz="6" w:space="0" w:color="000000"/>
              <w:left w:val="nil"/>
              <w:bottom w:val="nil"/>
              <w:right w:val="single" w:sz="6" w:space="0" w:color="00467E"/>
            </w:tcBorders>
            <w:shd w:val="clear" w:color="CFD4D8" w:fill="CFD4D8"/>
            <w:vAlign w:val="center"/>
          </w:tcPr>
          <w:p w:rsidR="0073298C" w:rsidRDefault="0073298C" w:rsidP="0073298C">
            <w:pPr>
              <w:spacing w:before="22" w:after="22"/>
              <w:ind w:right="22"/>
              <w:rPr>
                <w:rFonts w:ascii="Arial" w:hAnsi="Arial" w:cs="Arial"/>
                <w:color w:val="000000"/>
                <w:sz w:val="18"/>
                <w:szCs w:val="18"/>
              </w:rPr>
            </w:pPr>
            <w:r>
              <w:rPr>
                <w:rFonts w:ascii="Arial" w:hAnsi="Arial" w:cs="Arial"/>
                <w:color w:val="000000"/>
                <w:sz w:val="18"/>
                <w:szCs w:val="18"/>
              </w:rPr>
              <w:t>) %</w:t>
            </w:r>
          </w:p>
        </w:tc>
      </w:tr>
      <w:tr w:rsidR="0073298C" w:rsidTr="0073298C">
        <w:tblPrEx>
          <w:tblCellMar>
            <w:top w:w="0" w:type="dxa"/>
            <w:left w:w="0" w:type="dxa"/>
            <w:bottom w:w="0" w:type="dxa"/>
            <w:right w:w="0" w:type="dxa"/>
          </w:tblCellMar>
        </w:tblPrEx>
        <w:trPr>
          <w:trHeight w:val="479"/>
          <w:jc w:val="center"/>
        </w:trPr>
        <w:tc>
          <w:tcPr>
            <w:tcW w:w="3087" w:type="dxa"/>
            <w:tcBorders>
              <w:top w:val="nil"/>
              <w:left w:val="single" w:sz="6" w:space="0" w:color="00467E"/>
              <w:bottom w:val="nil"/>
              <w:right w:val="nil"/>
            </w:tcBorders>
            <w:vAlign w:val="center"/>
          </w:tcPr>
          <w:p w:rsidR="0073298C" w:rsidRDefault="0073298C" w:rsidP="0073298C">
            <w:pPr>
              <w:spacing w:before="22" w:after="22"/>
              <w:ind w:left="22" w:right="22"/>
              <w:rPr>
                <w:rFonts w:ascii="Arial" w:hAnsi="Arial" w:cs="Arial"/>
                <w:color w:val="000000"/>
                <w:sz w:val="18"/>
                <w:szCs w:val="18"/>
              </w:rPr>
            </w:pPr>
            <w:r>
              <w:rPr>
                <w:rFonts w:ascii="Arial" w:hAnsi="Arial" w:cs="Arial"/>
                <w:color w:val="000000"/>
                <w:sz w:val="18"/>
                <w:szCs w:val="18"/>
              </w:rPr>
              <w:t>Revenue, net of intersegment transactions</w:t>
            </w:r>
          </w:p>
        </w:tc>
        <w:tc>
          <w:tcPr>
            <w:tcW w:w="120" w:type="dxa"/>
            <w:tcBorders>
              <w:top w:val="nil"/>
              <w:left w:val="nil"/>
              <w:bottom w:val="nil"/>
              <w:right w:val="nil"/>
            </w:tcBorders>
            <w:vAlign w:val="center"/>
          </w:tcPr>
          <w:p w:rsidR="0073298C" w:rsidRDefault="0073298C" w:rsidP="0073298C">
            <w:pPr>
              <w:spacing w:before="22" w:after="22"/>
              <w:ind w:left="22"/>
              <w:rPr>
                <w:rFonts w:ascii="Arial" w:hAnsi="Arial" w:cs="Arial"/>
                <w:color w:val="000000"/>
                <w:sz w:val="18"/>
                <w:szCs w:val="18"/>
              </w:rPr>
            </w:pPr>
            <w:r>
              <w:rPr>
                <w:rFonts w:ascii="Arial" w:hAnsi="Arial" w:cs="Arial"/>
                <w:color w:val="000000"/>
                <w:sz w:val="18"/>
                <w:szCs w:val="18"/>
              </w:rPr>
              <w:t>$</w:t>
            </w:r>
          </w:p>
        </w:tc>
        <w:tc>
          <w:tcPr>
            <w:tcW w:w="1197" w:type="dxa"/>
            <w:tcBorders>
              <w:top w:val="nil"/>
              <w:left w:val="nil"/>
              <w:bottom w:val="nil"/>
              <w:right w:val="nil"/>
            </w:tcBorders>
            <w:vAlign w:val="center"/>
          </w:tcPr>
          <w:p w:rsidR="0073298C" w:rsidRDefault="0073298C" w:rsidP="0073298C">
            <w:pPr>
              <w:spacing w:before="22" w:after="22"/>
              <w:jc w:val="right"/>
              <w:rPr>
                <w:rFonts w:ascii="Arial" w:hAnsi="Arial" w:cs="Arial"/>
                <w:color w:val="000000"/>
                <w:sz w:val="18"/>
                <w:szCs w:val="18"/>
              </w:rPr>
            </w:pPr>
            <w:r>
              <w:rPr>
                <w:rFonts w:ascii="Arial" w:hAnsi="Arial" w:cs="Arial"/>
                <w:color w:val="000000"/>
                <w:sz w:val="18"/>
                <w:szCs w:val="18"/>
              </w:rPr>
              <w:t>227,952</w:t>
            </w:r>
          </w:p>
        </w:tc>
        <w:tc>
          <w:tcPr>
            <w:tcW w:w="180" w:type="dxa"/>
            <w:tcBorders>
              <w:top w:val="nil"/>
              <w:left w:val="nil"/>
              <w:bottom w:val="nil"/>
              <w:right w:val="nil"/>
            </w:tcBorders>
            <w:vAlign w:val="bottom"/>
          </w:tcPr>
          <w:p w:rsidR="0073298C" w:rsidRDefault="0073298C" w:rsidP="0073298C">
            <w:pPr>
              <w:spacing w:before="22" w:after="22"/>
              <w:jc w:val="right"/>
              <w:rPr>
                <w:rFonts w:ascii="Arial" w:hAnsi="Arial" w:cs="Arial"/>
                <w:color w:val="000000"/>
                <w:sz w:val="18"/>
                <w:szCs w:val="18"/>
              </w:rPr>
            </w:pPr>
          </w:p>
          <w:p w:rsidR="0073298C" w:rsidRDefault="0073298C" w:rsidP="0073298C">
            <w:pPr>
              <w:rPr>
                <w:sz w:val="16"/>
                <w:szCs w:val="16"/>
              </w:rPr>
            </w:pPr>
            <w:r>
              <w:rPr>
                <w:sz w:val="16"/>
                <w:szCs w:val="16"/>
              </w:rPr>
              <w:t> </w:t>
            </w:r>
          </w:p>
        </w:tc>
        <w:tc>
          <w:tcPr>
            <w:tcW w:w="101" w:type="dxa"/>
            <w:tcBorders>
              <w:top w:val="nil"/>
              <w:left w:val="nil"/>
              <w:bottom w:val="nil"/>
              <w:right w:val="nil"/>
            </w:tcBorders>
            <w:vAlign w:val="bottom"/>
          </w:tcPr>
          <w:p w:rsidR="0073298C" w:rsidRDefault="0073298C" w:rsidP="0073298C">
            <w:pPr>
              <w:spacing w:before="22" w:after="22"/>
              <w:ind w:left="22" w:right="22"/>
              <w:rPr>
                <w:color w:val="000000"/>
              </w:rPr>
            </w:pPr>
            <w:r>
              <w:rPr>
                <w:color w:val="000000"/>
              </w:rPr>
              <w:t> </w:t>
            </w:r>
          </w:p>
        </w:tc>
        <w:tc>
          <w:tcPr>
            <w:tcW w:w="120" w:type="dxa"/>
            <w:tcBorders>
              <w:top w:val="nil"/>
              <w:left w:val="nil"/>
              <w:bottom w:val="nil"/>
              <w:right w:val="nil"/>
            </w:tcBorders>
            <w:vAlign w:val="center"/>
          </w:tcPr>
          <w:p w:rsidR="0073298C" w:rsidRDefault="0073298C" w:rsidP="0073298C">
            <w:pPr>
              <w:spacing w:before="22" w:after="22"/>
              <w:ind w:left="22"/>
              <w:rPr>
                <w:rFonts w:ascii="Arial" w:hAnsi="Arial" w:cs="Arial"/>
                <w:color w:val="000000"/>
                <w:sz w:val="18"/>
                <w:szCs w:val="18"/>
              </w:rPr>
            </w:pPr>
            <w:r>
              <w:rPr>
                <w:rFonts w:ascii="Arial" w:hAnsi="Arial" w:cs="Arial"/>
                <w:color w:val="000000"/>
                <w:sz w:val="18"/>
                <w:szCs w:val="18"/>
              </w:rPr>
              <w:t>$</w:t>
            </w:r>
          </w:p>
        </w:tc>
        <w:tc>
          <w:tcPr>
            <w:tcW w:w="1197" w:type="dxa"/>
            <w:tcBorders>
              <w:top w:val="nil"/>
              <w:left w:val="nil"/>
              <w:bottom w:val="nil"/>
              <w:right w:val="nil"/>
            </w:tcBorders>
            <w:vAlign w:val="center"/>
          </w:tcPr>
          <w:p w:rsidR="0073298C" w:rsidRDefault="0073298C" w:rsidP="0073298C">
            <w:pPr>
              <w:spacing w:before="22" w:after="22"/>
              <w:jc w:val="right"/>
              <w:rPr>
                <w:rFonts w:ascii="Arial" w:hAnsi="Arial" w:cs="Arial"/>
                <w:color w:val="000000"/>
                <w:sz w:val="18"/>
                <w:szCs w:val="18"/>
              </w:rPr>
            </w:pPr>
            <w:r>
              <w:rPr>
                <w:rFonts w:ascii="Arial" w:hAnsi="Arial" w:cs="Arial"/>
                <w:color w:val="000000"/>
                <w:sz w:val="18"/>
                <w:szCs w:val="18"/>
              </w:rPr>
              <w:t>217,790</w:t>
            </w:r>
          </w:p>
        </w:tc>
        <w:tc>
          <w:tcPr>
            <w:tcW w:w="180" w:type="dxa"/>
            <w:tcBorders>
              <w:top w:val="nil"/>
              <w:left w:val="nil"/>
              <w:bottom w:val="nil"/>
              <w:right w:val="nil"/>
            </w:tcBorders>
            <w:vAlign w:val="bottom"/>
          </w:tcPr>
          <w:p w:rsidR="0073298C" w:rsidRDefault="0073298C" w:rsidP="0073298C">
            <w:pPr>
              <w:spacing w:before="22" w:after="22"/>
              <w:jc w:val="right"/>
              <w:rPr>
                <w:rFonts w:ascii="Arial" w:hAnsi="Arial" w:cs="Arial"/>
                <w:color w:val="000000"/>
                <w:sz w:val="18"/>
                <w:szCs w:val="18"/>
              </w:rPr>
            </w:pPr>
          </w:p>
          <w:p w:rsidR="0073298C" w:rsidRDefault="0073298C" w:rsidP="0073298C">
            <w:pPr>
              <w:rPr>
                <w:sz w:val="16"/>
                <w:szCs w:val="16"/>
              </w:rPr>
            </w:pPr>
            <w:r>
              <w:rPr>
                <w:sz w:val="16"/>
                <w:szCs w:val="16"/>
              </w:rPr>
              <w:t> </w:t>
            </w:r>
          </w:p>
        </w:tc>
        <w:tc>
          <w:tcPr>
            <w:tcW w:w="101" w:type="dxa"/>
            <w:tcBorders>
              <w:top w:val="nil"/>
              <w:left w:val="nil"/>
              <w:bottom w:val="nil"/>
              <w:right w:val="nil"/>
            </w:tcBorders>
            <w:vAlign w:val="bottom"/>
          </w:tcPr>
          <w:p w:rsidR="0073298C" w:rsidRDefault="0073298C" w:rsidP="0073298C">
            <w:pPr>
              <w:spacing w:before="22" w:after="22"/>
              <w:ind w:left="22" w:right="22"/>
              <w:rPr>
                <w:color w:val="000000"/>
              </w:rPr>
            </w:pPr>
            <w:r>
              <w:rPr>
                <w:color w:val="000000"/>
              </w:rPr>
              <w:t> </w:t>
            </w:r>
          </w:p>
        </w:tc>
        <w:tc>
          <w:tcPr>
            <w:tcW w:w="120" w:type="dxa"/>
            <w:tcBorders>
              <w:top w:val="nil"/>
              <w:left w:val="nil"/>
              <w:bottom w:val="nil"/>
              <w:right w:val="nil"/>
            </w:tcBorders>
            <w:vAlign w:val="center"/>
          </w:tcPr>
          <w:p w:rsidR="0073298C" w:rsidRDefault="0073298C" w:rsidP="0073298C">
            <w:pPr>
              <w:spacing w:before="22" w:after="22"/>
              <w:ind w:left="22"/>
              <w:rPr>
                <w:rFonts w:ascii="Arial" w:hAnsi="Arial" w:cs="Arial"/>
                <w:color w:val="000000"/>
                <w:sz w:val="18"/>
                <w:szCs w:val="18"/>
              </w:rPr>
            </w:pPr>
            <w:r>
              <w:rPr>
                <w:rFonts w:ascii="Arial" w:hAnsi="Arial" w:cs="Arial"/>
                <w:color w:val="000000"/>
                <w:sz w:val="18"/>
                <w:szCs w:val="18"/>
              </w:rPr>
              <w:t>$</w:t>
            </w:r>
          </w:p>
        </w:tc>
        <w:tc>
          <w:tcPr>
            <w:tcW w:w="1197" w:type="dxa"/>
            <w:tcBorders>
              <w:top w:val="nil"/>
              <w:left w:val="nil"/>
              <w:bottom w:val="nil"/>
              <w:right w:val="nil"/>
            </w:tcBorders>
            <w:vAlign w:val="center"/>
          </w:tcPr>
          <w:p w:rsidR="0073298C" w:rsidRDefault="0073298C" w:rsidP="0073298C">
            <w:pPr>
              <w:spacing w:before="22" w:after="22"/>
              <w:jc w:val="right"/>
              <w:rPr>
                <w:rFonts w:ascii="Arial" w:hAnsi="Arial" w:cs="Arial"/>
                <w:color w:val="000000"/>
                <w:sz w:val="18"/>
                <w:szCs w:val="18"/>
              </w:rPr>
            </w:pPr>
            <w:r>
              <w:rPr>
                <w:rFonts w:ascii="Arial" w:hAnsi="Arial" w:cs="Arial"/>
                <w:color w:val="000000"/>
                <w:sz w:val="18"/>
                <w:szCs w:val="18"/>
              </w:rPr>
              <w:t>231,029</w:t>
            </w:r>
          </w:p>
        </w:tc>
        <w:tc>
          <w:tcPr>
            <w:tcW w:w="180" w:type="dxa"/>
            <w:tcBorders>
              <w:top w:val="nil"/>
              <w:left w:val="nil"/>
              <w:bottom w:val="nil"/>
              <w:right w:val="nil"/>
            </w:tcBorders>
            <w:vAlign w:val="bottom"/>
          </w:tcPr>
          <w:p w:rsidR="0073298C" w:rsidRDefault="0073298C" w:rsidP="0073298C">
            <w:pPr>
              <w:spacing w:before="22" w:after="22"/>
              <w:jc w:val="right"/>
              <w:rPr>
                <w:rFonts w:ascii="Arial" w:hAnsi="Arial" w:cs="Arial"/>
                <w:color w:val="000000"/>
                <w:sz w:val="18"/>
                <w:szCs w:val="18"/>
              </w:rPr>
            </w:pPr>
          </w:p>
          <w:p w:rsidR="0073298C" w:rsidRDefault="0073298C" w:rsidP="0073298C">
            <w:pPr>
              <w:rPr>
                <w:sz w:val="16"/>
                <w:szCs w:val="16"/>
              </w:rPr>
            </w:pPr>
            <w:r>
              <w:rPr>
                <w:sz w:val="16"/>
                <w:szCs w:val="16"/>
              </w:rPr>
              <w:t> </w:t>
            </w:r>
          </w:p>
        </w:tc>
        <w:tc>
          <w:tcPr>
            <w:tcW w:w="101" w:type="dxa"/>
            <w:tcBorders>
              <w:top w:val="single" w:sz="6" w:space="0" w:color="00467E"/>
              <w:left w:val="nil"/>
              <w:bottom w:val="nil"/>
              <w:right w:val="nil"/>
            </w:tcBorders>
            <w:shd w:val="clear" w:color="00467E" w:fill="00467E"/>
            <w:vAlign w:val="bottom"/>
          </w:tcPr>
          <w:p w:rsidR="0073298C" w:rsidRDefault="0073298C" w:rsidP="0073298C">
            <w:pPr>
              <w:spacing w:before="22" w:after="22"/>
              <w:ind w:left="22" w:right="22"/>
              <w:rPr>
                <w:color w:val="000000"/>
              </w:rPr>
            </w:pPr>
            <w:r>
              <w:rPr>
                <w:color w:val="000000"/>
              </w:rPr>
              <w:t> </w:t>
            </w:r>
          </w:p>
        </w:tc>
        <w:tc>
          <w:tcPr>
            <w:tcW w:w="1015" w:type="dxa"/>
            <w:tcBorders>
              <w:top w:val="nil"/>
              <w:left w:val="nil"/>
              <w:bottom w:val="nil"/>
              <w:right w:val="nil"/>
            </w:tcBorders>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4.7</w:t>
            </w:r>
          </w:p>
        </w:tc>
        <w:tc>
          <w:tcPr>
            <w:tcW w:w="410" w:type="dxa"/>
            <w:tcBorders>
              <w:top w:val="nil"/>
              <w:left w:val="nil"/>
              <w:bottom w:val="nil"/>
              <w:right w:val="nil"/>
            </w:tcBorders>
            <w:vAlign w:val="center"/>
          </w:tcPr>
          <w:p w:rsidR="0073298C" w:rsidRDefault="0073298C" w:rsidP="0073298C">
            <w:pPr>
              <w:spacing w:before="22" w:after="22"/>
              <w:ind w:right="22"/>
              <w:rPr>
                <w:rFonts w:ascii="Arial" w:hAnsi="Arial" w:cs="Arial"/>
                <w:color w:val="000000"/>
                <w:sz w:val="18"/>
                <w:szCs w:val="18"/>
              </w:rPr>
            </w:pPr>
            <w:r>
              <w:rPr>
                <w:rFonts w:ascii="Arial" w:hAnsi="Arial" w:cs="Arial"/>
                <w:color w:val="000000"/>
                <w:sz w:val="18"/>
                <w:szCs w:val="18"/>
              </w:rPr>
              <w:t> %</w:t>
            </w:r>
          </w:p>
        </w:tc>
        <w:tc>
          <w:tcPr>
            <w:tcW w:w="101" w:type="dxa"/>
            <w:tcBorders>
              <w:top w:val="nil"/>
              <w:left w:val="nil"/>
              <w:bottom w:val="nil"/>
              <w:right w:val="nil"/>
            </w:tcBorders>
            <w:vAlign w:val="bottom"/>
          </w:tcPr>
          <w:p w:rsidR="0073298C" w:rsidRDefault="0073298C" w:rsidP="0073298C">
            <w:pPr>
              <w:spacing w:before="22" w:after="22"/>
              <w:ind w:left="22" w:right="22"/>
              <w:rPr>
                <w:color w:val="000000"/>
              </w:rPr>
            </w:pPr>
            <w:r>
              <w:rPr>
                <w:color w:val="000000"/>
              </w:rPr>
              <w:t> </w:t>
            </w:r>
          </w:p>
        </w:tc>
        <w:tc>
          <w:tcPr>
            <w:tcW w:w="977" w:type="dxa"/>
            <w:tcBorders>
              <w:top w:val="nil"/>
              <w:left w:val="nil"/>
              <w:bottom w:val="nil"/>
              <w:right w:val="nil"/>
            </w:tcBorders>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(5.7</w:t>
            </w:r>
          </w:p>
        </w:tc>
        <w:tc>
          <w:tcPr>
            <w:tcW w:w="416" w:type="dxa"/>
            <w:gridSpan w:val="2"/>
            <w:tcBorders>
              <w:top w:val="nil"/>
              <w:left w:val="nil"/>
              <w:bottom w:val="nil"/>
              <w:right w:val="single" w:sz="6" w:space="0" w:color="00467E"/>
            </w:tcBorders>
            <w:vAlign w:val="center"/>
          </w:tcPr>
          <w:p w:rsidR="0073298C" w:rsidRDefault="0073298C" w:rsidP="0073298C">
            <w:pPr>
              <w:spacing w:before="22" w:after="22"/>
              <w:ind w:right="22"/>
              <w:rPr>
                <w:rFonts w:ascii="Arial" w:hAnsi="Arial" w:cs="Arial"/>
                <w:color w:val="000000"/>
                <w:sz w:val="18"/>
                <w:szCs w:val="18"/>
              </w:rPr>
            </w:pPr>
            <w:r>
              <w:rPr>
                <w:rFonts w:ascii="Arial" w:hAnsi="Arial" w:cs="Arial"/>
                <w:color w:val="000000"/>
                <w:sz w:val="18"/>
                <w:szCs w:val="18"/>
              </w:rPr>
              <w:t>) %</w:t>
            </w:r>
          </w:p>
        </w:tc>
      </w:tr>
      <w:tr w:rsidR="0073298C" w:rsidTr="0073298C">
        <w:tblPrEx>
          <w:tblCellMar>
            <w:top w:w="0" w:type="dxa"/>
            <w:left w:w="0" w:type="dxa"/>
            <w:bottom w:w="0" w:type="dxa"/>
            <w:right w:w="0" w:type="dxa"/>
          </w:tblCellMar>
        </w:tblPrEx>
        <w:trPr>
          <w:trHeight w:val="298"/>
          <w:jc w:val="center"/>
        </w:trPr>
        <w:tc>
          <w:tcPr>
            <w:tcW w:w="3087" w:type="dxa"/>
            <w:tcBorders>
              <w:top w:val="nil"/>
              <w:left w:val="single" w:sz="6" w:space="0" w:color="00467E"/>
              <w:bottom w:val="nil"/>
              <w:right w:val="nil"/>
            </w:tcBorders>
            <w:shd w:val="clear" w:color="CFD4D8" w:fill="CFD4D8"/>
            <w:vAlign w:val="center"/>
          </w:tcPr>
          <w:p w:rsidR="0073298C" w:rsidRDefault="0073298C" w:rsidP="0073298C">
            <w:pPr>
              <w:spacing w:before="22" w:after="22"/>
              <w:ind w:left="22" w:right="22"/>
              <w:rPr>
                <w:rFonts w:ascii="Arial" w:hAnsi="Arial" w:cs="Arial"/>
                <w:color w:val="000000"/>
                <w:sz w:val="18"/>
                <w:szCs w:val="18"/>
              </w:rPr>
            </w:pPr>
            <w:r>
              <w:rPr>
                <w:rFonts w:ascii="Arial" w:hAnsi="Arial" w:cs="Arial"/>
                <w:color w:val="000000"/>
                <w:sz w:val="18"/>
                <w:szCs w:val="18"/>
              </w:rPr>
              <w:t>Operating income</w:t>
            </w:r>
          </w:p>
        </w:tc>
        <w:tc>
          <w:tcPr>
            <w:tcW w:w="120" w:type="dxa"/>
            <w:tcBorders>
              <w:top w:val="nil"/>
              <w:left w:val="nil"/>
              <w:bottom w:val="nil"/>
              <w:right w:val="nil"/>
            </w:tcBorders>
            <w:shd w:val="clear" w:color="CFD4D8" w:fill="CFD4D8"/>
            <w:vAlign w:val="center"/>
          </w:tcPr>
          <w:p w:rsidR="0073298C" w:rsidRDefault="0073298C" w:rsidP="0073298C">
            <w:pPr>
              <w:spacing w:before="22" w:after="22"/>
              <w:ind w:left="22"/>
              <w:rPr>
                <w:rFonts w:ascii="Arial" w:hAnsi="Arial" w:cs="Arial"/>
                <w:color w:val="000000"/>
                <w:sz w:val="18"/>
                <w:szCs w:val="18"/>
              </w:rPr>
            </w:pPr>
            <w:r>
              <w:rPr>
                <w:rFonts w:ascii="Arial" w:hAnsi="Arial" w:cs="Arial"/>
                <w:color w:val="000000"/>
                <w:sz w:val="18"/>
                <w:szCs w:val="18"/>
              </w:rPr>
              <w:t>$</w:t>
            </w:r>
          </w:p>
        </w:tc>
        <w:tc>
          <w:tcPr>
            <w:tcW w:w="1197" w:type="dxa"/>
            <w:tcBorders>
              <w:top w:val="nil"/>
              <w:left w:val="nil"/>
              <w:bottom w:val="nil"/>
              <w:right w:val="nil"/>
            </w:tcBorders>
            <w:shd w:val="clear" w:color="CFD4D8" w:fill="CFD4D8"/>
            <w:vAlign w:val="center"/>
          </w:tcPr>
          <w:p w:rsidR="0073298C" w:rsidRDefault="0073298C" w:rsidP="0073298C">
            <w:pPr>
              <w:spacing w:before="22" w:after="22"/>
              <w:jc w:val="right"/>
              <w:rPr>
                <w:rFonts w:ascii="Arial" w:hAnsi="Arial" w:cs="Arial"/>
                <w:color w:val="000000"/>
                <w:sz w:val="18"/>
                <w:szCs w:val="18"/>
              </w:rPr>
            </w:pPr>
            <w:r>
              <w:rPr>
                <w:rFonts w:ascii="Arial" w:hAnsi="Arial" w:cs="Arial"/>
                <w:color w:val="000000"/>
                <w:sz w:val="18"/>
                <w:szCs w:val="18"/>
              </w:rPr>
              <w:t>12,600</w:t>
            </w:r>
          </w:p>
        </w:tc>
        <w:tc>
          <w:tcPr>
            <w:tcW w:w="180" w:type="dxa"/>
            <w:tcBorders>
              <w:top w:val="nil"/>
              <w:left w:val="nil"/>
              <w:bottom w:val="nil"/>
              <w:right w:val="nil"/>
            </w:tcBorders>
            <w:shd w:val="clear" w:color="CFD4D8" w:fill="CFD4D8"/>
            <w:vAlign w:val="bottom"/>
          </w:tcPr>
          <w:p w:rsidR="0073298C" w:rsidRDefault="0073298C" w:rsidP="0073298C">
            <w:pPr>
              <w:spacing w:before="22" w:after="22"/>
              <w:jc w:val="right"/>
              <w:rPr>
                <w:rFonts w:ascii="Arial" w:hAnsi="Arial" w:cs="Arial"/>
                <w:color w:val="000000"/>
                <w:sz w:val="18"/>
                <w:szCs w:val="18"/>
              </w:rPr>
            </w:pPr>
          </w:p>
          <w:p w:rsidR="0073298C" w:rsidRDefault="0073298C" w:rsidP="0073298C">
            <w:pPr>
              <w:rPr>
                <w:sz w:val="16"/>
                <w:szCs w:val="16"/>
              </w:rPr>
            </w:pPr>
            <w:r>
              <w:rPr>
                <w:sz w:val="16"/>
                <w:szCs w:val="16"/>
              </w:rPr>
              <w:t> </w:t>
            </w:r>
          </w:p>
        </w:tc>
        <w:tc>
          <w:tcPr>
            <w:tcW w:w="101" w:type="dxa"/>
            <w:tcBorders>
              <w:top w:val="nil"/>
              <w:left w:val="nil"/>
              <w:bottom w:val="nil"/>
              <w:right w:val="nil"/>
            </w:tcBorders>
            <w:shd w:val="clear" w:color="CFD4D8" w:fill="CFD4D8"/>
            <w:vAlign w:val="bottom"/>
          </w:tcPr>
          <w:p w:rsidR="0073298C" w:rsidRDefault="0073298C" w:rsidP="0073298C">
            <w:pPr>
              <w:spacing w:before="22" w:after="22"/>
              <w:ind w:left="22" w:right="22"/>
              <w:rPr>
                <w:color w:val="000000"/>
              </w:rPr>
            </w:pPr>
            <w:r>
              <w:rPr>
                <w:color w:val="000000"/>
              </w:rPr>
              <w:t> </w:t>
            </w:r>
          </w:p>
        </w:tc>
        <w:tc>
          <w:tcPr>
            <w:tcW w:w="120" w:type="dxa"/>
            <w:tcBorders>
              <w:top w:val="nil"/>
              <w:left w:val="nil"/>
              <w:bottom w:val="nil"/>
              <w:right w:val="nil"/>
            </w:tcBorders>
            <w:shd w:val="clear" w:color="CFD4D8" w:fill="CFD4D8"/>
            <w:vAlign w:val="center"/>
          </w:tcPr>
          <w:p w:rsidR="0073298C" w:rsidRDefault="0073298C" w:rsidP="0073298C">
            <w:pPr>
              <w:spacing w:before="22" w:after="22"/>
              <w:ind w:left="22"/>
              <w:rPr>
                <w:rFonts w:ascii="Arial" w:hAnsi="Arial" w:cs="Arial"/>
                <w:color w:val="000000"/>
                <w:sz w:val="18"/>
                <w:szCs w:val="18"/>
              </w:rPr>
            </w:pPr>
            <w:r>
              <w:rPr>
                <w:rFonts w:ascii="Arial" w:hAnsi="Arial" w:cs="Arial"/>
                <w:color w:val="000000"/>
                <w:sz w:val="18"/>
                <w:szCs w:val="18"/>
              </w:rPr>
              <w:t>$</w:t>
            </w:r>
          </w:p>
        </w:tc>
        <w:tc>
          <w:tcPr>
            <w:tcW w:w="1197" w:type="dxa"/>
            <w:tcBorders>
              <w:top w:val="nil"/>
              <w:left w:val="nil"/>
              <w:bottom w:val="nil"/>
              <w:right w:val="nil"/>
            </w:tcBorders>
            <w:shd w:val="clear" w:color="CFD4D8" w:fill="CFD4D8"/>
            <w:vAlign w:val="center"/>
          </w:tcPr>
          <w:p w:rsidR="0073298C" w:rsidRDefault="0073298C" w:rsidP="0073298C">
            <w:pPr>
              <w:spacing w:before="22" w:after="22"/>
              <w:jc w:val="right"/>
              <w:rPr>
                <w:rFonts w:ascii="Arial" w:hAnsi="Arial" w:cs="Arial"/>
                <w:color w:val="000000"/>
                <w:sz w:val="18"/>
                <w:szCs w:val="18"/>
              </w:rPr>
            </w:pPr>
            <w:r>
              <w:rPr>
                <w:rFonts w:ascii="Arial" w:hAnsi="Arial" w:cs="Arial"/>
                <w:color w:val="000000"/>
                <w:sz w:val="18"/>
                <w:szCs w:val="18"/>
              </w:rPr>
              <w:t>12,250</w:t>
            </w:r>
          </w:p>
        </w:tc>
        <w:tc>
          <w:tcPr>
            <w:tcW w:w="180" w:type="dxa"/>
            <w:tcBorders>
              <w:top w:val="nil"/>
              <w:left w:val="nil"/>
              <w:bottom w:val="nil"/>
              <w:right w:val="nil"/>
            </w:tcBorders>
            <w:shd w:val="clear" w:color="CFD4D8" w:fill="CFD4D8"/>
            <w:vAlign w:val="bottom"/>
          </w:tcPr>
          <w:p w:rsidR="0073298C" w:rsidRDefault="0073298C" w:rsidP="0073298C">
            <w:pPr>
              <w:spacing w:before="22" w:after="22"/>
              <w:jc w:val="right"/>
              <w:rPr>
                <w:rFonts w:ascii="Arial" w:hAnsi="Arial" w:cs="Arial"/>
                <w:color w:val="000000"/>
                <w:sz w:val="18"/>
                <w:szCs w:val="18"/>
              </w:rPr>
            </w:pPr>
          </w:p>
          <w:p w:rsidR="0073298C" w:rsidRDefault="0073298C" w:rsidP="0073298C">
            <w:pPr>
              <w:rPr>
                <w:sz w:val="16"/>
                <w:szCs w:val="16"/>
              </w:rPr>
            </w:pPr>
            <w:r>
              <w:rPr>
                <w:sz w:val="16"/>
                <w:szCs w:val="16"/>
              </w:rPr>
              <w:t> </w:t>
            </w:r>
          </w:p>
        </w:tc>
        <w:tc>
          <w:tcPr>
            <w:tcW w:w="101" w:type="dxa"/>
            <w:tcBorders>
              <w:top w:val="nil"/>
              <w:left w:val="nil"/>
              <w:bottom w:val="nil"/>
              <w:right w:val="nil"/>
            </w:tcBorders>
            <w:shd w:val="clear" w:color="CFD4D8" w:fill="CFD4D8"/>
            <w:vAlign w:val="bottom"/>
          </w:tcPr>
          <w:p w:rsidR="0073298C" w:rsidRDefault="0073298C" w:rsidP="0073298C">
            <w:pPr>
              <w:spacing w:before="22" w:after="22"/>
              <w:ind w:left="22" w:right="22"/>
              <w:rPr>
                <w:color w:val="000000"/>
              </w:rPr>
            </w:pPr>
            <w:r>
              <w:rPr>
                <w:color w:val="000000"/>
              </w:rPr>
              <w:t> </w:t>
            </w:r>
          </w:p>
        </w:tc>
        <w:tc>
          <w:tcPr>
            <w:tcW w:w="120" w:type="dxa"/>
            <w:tcBorders>
              <w:top w:val="nil"/>
              <w:left w:val="nil"/>
              <w:bottom w:val="nil"/>
              <w:right w:val="nil"/>
            </w:tcBorders>
            <w:shd w:val="clear" w:color="CFD4D8" w:fill="CFD4D8"/>
            <w:vAlign w:val="center"/>
          </w:tcPr>
          <w:p w:rsidR="0073298C" w:rsidRDefault="0073298C" w:rsidP="0073298C">
            <w:pPr>
              <w:spacing w:before="22" w:after="22"/>
              <w:ind w:left="22"/>
              <w:rPr>
                <w:rFonts w:ascii="Arial" w:hAnsi="Arial" w:cs="Arial"/>
                <w:color w:val="000000"/>
                <w:sz w:val="18"/>
                <w:szCs w:val="18"/>
              </w:rPr>
            </w:pPr>
            <w:r>
              <w:rPr>
                <w:rFonts w:ascii="Arial" w:hAnsi="Arial" w:cs="Arial"/>
                <w:color w:val="000000"/>
                <w:sz w:val="18"/>
                <w:szCs w:val="18"/>
              </w:rPr>
              <w:t>$</w:t>
            </w:r>
          </w:p>
        </w:tc>
        <w:tc>
          <w:tcPr>
            <w:tcW w:w="1197" w:type="dxa"/>
            <w:tcBorders>
              <w:top w:val="nil"/>
              <w:left w:val="nil"/>
              <w:bottom w:val="nil"/>
              <w:right w:val="nil"/>
            </w:tcBorders>
            <w:shd w:val="clear" w:color="CFD4D8" w:fill="CFD4D8"/>
            <w:vAlign w:val="center"/>
          </w:tcPr>
          <w:p w:rsidR="0073298C" w:rsidRDefault="0073298C" w:rsidP="0073298C">
            <w:pPr>
              <w:spacing w:before="22" w:after="22"/>
              <w:jc w:val="right"/>
              <w:rPr>
                <w:rFonts w:ascii="Arial" w:hAnsi="Arial" w:cs="Arial"/>
                <w:color w:val="000000"/>
                <w:sz w:val="18"/>
                <w:szCs w:val="18"/>
              </w:rPr>
            </w:pPr>
            <w:r>
              <w:rPr>
                <w:rFonts w:ascii="Arial" w:hAnsi="Arial" w:cs="Arial"/>
                <w:color w:val="000000"/>
                <w:sz w:val="18"/>
                <w:szCs w:val="18"/>
              </w:rPr>
              <w:t>15,857</w:t>
            </w:r>
          </w:p>
        </w:tc>
        <w:tc>
          <w:tcPr>
            <w:tcW w:w="180" w:type="dxa"/>
            <w:tcBorders>
              <w:top w:val="nil"/>
              <w:left w:val="nil"/>
              <w:bottom w:val="nil"/>
              <w:right w:val="nil"/>
            </w:tcBorders>
            <w:shd w:val="clear" w:color="CFD4D8" w:fill="CFD4D8"/>
            <w:vAlign w:val="bottom"/>
          </w:tcPr>
          <w:p w:rsidR="0073298C" w:rsidRDefault="0073298C" w:rsidP="0073298C">
            <w:pPr>
              <w:spacing w:before="22" w:after="22"/>
              <w:jc w:val="right"/>
              <w:rPr>
                <w:rFonts w:ascii="Arial" w:hAnsi="Arial" w:cs="Arial"/>
                <w:color w:val="000000"/>
                <w:sz w:val="18"/>
                <w:szCs w:val="18"/>
              </w:rPr>
            </w:pPr>
          </w:p>
          <w:p w:rsidR="0073298C" w:rsidRDefault="0073298C" w:rsidP="0073298C">
            <w:pPr>
              <w:rPr>
                <w:sz w:val="16"/>
                <w:szCs w:val="16"/>
              </w:rPr>
            </w:pPr>
            <w:r>
              <w:rPr>
                <w:sz w:val="16"/>
                <w:szCs w:val="16"/>
              </w:rPr>
              <w:t> </w:t>
            </w:r>
          </w:p>
        </w:tc>
        <w:tc>
          <w:tcPr>
            <w:tcW w:w="101" w:type="dxa"/>
            <w:tcBorders>
              <w:top w:val="single" w:sz="6" w:space="0" w:color="00467E"/>
              <w:left w:val="nil"/>
              <w:bottom w:val="single" w:sz="6" w:space="0" w:color="00467E"/>
              <w:right w:val="nil"/>
            </w:tcBorders>
            <w:shd w:val="clear" w:color="00467E" w:fill="00467E"/>
            <w:vAlign w:val="bottom"/>
          </w:tcPr>
          <w:p w:rsidR="0073298C" w:rsidRDefault="0073298C" w:rsidP="0073298C">
            <w:pPr>
              <w:spacing w:before="22" w:after="22"/>
              <w:ind w:left="22" w:right="22"/>
              <w:rPr>
                <w:color w:val="000000"/>
              </w:rPr>
            </w:pPr>
            <w:r>
              <w:rPr>
                <w:color w:val="000000"/>
              </w:rPr>
              <w:t> </w:t>
            </w:r>
          </w:p>
        </w:tc>
        <w:tc>
          <w:tcPr>
            <w:tcW w:w="1015" w:type="dxa"/>
            <w:tcBorders>
              <w:top w:val="nil"/>
              <w:left w:val="nil"/>
              <w:bottom w:val="nil"/>
              <w:right w:val="nil"/>
            </w:tcBorders>
            <w:shd w:val="clear" w:color="CFD4D8" w:fill="CFD4D8"/>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2.9</w:t>
            </w:r>
          </w:p>
        </w:tc>
        <w:tc>
          <w:tcPr>
            <w:tcW w:w="410" w:type="dxa"/>
            <w:tcBorders>
              <w:top w:val="nil"/>
              <w:left w:val="nil"/>
              <w:bottom w:val="nil"/>
              <w:right w:val="nil"/>
            </w:tcBorders>
            <w:shd w:val="clear" w:color="CFD4D8" w:fill="CFD4D8"/>
            <w:vAlign w:val="center"/>
          </w:tcPr>
          <w:p w:rsidR="0073298C" w:rsidRDefault="0073298C" w:rsidP="0073298C">
            <w:pPr>
              <w:spacing w:before="22" w:after="22"/>
              <w:ind w:right="22"/>
              <w:rPr>
                <w:rFonts w:ascii="Arial" w:hAnsi="Arial" w:cs="Arial"/>
                <w:color w:val="000000"/>
                <w:sz w:val="18"/>
                <w:szCs w:val="18"/>
              </w:rPr>
            </w:pPr>
            <w:r>
              <w:rPr>
                <w:rFonts w:ascii="Arial" w:hAnsi="Arial" w:cs="Arial"/>
                <w:color w:val="000000"/>
                <w:sz w:val="18"/>
                <w:szCs w:val="18"/>
              </w:rPr>
              <w:t> %</w:t>
            </w:r>
          </w:p>
        </w:tc>
        <w:tc>
          <w:tcPr>
            <w:tcW w:w="101" w:type="dxa"/>
            <w:tcBorders>
              <w:top w:val="nil"/>
              <w:left w:val="nil"/>
              <w:bottom w:val="nil"/>
              <w:right w:val="nil"/>
            </w:tcBorders>
            <w:shd w:val="clear" w:color="CFD4D8" w:fill="CFD4D8"/>
            <w:vAlign w:val="bottom"/>
          </w:tcPr>
          <w:p w:rsidR="0073298C" w:rsidRDefault="0073298C" w:rsidP="0073298C">
            <w:pPr>
              <w:spacing w:before="22" w:after="22"/>
              <w:ind w:left="22" w:right="22"/>
              <w:rPr>
                <w:color w:val="000000"/>
              </w:rPr>
            </w:pPr>
            <w:r>
              <w:rPr>
                <w:color w:val="000000"/>
              </w:rPr>
              <w:t> </w:t>
            </w:r>
          </w:p>
        </w:tc>
        <w:tc>
          <w:tcPr>
            <w:tcW w:w="977" w:type="dxa"/>
            <w:tcBorders>
              <w:top w:val="nil"/>
              <w:left w:val="nil"/>
              <w:bottom w:val="nil"/>
              <w:right w:val="nil"/>
            </w:tcBorders>
            <w:shd w:val="clear" w:color="CFD4D8" w:fill="CFD4D8"/>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(22.7</w:t>
            </w:r>
          </w:p>
        </w:tc>
        <w:tc>
          <w:tcPr>
            <w:tcW w:w="416" w:type="dxa"/>
            <w:gridSpan w:val="2"/>
            <w:tcBorders>
              <w:top w:val="nil"/>
              <w:left w:val="nil"/>
              <w:bottom w:val="nil"/>
              <w:right w:val="single" w:sz="6" w:space="0" w:color="00467E"/>
            </w:tcBorders>
            <w:shd w:val="clear" w:color="CFD4D8" w:fill="CFD4D8"/>
            <w:vAlign w:val="center"/>
          </w:tcPr>
          <w:p w:rsidR="0073298C" w:rsidRDefault="0073298C" w:rsidP="0073298C">
            <w:pPr>
              <w:spacing w:before="22" w:after="22"/>
              <w:ind w:right="22"/>
              <w:rPr>
                <w:rFonts w:ascii="Arial" w:hAnsi="Arial" w:cs="Arial"/>
                <w:color w:val="000000"/>
                <w:sz w:val="18"/>
                <w:szCs w:val="18"/>
              </w:rPr>
            </w:pPr>
            <w:r>
              <w:rPr>
                <w:rFonts w:ascii="Arial" w:hAnsi="Arial" w:cs="Arial"/>
                <w:color w:val="000000"/>
                <w:sz w:val="18"/>
                <w:szCs w:val="18"/>
              </w:rPr>
              <w:t>) %</w:t>
            </w:r>
          </w:p>
        </w:tc>
      </w:tr>
      <w:tr w:rsidR="0073298C" w:rsidTr="0073298C">
        <w:tblPrEx>
          <w:tblCellMar>
            <w:top w:w="0" w:type="dxa"/>
            <w:left w:w="0" w:type="dxa"/>
            <w:bottom w:w="0" w:type="dxa"/>
            <w:right w:w="0" w:type="dxa"/>
          </w:tblCellMar>
        </w:tblPrEx>
        <w:trPr>
          <w:trHeight w:val="479"/>
          <w:jc w:val="center"/>
        </w:trPr>
        <w:tc>
          <w:tcPr>
            <w:tcW w:w="3087" w:type="dxa"/>
            <w:tcBorders>
              <w:top w:val="nil"/>
              <w:left w:val="single" w:sz="6" w:space="0" w:color="00467E"/>
              <w:bottom w:val="nil"/>
              <w:right w:val="nil"/>
            </w:tcBorders>
            <w:vAlign w:val="center"/>
          </w:tcPr>
          <w:p w:rsidR="0073298C" w:rsidRDefault="0073298C" w:rsidP="0073298C">
            <w:pPr>
              <w:spacing w:before="22" w:after="22"/>
              <w:ind w:left="22" w:right="22"/>
              <w:rPr>
                <w:rFonts w:ascii="Arial" w:hAnsi="Arial" w:cs="Arial"/>
                <w:color w:val="000000"/>
                <w:sz w:val="18"/>
                <w:szCs w:val="18"/>
              </w:rPr>
            </w:pPr>
            <w:r>
              <w:rPr>
                <w:rFonts w:ascii="Arial" w:hAnsi="Arial" w:cs="Arial"/>
                <w:color w:val="000000"/>
                <w:sz w:val="18"/>
                <w:szCs w:val="18"/>
              </w:rPr>
              <w:t>Revenue per load – Brokerage only</w:t>
            </w:r>
          </w:p>
        </w:tc>
        <w:tc>
          <w:tcPr>
            <w:tcW w:w="120" w:type="dxa"/>
            <w:tcBorders>
              <w:top w:val="nil"/>
              <w:left w:val="nil"/>
              <w:bottom w:val="nil"/>
              <w:right w:val="nil"/>
            </w:tcBorders>
            <w:vAlign w:val="center"/>
          </w:tcPr>
          <w:p w:rsidR="0073298C" w:rsidRDefault="0073298C" w:rsidP="0073298C">
            <w:pPr>
              <w:spacing w:before="22" w:after="22"/>
              <w:ind w:left="22"/>
              <w:rPr>
                <w:rFonts w:ascii="Arial" w:hAnsi="Arial" w:cs="Arial"/>
                <w:color w:val="000000"/>
                <w:sz w:val="18"/>
                <w:szCs w:val="18"/>
              </w:rPr>
            </w:pPr>
            <w:r>
              <w:rPr>
                <w:rFonts w:ascii="Arial" w:hAnsi="Arial" w:cs="Arial"/>
                <w:color w:val="000000"/>
                <w:sz w:val="18"/>
                <w:szCs w:val="18"/>
              </w:rPr>
              <w:t>$</w:t>
            </w:r>
          </w:p>
        </w:tc>
        <w:tc>
          <w:tcPr>
            <w:tcW w:w="1197" w:type="dxa"/>
            <w:tcBorders>
              <w:top w:val="nil"/>
              <w:left w:val="nil"/>
              <w:bottom w:val="nil"/>
              <w:right w:val="nil"/>
            </w:tcBorders>
            <w:vAlign w:val="center"/>
          </w:tcPr>
          <w:p w:rsidR="0073298C" w:rsidRDefault="0073298C" w:rsidP="0073298C">
            <w:pPr>
              <w:spacing w:before="22" w:after="22"/>
              <w:jc w:val="right"/>
              <w:rPr>
                <w:rFonts w:ascii="Arial" w:hAnsi="Arial" w:cs="Arial"/>
                <w:color w:val="000000"/>
                <w:sz w:val="18"/>
                <w:szCs w:val="18"/>
              </w:rPr>
            </w:pPr>
            <w:r>
              <w:rPr>
                <w:rFonts w:ascii="Arial" w:hAnsi="Arial" w:cs="Arial"/>
                <w:color w:val="000000"/>
                <w:sz w:val="18"/>
                <w:szCs w:val="18"/>
              </w:rPr>
              <w:t>1,357</w:t>
            </w:r>
          </w:p>
        </w:tc>
        <w:tc>
          <w:tcPr>
            <w:tcW w:w="180" w:type="dxa"/>
            <w:tcBorders>
              <w:top w:val="nil"/>
              <w:left w:val="nil"/>
              <w:bottom w:val="nil"/>
              <w:right w:val="nil"/>
            </w:tcBorders>
            <w:vAlign w:val="bottom"/>
          </w:tcPr>
          <w:p w:rsidR="0073298C" w:rsidRDefault="0073298C" w:rsidP="0073298C">
            <w:pPr>
              <w:spacing w:before="22" w:after="22"/>
              <w:jc w:val="right"/>
              <w:rPr>
                <w:rFonts w:ascii="Arial" w:hAnsi="Arial" w:cs="Arial"/>
                <w:color w:val="000000"/>
                <w:sz w:val="18"/>
                <w:szCs w:val="18"/>
              </w:rPr>
            </w:pPr>
          </w:p>
          <w:p w:rsidR="0073298C" w:rsidRDefault="0073298C" w:rsidP="0073298C">
            <w:pPr>
              <w:rPr>
                <w:sz w:val="16"/>
                <w:szCs w:val="16"/>
              </w:rPr>
            </w:pPr>
            <w:r>
              <w:rPr>
                <w:sz w:val="16"/>
                <w:szCs w:val="16"/>
              </w:rPr>
              <w:t> </w:t>
            </w:r>
          </w:p>
        </w:tc>
        <w:tc>
          <w:tcPr>
            <w:tcW w:w="101" w:type="dxa"/>
            <w:tcBorders>
              <w:top w:val="nil"/>
              <w:left w:val="nil"/>
              <w:bottom w:val="nil"/>
              <w:right w:val="nil"/>
            </w:tcBorders>
            <w:vAlign w:val="bottom"/>
          </w:tcPr>
          <w:p w:rsidR="0073298C" w:rsidRDefault="0073298C" w:rsidP="0073298C">
            <w:pPr>
              <w:spacing w:before="22" w:after="22"/>
              <w:ind w:left="22" w:right="22"/>
              <w:rPr>
                <w:color w:val="000000"/>
              </w:rPr>
            </w:pPr>
            <w:r>
              <w:rPr>
                <w:color w:val="000000"/>
              </w:rPr>
              <w:t> </w:t>
            </w:r>
          </w:p>
        </w:tc>
        <w:tc>
          <w:tcPr>
            <w:tcW w:w="120" w:type="dxa"/>
            <w:tcBorders>
              <w:top w:val="nil"/>
              <w:left w:val="nil"/>
              <w:bottom w:val="nil"/>
              <w:right w:val="nil"/>
            </w:tcBorders>
            <w:vAlign w:val="center"/>
          </w:tcPr>
          <w:p w:rsidR="0073298C" w:rsidRDefault="0073298C" w:rsidP="0073298C">
            <w:pPr>
              <w:spacing w:before="22" w:after="22"/>
              <w:ind w:left="22"/>
              <w:rPr>
                <w:rFonts w:ascii="Arial" w:hAnsi="Arial" w:cs="Arial"/>
                <w:color w:val="000000"/>
                <w:sz w:val="18"/>
                <w:szCs w:val="18"/>
              </w:rPr>
            </w:pPr>
            <w:r>
              <w:rPr>
                <w:rFonts w:ascii="Arial" w:hAnsi="Arial" w:cs="Arial"/>
                <w:color w:val="000000"/>
                <w:sz w:val="18"/>
                <w:szCs w:val="18"/>
              </w:rPr>
              <w:t>$</w:t>
            </w:r>
          </w:p>
        </w:tc>
        <w:tc>
          <w:tcPr>
            <w:tcW w:w="1197" w:type="dxa"/>
            <w:tcBorders>
              <w:top w:val="nil"/>
              <w:left w:val="nil"/>
              <w:bottom w:val="nil"/>
              <w:right w:val="nil"/>
            </w:tcBorders>
            <w:vAlign w:val="center"/>
          </w:tcPr>
          <w:p w:rsidR="0073298C" w:rsidRDefault="0073298C" w:rsidP="0073298C">
            <w:pPr>
              <w:spacing w:before="22" w:after="22"/>
              <w:jc w:val="right"/>
              <w:rPr>
                <w:rFonts w:ascii="Arial" w:hAnsi="Arial" w:cs="Arial"/>
                <w:color w:val="000000"/>
                <w:sz w:val="18"/>
                <w:szCs w:val="18"/>
              </w:rPr>
            </w:pPr>
            <w:r>
              <w:rPr>
                <w:rFonts w:ascii="Arial" w:hAnsi="Arial" w:cs="Arial"/>
                <w:color w:val="000000"/>
                <w:sz w:val="18"/>
                <w:szCs w:val="18"/>
              </w:rPr>
              <w:t>1,275</w:t>
            </w:r>
          </w:p>
        </w:tc>
        <w:tc>
          <w:tcPr>
            <w:tcW w:w="180" w:type="dxa"/>
            <w:tcBorders>
              <w:top w:val="nil"/>
              <w:left w:val="nil"/>
              <w:bottom w:val="nil"/>
              <w:right w:val="nil"/>
            </w:tcBorders>
            <w:vAlign w:val="bottom"/>
          </w:tcPr>
          <w:p w:rsidR="0073298C" w:rsidRDefault="0073298C" w:rsidP="0073298C">
            <w:pPr>
              <w:spacing w:before="22" w:after="22"/>
              <w:jc w:val="right"/>
              <w:rPr>
                <w:rFonts w:ascii="Arial" w:hAnsi="Arial" w:cs="Arial"/>
                <w:color w:val="000000"/>
                <w:sz w:val="18"/>
                <w:szCs w:val="18"/>
              </w:rPr>
            </w:pPr>
          </w:p>
          <w:p w:rsidR="0073298C" w:rsidRDefault="0073298C" w:rsidP="0073298C">
            <w:pPr>
              <w:rPr>
                <w:sz w:val="16"/>
                <w:szCs w:val="16"/>
              </w:rPr>
            </w:pPr>
            <w:r>
              <w:rPr>
                <w:sz w:val="16"/>
                <w:szCs w:val="16"/>
              </w:rPr>
              <w:t> </w:t>
            </w:r>
          </w:p>
        </w:tc>
        <w:tc>
          <w:tcPr>
            <w:tcW w:w="101" w:type="dxa"/>
            <w:tcBorders>
              <w:top w:val="nil"/>
              <w:left w:val="nil"/>
              <w:bottom w:val="nil"/>
              <w:right w:val="nil"/>
            </w:tcBorders>
            <w:vAlign w:val="bottom"/>
          </w:tcPr>
          <w:p w:rsidR="0073298C" w:rsidRDefault="0073298C" w:rsidP="0073298C">
            <w:pPr>
              <w:spacing w:before="22" w:after="22"/>
              <w:ind w:left="22" w:right="22"/>
              <w:rPr>
                <w:color w:val="000000"/>
              </w:rPr>
            </w:pPr>
            <w:r>
              <w:rPr>
                <w:color w:val="000000"/>
              </w:rPr>
              <w:t> </w:t>
            </w:r>
          </w:p>
        </w:tc>
        <w:tc>
          <w:tcPr>
            <w:tcW w:w="120" w:type="dxa"/>
            <w:tcBorders>
              <w:top w:val="nil"/>
              <w:left w:val="nil"/>
              <w:bottom w:val="nil"/>
              <w:right w:val="nil"/>
            </w:tcBorders>
            <w:vAlign w:val="center"/>
          </w:tcPr>
          <w:p w:rsidR="0073298C" w:rsidRDefault="0073298C" w:rsidP="0073298C">
            <w:pPr>
              <w:spacing w:before="22" w:after="22"/>
              <w:ind w:left="22"/>
              <w:rPr>
                <w:rFonts w:ascii="Arial" w:hAnsi="Arial" w:cs="Arial"/>
                <w:color w:val="000000"/>
                <w:sz w:val="18"/>
                <w:szCs w:val="18"/>
              </w:rPr>
            </w:pPr>
            <w:r>
              <w:rPr>
                <w:rFonts w:ascii="Arial" w:hAnsi="Arial" w:cs="Arial"/>
                <w:color w:val="000000"/>
                <w:sz w:val="18"/>
                <w:szCs w:val="18"/>
              </w:rPr>
              <w:t>$</w:t>
            </w:r>
          </w:p>
        </w:tc>
        <w:tc>
          <w:tcPr>
            <w:tcW w:w="1197" w:type="dxa"/>
            <w:tcBorders>
              <w:top w:val="nil"/>
              <w:left w:val="nil"/>
              <w:bottom w:val="nil"/>
              <w:right w:val="nil"/>
            </w:tcBorders>
            <w:vAlign w:val="center"/>
          </w:tcPr>
          <w:p w:rsidR="0073298C" w:rsidRDefault="0073298C" w:rsidP="0073298C">
            <w:pPr>
              <w:spacing w:before="22" w:after="22"/>
              <w:jc w:val="right"/>
              <w:rPr>
                <w:rFonts w:ascii="Arial" w:hAnsi="Arial" w:cs="Arial"/>
                <w:color w:val="000000"/>
                <w:sz w:val="18"/>
                <w:szCs w:val="18"/>
              </w:rPr>
            </w:pPr>
            <w:r>
              <w:rPr>
                <w:rFonts w:ascii="Arial" w:hAnsi="Arial" w:cs="Arial"/>
                <w:color w:val="000000"/>
                <w:sz w:val="18"/>
                <w:szCs w:val="18"/>
              </w:rPr>
              <w:t>1,509</w:t>
            </w:r>
          </w:p>
        </w:tc>
        <w:tc>
          <w:tcPr>
            <w:tcW w:w="180" w:type="dxa"/>
            <w:tcBorders>
              <w:top w:val="nil"/>
              <w:left w:val="nil"/>
              <w:bottom w:val="nil"/>
              <w:right w:val="nil"/>
            </w:tcBorders>
            <w:vAlign w:val="bottom"/>
          </w:tcPr>
          <w:p w:rsidR="0073298C" w:rsidRDefault="0073298C" w:rsidP="0073298C">
            <w:pPr>
              <w:spacing w:before="22" w:after="22"/>
              <w:jc w:val="right"/>
              <w:rPr>
                <w:rFonts w:ascii="Arial" w:hAnsi="Arial" w:cs="Arial"/>
                <w:color w:val="000000"/>
                <w:sz w:val="18"/>
                <w:szCs w:val="18"/>
              </w:rPr>
            </w:pPr>
          </w:p>
          <w:p w:rsidR="0073298C" w:rsidRDefault="0073298C" w:rsidP="0073298C">
            <w:pPr>
              <w:rPr>
                <w:sz w:val="16"/>
                <w:szCs w:val="16"/>
              </w:rPr>
            </w:pPr>
            <w:r>
              <w:rPr>
                <w:sz w:val="16"/>
                <w:szCs w:val="16"/>
              </w:rPr>
              <w:t> </w:t>
            </w:r>
          </w:p>
        </w:tc>
        <w:tc>
          <w:tcPr>
            <w:tcW w:w="101" w:type="dxa"/>
            <w:tcBorders>
              <w:top w:val="single" w:sz="6" w:space="0" w:color="00467E"/>
              <w:left w:val="nil"/>
              <w:bottom w:val="single" w:sz="6" w:space="0" w:color="00467E"/>
              <w:right w:val="nil"/>
            </w:tcBorders>
            <w:shd w:val="clear" w:color="00467E" w:fill="00467E"/>
            <w:vAlign w:val="bottom"/>
          </w:tcPr>
          <w:p w:rsidR="0073298C" w:rsidRDefault="0073298C" w:rsidP="0073298C">
            <w:pPr>
              <w:spacing w:before="22" w:after="22"/>
              <w:ind w:left="22" w:right="22"/>
              <w:rPr>
                <w:color w:val="000000"/>
              </w:rPr>
            </w:pPr>
            <w:r>
              <w:rPr>
                <w:color w:val="000000"/>
              </w:rPr>
              <w:t> </w:t>
            </w:r>
          </w:p>
        </w:tc>
        <w:tc>
          <w:tcPr>
            <w:tcW w:w="1015" w:type="dxa"/>
            <w:tcBorders>
              <w:top w:val="nil"/>
              <w:left w:val="nil"/>
              <w:bottom w:val="nil"/>
              <w:right w:val="nil"/>
            </w:tcBorders>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6.4</w:t>
            </w:r>
          </w:p>
        </w:tc>
        <w:tc>
          <w:tcPr>
            <w:tcW w:w="410" w:type="dxa"/>
            <w:tcBorders>
              <w:top w:val="nil"/>
              <w:left w:val="nil"/>
              <w:bottom w:val="nil"/>
              <w:right w:val="nil"/>
            </w:tcBorders>
            <w:vAlign w:val="center"/>
          </w:tcPr>
          <w:p w:rsidR="0073298C" w:rsidRDefault="0073298C" w:rsidP="0073298C">
            <w:pPr>
              <w:spacing w:before="22" w:after="22"/>
              <w:ind w:right="22"/>
              <w:rPr>
                <w:rFonts w:ascii="Arial" w:hAnsi="Arial" w:cs="Arial"/>
                <w:color w:val="000000"/>
                <w:sz w:val="18"/>
                <w:szCs w:val="18"/>
              </w:rPr>
            </w:pPr>
            <w:r>
              <w:rPr>
                <w:rFonts w:ascii="Arial" w:hAnsi="Arial" w:cs="Arial"/>
                <w:color w:val="000000"/>
                <w:sz w:val="18"/>
                <w:szCs w:val="18"/>
              </w:rPr>
              <w:t> %</w:t>
            </w:r>
          </w:p>
        </w:tc>
        <w:tc>
          <w:tcPr>
            <w:tcW w:w="101" w:type="dxa"/>
            <w:tcBorders>
              <w:top w:val="nil"/>
              <w:left w:val="nil"/>
              <w:bottom w:val="nil"/>
              <w:right w:val="nil"/>
            </w:tcBorders>
            <w:vAlign w:val="bottom"/>
          </w:tcPr>
          <w:p w:rsidR="0073298C" w:rsidRDefault="0073298C" w:rsidP="0073298C">
            <w:pPr>
              <w:spacing w:before="22" w:after="22"/>
              <w:ind w:left="22" w:right="22"/>
              <w:rPr>
                <w:color w:val="000000"/>
              </w:rPr>
            </w:pPr>
            <w:r>
              <w:rPr>
                <w:color w:val="000000"/>
              </w:rPr>
              <w:t> </w:t>
            </w:r>
          </w:p>
        </w:tc>
        <w:tc>
          <w:tcPr>
            <w:tcW w:w="977" w:type="dxa"/>
            <w:tcBorders>
              <w:top w:val="nil"/>
              <w:left w:val="nil"/>
              <w:bottom w:val="nil"/>
              <w:right w:val="nil"/>
            </w:tcBorders>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(15.5</w:t>
            </w:r>
          </w:p>
        </w:tc>
        <w:tc>
          <w:tcPr>
            <w:tcW w:w="416" w:type="dxa"/>
            <w:gridSpan w:val="2"/>
            <w:tcBorders>
              <w:top w:val="nil"/>
              <w:left w:val="nil"/>
              <w:bottom w:val="nil"/>
              <w:right w:val="single" w:sz="6" w:space="0" w:color="00467E"/>
            </w:tcBorders>
            <w:vAlign w:val="center"/>
          </w:tcPr>
          <w:p w:rsidR="0073298C" w:rsidRDefault="0073298C" w:rsidP="0073298C">
            <w:pPr>
              <w:spacing w:before="22" w:after="22"/>
              <w:ind w:right="22"/>
              <w:rPr>
                <w:rFonts w:ascii="Arial" w:hAnsi="Arial" w:cs="Arial"/>
                <w:color w:val="000000"/>
                <w:sz w:val="18"/>
                <w:szCs w:val="18"/>
              </w:rPr>
            </w:pPr>
            <w:r>
              <w:rPr>
                <w:rFonts w:ascii="Arial" w:hAnsi="Arial" w:cs="Arial"/>
                <w:color w:val="000000"/>
                <w:sz w:val="18"/>
                <w:szCs w:val="18"/>
              </w:rPr>
              <w:t>) %</w:t>
            </w:r>
          </w:p>
        </w:tc>
      </w:tr>
      <w:tr w:rsidR="0073298C" w:rsidTr="0073298C">
        <w:tblPrEx>
          <w:tblCellMar>
            <w:top w:w="0" w:type="dxa"/>
            <w:left w:w="0" w:type="dxa"/>
            <w:bottom w:w="0" w:type="dxa"/>
            <w:right w:w="0" w:type="dxa"/>
          </w:tblCellMar>
        </w:tblPrEx>
        <w:trPr>
          <w:trHeight w:val="479"/>
          <w:jc w:val="center"/>
        </w:trPr>
        <w:tc>
          <w:tcPr>
            <w:tcW w:w="3087" w:type="dxa"/>
            <w:tcBorders>
              <w:top w:val="nil"/>
              <w:left w:val="single" w:sz="6" w:space="0" w:color="00467E"/>
              <w:bottom w:val="nil"/>
              <w:right w:val="nil"/>
            </w:tcBorders>
            <w:shd w:val="clear" w:color="CFD4D8" w:fill="CFD4D8"/>
            <w:vAlign w:val="center"/>
          </w:tcPr>
          <w:p w:rsidR="0073298C" w:rsidRDefault="0073298C" w:rsidP="0073298C">
            <w:pPr>
              <w:spacing w:before="22" w:after="22"/>
              <w:ind w:left="22" w:right="22"/>
              <w:rPr>
                <w:rFonts w:ascii="Arial" w:hAnsi="Arial" w:cs="Arial"/>
                <w:color w:val="000000"/>
                <w:sz w:val="18"/>
                <w:szCs w:val="18"/>
              </w:rPr>
            </w:pPr>
            <w:r>
              <w:rPr>
                <w:rFonts w:ascii="Arial" w:hAnsi="Arial" w:cs="Arial"/>
                <w:color w:val="000000"/>
                <w:sz w:val="18"/>
                <w:szCs w:val="18"/>
              </w:rPr>
              <w:t>Gross margin percentage</w:t>
            </w:r>
            <w:r>
              <w:rPr>
                <w:rFonts w:ascii="Arial" w:hAnsi="Arial" w:cs="Arial"/>
                <w:color w:val="000000"/>
                <w:sz w:val="16"/>
                <w:szCs w:val="16"/>
                <w:vertAlign w:val="superscript"/>
              </w:rPr>
              <w:t xml:space="preserve"> (1)</w:t>
            </w:r>
            <w:r>
              <w:rPr>
                <w:rFonts w:ascii="Arial" w:hAnsi="Arial" w:cs="Arial"/>
                <w:color w:val="000000"/>
                <w:sz w:val="18"/>
                <w:szCs w:val="18"/>
              </w:rPr>
              <w:t xml:space="preserve">  – Brokerage only</w:t>
            </w:r>
          </w:p>
        </w:tc>
        <w:tc>
          <w:tcPr>
            <w:tcW w:w="1317" w:type="dxa"/>
            <w:gridSpan w:val="2"/>
            <w:tcBorders>
              <w:top w:val="nil"/>
              <w:left w:val="nil"/>
              <w:bottom w:val="nil"/>
              <w:right w:val="nil"/>
            </w:tcBorders>
            <w:shd w:val="clear" w:color="CFD4D8" w:fill="CFD4D8"/>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15.4</w:t>
            </w:r>
          </w:p>
        </w:tc>
        <w:tc>
          <w:tcPr>
            <w:tcW w:w="180" w:type="dxa"/>
            <w:tcBorders>
              <w:top w:val="nil"/>
              <w:left w:val="nil"/>
              <w:bottom w:val="nil"/>
              <w:right w:val="nil"/>
            </w:tcBorders>
            <w:shd w:val="clear" w:color="CFD4D8" w:fill="CFD4D8"/>
            <w:vAlign w:val="center"/>
          </w:tcPr>
          <w:p w:rsidR="0073298C" w:rsidRDefault="0073298C" w:rsidP="0073298C">
            <w:pPr>
              <w:spacing w:before="22" w:after="22"/>
              <w:ind w:right="22"/>
              <w:rPr>
                <w:rFonts w:ascii="Arial" w:hAnsi="Arial" w:cs="Arial"/>
                <w:color w:val="000000"/>
                <w:sz w:val="18"/>
                <w:szCs w:val="18"/>
              </w:rPr>
            </w:pPr>
            <w:r>
              <w:rPr>
                <w:rFonts w:ascii="Arial" w:hAnsi="Arial" w:cs="Arial"/>
                <w:color w:val="000000"/>
                <w:sz w:val="18"/>
                <w:szCs w:val="18"/>
              </w:rPr>
              <w:t>%</w:t>
            </w:r>
          </w:p>
        </w:tc>
        <w:tc>
          <w:tcPr>
            <w:tcW w:w="101" w:type="dxa"/>
            <w:tcBorders>
              <w:top w:val="nil"/>
              <w:left w:val="nil"/>
              <w:bottom w:val="nil"/>
              <w:right w:val="nil"/>
            </w:tcBorders>
            <w:shd w:val="clear" w:color="CFD4D8" w:fill="CFD4D8"/>
            <w:vAlign w:val="bottom"/>
          </w:tcPr>
          <w:p w:rsidR="0073298C" w:rsidRDefault="0073298C" w:rsidP="0073298C">
            <w:pPr>
              <w:spacing w:before="22" w:after="22"/>
              <w:ind w:left="22" w:right="22"/>
              <w:rPr>
                <w:color w:val="000000"/>
              </w:rPr>
            </w:pPr>
            <w:r>
              <w:rPr>
                <w:color w:val="000000"/>
              </w:rPr>
              <w:t> </w:t>
            </w:r>
          </w:p>
        </w:tc>
        <w:tc>
          <w:tcPr>
            <w:tcW w:w="1317" w:type="dxa"/>
            <w:gridSpan w:val="2"/>
            <w:tcBorders>
              <w:top w:val="nil"/>
              <w:left w:val="nil"/>
              <w:bottom w:val="nil"/>
              <w:right w:val="nil"/>
            </w:tcBorders>
            <w:shd w:val="clear" w:color="CFD4D8" w:fill="CFD4D8"/>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16.5</w:t>
            </w:r>
          </w:p>
        </w:tc>
        <w:tc>
          <w:tcPr>
            <w:tcW w:w="180" w:type="dxa"/>
            <w:tcBorders>
              <w:top w:val="nil"/>
              <w:left w:val="nil"/>
              <w:bottom w:val="nil"/>
              <w:right w:val="nil"/>
            </w:tcBorders>
            <w:shd w:val="clear" w:color="CFD4D8" w:fill="CFD4D8"/>
            <w:vAlign w:val="center"/>
          </w:tcPr>
          <w:p w:rsidR="0073298C" w:rsidRDefault="0073298C" w:rsidP="0073298C">
            <w:pPr>
              <w:spacing w:before="22" w:after="22"/>
              <w:ind w:right="22"/>
              <w:rPr>
                <w:rFonts w:ascii="Arial" w:hAnsi="Arial" w:cs="Arial"/>
                <w:color w:val="000000"/>
                <w:sz w:val="18"/>
                <w:szCs w:val="18"/>
              </w:rPr>
            </w:pPr>
            <w:r>
              <w:rPr>
                <w:rFonts w:ascii="Arial" w:hAnsi="Arial" w:cs="Arial"/>
                <w:color w:val="000000"/>
                <w:sz w:val="18"/>
                <w:szCs w:val="18"/>
              </w:rPr>
              <w:t>%</w:t>
            </w:r>
          </w:p>
        </w:tc>
        <w:tc>
          <w:tcPr>
            <w:tcW w:w="101" w:type="dxa"/>
            <w:tcBorders>
              <w:top w:val="nil"/>
              <w:left w:val="nil"/>
              <w:bottom w:val="nil"/>
              <w:right w:val="nil"/>
            </w:tcBorders>
            <w:shd w:val="clear" w:color="CFD4D8" w:fill="CFD4D8"/>
            <w:vAlign w:val="bottom"/>
          </w:tcPr>
          <w:p w:rsidR="0073298C" w:rsidRDefault="0073298C" w:rsidP="0073298C">
            <w:pPr>
              <w:spacing w:before="22" w:after="22"/>
              <w:ind w:left="22" w:right="22"/>
              <w:rPr>
                <w:color w:val="000000"/>
              </w:rPr>
            </w:pPr>
            <w:r>
              <w:rPr>
                <w:color w:val="000000"/>
              </w:rPr>
              <w:t> </w:t>
            </w:r>
          </w:p>
        </w:tc>
        <w:tc>
          <w:tcPr>
            <w:tcW w:w="1317" w:type="dxa"/>
            <w:gridSpan w:val="2"/>
            <w:tcBorders>
              <w:top w:val="nil"/>
              <w:left w:val="nil"/>
              <w:bottom w:val="nil"/>
              <w:right w:val="nil"/>
            </w:tcBorders>
            <w:shd w:val="clear" w:color="CFD4D8" w:fill="CFD4D8"/>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15.9</w:t>
            </w:r>
          </w:p>
        </w:tc>
        <w:tc>
          <w:tcPr>
            <w:tcW w:w="180" w:type="dxa"/>
            <w:tcBorders>
              <w:top w:val="nil"/>
              <w:left w:val="nil"/>
              <w:bottom w:val="nil"/>
              <w:right w:val="nil"/>
            </w:tcBorders>
            <w:shd w:val="clear" w:color="CFD4D8" w:fill="CFD4D8"/>
            <w:vAlign w:val="center"/>
          </w:tcPr>
          <w:p w:rsidR="0073298C" w:rsidRDefault="0073298C" w:rsidP="0073298C">
            <w:pPr>
              <w:spacing w:before="22" w:after="22"/>
              <w:ind w:right="22"/>
              <w:rPr>
                <w:rFonts w:ascii="Arial" w:hAnsi="Arial" w:cs="Arial"/>
                <w:color w:val="000000"/>
                <w:sz w:val="18"/>
                <w:szCs w:val="18"/>
              </w:rPr>
            </w:pPr>
            <w:r>
              <w:rPr>
                <w:rFonts w:ascii="Arial" w:hAnsi="Arial" w:cs="Arial"/>
                <w:color w:val="000000"/>
                <w:sz w:val="18"/>
                <w:szCs w:val="18"/>
              </w:rPr>
              <w:t>%</w:t>
            </w:r>
          </w:p>
        </w:tc>
        <w:tc>
          <w:tcPr>
            <w:tcW w:w="101" w:type="dxa"/>
            <w:tcBorders>
              <w:top w:val="single" w:sz="6" w:space="0" w:color="00467E"/>
              <w:left w:val="nil"/>
              <w:bottom w:val="single" w:sz="6" w:space="0" w:color="00467E"/>
              <w:right w:val="nil"/>
            </w:tcBorders>
            <w:shd w:val="clear" w:color="00467E" w:fill="00467E"/>
            <w:vAlign w:val="bottom"/>
          </w:tcPr>
          <w:p w:rsidR="0073298C" w:rsidRDefault="0073298C" w:rsidP="0073298C">
            <w:pPr>
              <w:spacing w:before="22" w:after="22"/>
              <w:ind w:left="22" w:right="22"/>
              <w:rPr>
                <w:color w:val="000000"/>
              </w:rPr>
            </w:pPr>
            <w:r>
              <w:rPr>
                <w:color w:val="000000"/>
              </w:rPr>
              <w:t> </w:t>
            </w:r>
          </w:p>
        </w:tc>
        <w:tc>
          <w:tcPr>
            <w:tcW w:w="1015" w:type="dxa"/>
            <w:tcBorders>
              <w:top w:val="nil"/>
              <w:left w:val="nil"/>
              <w:bottom w:val="nil"/>
              <w:right w:val="nil"/>
            </w:tcBorders>
            <w:shd w:val="clear" w:color="CFD4D8" w:fill="CFD4D8"/>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(110</w:t>
            </w:r>
          </w:p>
        </w:tc>
        <w:tc>
          <w:tcPr>
            <w:tcW w:w="410" w:type="dxa"/>
            <w:tcBorders>
              <w:top w:val="nil"/>
              <w:left w:val="nil"/>
              <w:bottom w:val="nil"/>
              <w:right w:val="nil"/>
            </w:tcBorders>
            <w:shd w:val="clear" w:color="CFD4D8" w:fill="CFD4D8"/>
            <w:vAlign w:val="center"/>
          </w:tcPr>
          <w:p w:rsidR="0073298C" w:rsidRDefault="0073298C" w:rsidP="0073298C">
            <w:pPr>
              <w:spacing w:before="22" w:after="22"/>
              <w:ind w:right="22"/>
              <w:rPr>
                <w:rFonts w:ascii="Arial" w:hAnsi="Arial" w:cs="Arial"/>
                <w:color w:val="000000"/>
                <w:sz w:val="18"/>
                <w:szCs w:val="18"/>
              </w:rPr>
            </w:pPr>
            <w:r>
              <w:rPr>
                <w:rFonts w:ascii="Arial" w:hAnsi="Arial" w:cs="Arial"/>
                <w:color w:val="000000"/>
                <w:sz w:val="18"/>
                <w:szCs w:val="18"/>
              </w:rPr>
              <w:t>) bps</w:t>
            </w:r>
          </w:p>
        </w:tc>
        <w:tc>
          <w:tcPr>
            <w:tcW w:w="101" w:type="dxa"/>
            <w:tcBorders>
              <w:top w:val="nil"/>
              <w:left w:val="nil"/>
              <w:bottom w:val="nil"/>
              <w:right w:val="nil"/>
            </w:tcBorders>
            <w:shd w:val="clear" w:color="CFD4D8" w:fill="CFD4D8"/>
            <w:vAlign w:val="bottom"/>
          </w:tcPr>
          <w:p w:rsidR="0073298C" w:rsidRDefault="0073298C" w:rsidP="0073298C">
            <w:pPr>
              <w:spacing w:before="22" w:after="22"/>
              <w:ind w:left="22" w:right="22"/>
              <w:rPr>
                <w:color w:val="000000"/>
              </w:rPr>
            </w:pPr>
            <w:r>
              <w:rPr>
                <w:color w:val="000000"/>
              </w:rPr>
              <w:t> </w:t>
            </w:r>
          </w:p>
        </w:tc>
        <w:tc>
          <w:tcPr>
            <w:tcW w:w="977" w:type="dxa"/>
            <w:tcBorders>
              <w:top w:val="nil"/>
              <w:left w:val="nil"/>
              <w:bottom w:val="nil"/>
              <w:right w:val="nil"/>
            </w:tcBorders>
            <w:shd w:val="clear" w:color="CFD4D8" w:fill="CFD4D8"/>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60</w:t>
            </w:r>
          </w:p>
        </w:tc>
        <w:tc>
          <w:tcPr>
            <w:tcW w:w="416" w:type="dxa"/>
            <w:gridSpan w:val="2"/>
            <w:tcBorders>
              <w:top w:val="nil"/>
              <w:left w:val="nil"/>
              <w:bottom w:val="nil"/>
              <w:right w:val="single" w:sz="6" w:space="0" w:color="00467E"/>
            </w:tcBorders>
            <w:shd w:val="clear" w:color="CFD4D8" w:fill="CFD4D8"/>
            <w:vAlign w:val="center"/>
          </w:tcPr>
          <w:p w:rsidR="0073298C" w:rsidRDefault="0073298C" w:rsidP="0073298C">
            <w:pPr>
              <w:spacing w:before="22" w:after="22"/>
              <w:ind w:right="22"/>
              <w:rPr>
                <w:rFonts w:ascii="Arial" w:hAnsi="Arial" w:cs="Arial"/>
                <w:color w:val="000000"/>
                <w:sz w:val="18"/>
                <w:szCs w:val="18"/>
              </w:rPr>
            </w:pPr>
            <w:r>
              <w:rPr>
                <w:rFonts w:ascii="Arial" w:hAnsi="Arial" w:cs="Arial"/>
                <w:color w:val="000000"/>
                <w:sz w:val="18"/>
                <w:szCs w:val="18"/>
              </w:rPr>
              <w:t> bps</w:t>
            </w:r>
          </w:p>
        </w:tc>
      </w:tr>
      <w:tr w:rsidR="0073298C" w:rsidTr="0073298C">
        <w:tblPrEx>
          <w:tblCellMar>
            <w:top w:w="0" w:type="dxa"/>
            <w:left w:w="0" w:type="dxa"/>
            <w:bottom w:w="0" w:type="dxa"/>
            <w:right w:w="0" w:type="dxa"/>
          </w:tblCellMar>
        </w:tblPrEx>
        <w:trPr>
          <w:trHeight w:val="298"/>
          <w:jc w:val="center"/>
        </w:trPr>
        <w:tc>
          <w:tcPr>
            <w:tcW w:w="3087" w:type="dxa"/>
            <w:tcBorders>
              <w:top w:val="nil"/>
              <w:left w:val="single" w:sz="6" w:space="0" w:color="00467E"/>
              <w:bottom w:val="nil"/>
              <w:right w:val="nil"/>
            </w:tcBorders>
            <w:vAlign w:val="center"/>
          </w:tcPr>
          <w:p w:rsidR="0073298C" w:rsidRDefault="0073298C" w:rsidP="0073298C">
            <w:pPr>
              <w:spacing w:before="22" w:after="22"/>
              <w:ind w:left="22" w:right="22"/>
              <w:rPr>
                <w:rFonts w:ascii="Arial" w:hAnsi="Arial" w:cs="Arial"/>
                <w:color w:val="000000"/>
                <w:sz w:val="16"/>
                <w:szCs w:val="16"/>
                <w:vertAlign w:val="superscript"/>
              </w:rPr>
            </w:pPr>
            <w:r>
              <w:rPr>
                <w:rFonts w:ascii="Arial" w:hAnsi="Arial" w:cs="Arial"/>
                <w:color w:val="000000"/>
                <w:sz w:val="18"/>
                <w:szCs w:val="18"/>
              </w:rPr>
              <w:t xml:space="preserve">GAAP: Operating ratio </w:t>
            </w:r>
            <w:r>
              <w:rPr>
                <w:rFonts w:ascii="Arial" w:hAnsi="Arial" w:cs="Arial"/>
                <w:color w:val="000000"/>
                <w:sz w:val="16"/>
                <w:szCs w:val="16"/>
                <w:vertAlign w:val="superscript"/>
              </w:rPr>
              <w:t>(1)</w:t>
            </w:r>
          </w:p>
        </w:tc>
        <w:tc>
          <w:tcPr>
            <w:tcW w:w="1317" w:type="dxa"/>
            <w:gridSpan w:val="2"/>
            <w:tcBorders>
              <w:top w:val="nil"/>
              <w:left w:val="nil"/>
              <w:bottom w:val="nil"/>
              <w:right w:val="nil"/>
            </w:tcBorders>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94.6</w:t>
            </w:r>
          </w:p>
        </w:tc>
        <w:tc>
          <w:tcPr>
            <w:tcW w:w="180" w:type="dxa"/>
            <w:tcBorders>
              <w:top w:val="nil"/>
              <w:left w:val="nil"/>
              <w:bottom w:val="nil"/>
              <w:right w:val="nil"/>
            </w:tcBorders>
            <w:vAlign w:val="center"/>
          </w:tcPr>
          <w:p w:rsidR="0073298C" w:rsidRDefault="0073298C" w:rsidP="0073298C">
            <w:pPr>
              <w:spacing w:before="22" w:after="22"/>
              <w:ind w:right="22"/>
              <w:rPr>
                <w:rFonts w:ascii="Arial" w:hAnsi="Arial" w:cs="Arial"/>
                <w:color w:val="000000"/>
                <w:sz w:val="18"/>
                <w:szCs w:val="18"/>
              </w:rPr>
            </w:pPr>
            <w:r>
              <w:rPr>
                <w:rFonts w:ascii="Arial" w:hAnsi="Arial" w:cs="Arial"/>
                <w:color w:val="000000"/>
                <w:sz w:val="18"/>
                <w:szCs w:val="18"/>
              </w:rPr>
              <w:t>%</w:t>
            </w:r>
          </w:p>
        </w:tc>
        <w:tc>
          <w:tcPr>
            <w:tcW w:w="101" w:type="dxa"/>
            <w:tcBorders>
              <w:top w:val="nil"/>
              <w:left w:val="nil"/>
              <w:bottom w:val="nil"/>
              <w:right w:val="nil"/>
            </w:tcBorders>
            <w:vAlign w:val="bottom"/>
          </w:tcPr>
          <w:p w:rsidR="0073298C" w:rsidRDefault="0073298C" w:rsidP="0073298C">
            <w:pPr>
              <w:spacing w:before="22" w:after="22"/>
              <w:ind w:left="22" w:right="22"/>
              <w:rPr>
                <w:color w:val="000000"/>
              </w:rPr>
            </w:pPr>
            <w:r>
              <w:rPr>
                <w:color w:val="000000"/>
              </w:rPr>
              <w:t> </w:t>
            </w:r>
          </w:p>
        </w:tc>
        <w:tc>
          <w:tcPr>
            <w:tcW w:w="1317" w:type="dxa"/>
            <w:gridSpan w:val="2"/>
            <w:tcBorders>
              <w:top w:val="nil"/>
              <w:left w:val="nil"/>
              <w:bottom w:val="nil"/>
              <w:right w:val="nil"/>
            </w:tcBorders>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94.6</w:t>
            </w:r>
          </w:p>
        </w:tc>
        <w:tc>
          <w:tcPr>
            <w:tcW w:w="180" w:type="dxa"/>
            <w:tcBorders>
              <w:top w:val="nil"/>
              <w:left w:val="nil"/>
              <w:bottom w:val="nil"/>
              <w:right w:val="nil"/>
            </w:tcBorders>
            <w:vAlign w:val="center"/>
          </w:tcPr>
          <w:p w:rsidR="0073298C" w:rsidRDefault="0073298C" w:rsidP="0073298C">
            <w:pPr>
              <w:spacing w:before="22" w:after="22"/>
              <w:ind w:right="22"/>
              <w:rPr>
                <w:rFonts w:ascii="Arial" w:hAnsi="Arial" w:cs="Arial"/>
                <w:color w:val="000000"/>
                <w:sz w:val="18"/>
                <w:szCs w:val="18"/>
              </w:rPr>
            </w:pPr>
            <w:r>
              <w:rPr>
                <w:rFonts w:ascii="Arial" w:hAnsi="Arial" w:cs="Arial"/>
                <w:color w:val="000000"/>
                <w:sz w:val="18"/>
                <w:szCs w:val="18"/>
              </w:rPr>
              <w:t>%</w:t>
            </w:r>
          </w:p>
        </w:tc>
        <w:tc>
          <w:tcPr>
            <w:tcW w:w="101" w:type="dxa"/>
            <w:tcBorders>
              <w:top w:val="nil"/>
              <w:left w:val="nil"/>
              <w:bottom w:val="nil"/>
              <w:right w:val="nil"/>
            </w:tcBorders>
            <w:vAlign w:val="bottom"/>
          </w:tcPr>
          <w:p w:rsidR="0073298C" w:rsidRDefault="0073298C" w:rsidP="0073298C">
            <w:pPr>
              <w:spacing w:before="22" w:after="22"/>
              <w:ind w:left="22" w:right="22"/>
              <w:rPr>
                <w:color w:val="000000"/>
              </w:rPr>
            </w:pPr>
            <w:r>
              <w:rPr>
                <w:color w:val="000000"/>
              </w:rPr>
              <w:t> </w:t>
            </w:r>
          </w:p>
        </w:tc>
        <w:tc>
          <w:tcPr>
            <w:tcW w:w="1317" w:type="dxa"/>
            <w:gridSpan w:val="2"/>
            <w:tcBorders>
              <w:top w:val="nil"/>
              <w:left w:val="nil"/>
              <w:bottom w:val="nil"/>
              <w:right w:val="nil"/>
            </w:tcBorders>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93.6</w:t>
            </w:r>
          </w:p>
        </w:tc>
        <w:tc>
          <w:tcPr>
            <w:tcW w:w="180" w:type="dxa"/>
            <w:tcBorders>
              <w:top w:val="nil"/>
              <w:left w:val="nil"/>
              <w:bottom w:val="nil"/>
              <w:right w:val="nil"/>
            </w:tcBorders>
            <w:vAlign w:val="center"/>
          </w:tcPr>
          <w:p w:rsidR="0073298C" w:rsidRDefault="0073298C" w:rsidP="0073298C">
            <w:pPr>
              <w:spacing w:before="22" w:after="22"/>
              <w:ind w:right="22"/>
              <w:rPr>
                <w:rFonts w:ascii="Arial" w:hAnsi="Arial" w:cs="Arial"/>
                <w:color w:val="000000"/>
                <w:sz w:val="18"/>
                <w:szCs w:val="18"/>
              </w:rPr>
            </w:pPr>
            <w:r>
              <w:rPr>
                <w:rFonts w:ascii="Arial" w:hAnsi="Arial" w:cs="Arial"/>
                <w:color w:val="000000"/>
                <w:sz w:val="18"/>
                <w:szCs w:val="18"/>
              </w:rPr>
              <w:t>%</w:t>
            </w:r>
          </w:p>
        </w:tc>
        <w:tc>
          <w:tcPr>
            <w:tcW w:w="101" w:type="dxa"/>
            <w:tcBorders>
              <w:top w:val="single" w:sz="6" w:space="0" w:color="00467E"/>
              <w:left w:val="nil"/>
              <w:bottom w:val="nil"/>
              <w:right w:val="nil"/>
            </w:tcBorders>
            <w:shd w:val="clear" w:color="00467E" w:fill="00467E"/>
            <w:vAlign w:val="bottom"/>
          </w:tcPr>
          <w:p w:rsidR="0073298C" w:rsidRDefault="0073298C" w:rsidP="0073298C">
            <w:pPr>
              <w:spacing w:before="22" w:after="22"/>
              <w:ind w:left="22" w:right="22"/>
              <w:rPr>
                <w:color w:val="000000"/>
              </w:rPr>
            </w:pPr>
            <w:r>
              <w:rPr>
                <w:color w:val="000000"/>
              </w:rPr>
              <w:t> </w:t>
            </w:r>
          </w:p>
        </w:tc>
        <w:tc>
          <w:tcPr>
            <w:tcW w:w="1015" w:type="dxa"/>
            <w:tcBorders>
              <w:top w:val="nil"/>
              <w:left w:val="nil"/>
              <w:bottom w:val="nil"/>
              <w:right w:val="nil"/>
            </w:tcBorders>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w:t>
            </w:r>
          </w:p>
        </w:tc>
        <w:tc>
          <w:tcPr>
            <w:tcW w:w="410" w:type="dxa"/>
            <w:tcBorders>
              <w:top w:val="nil"/>
              <w:left w:val="nil"/>
              <w:bottom w:val="nil"/>
              <w:right w:val="nil"/>
            </w:tcBorders>
            <w:vAlign w:val="bottom"/>
          </w:tcPr>
          <w:p w:rsidR="0073298C" w:rsidRDefault="0073298C" w:rsidP="0073298C">
            <w:pPr>
              <w:spacing w:before="22" w:after="22"/>
              <w:ind w:left="22"/>
              <w:jc w:val="right"/>
              <w:rPr>
                <w:rFonts w:ascii="Arial" w:hAnsi="Arial" w:cs="Arial"/>
                <w:color w:val="000000"/>
                <w:sz w:val="18"/>
                <w:szCs w:val="18"/>
              </w:rPr>
            </w:pPr>
          </w:p>
          <w:p w:rsidR="0073298C" w:rsidRDefault="0073298C" w:rsidP="0073298C">
            <w:pPr>
              <w:rPr>
                <w:sz w:val="16"/>
                <w:szCs w:val="16"/>
              </w:rPr>
            </w:pPr>
            <w:r>
              <w:rPr>
                <w:sz w:val="16"/>
                <w:szCs w:val="16"/>
              </w:rPr>
              <w:t> </w:t>
            </w:r>
          </w:p>
        </w:tc>
        <w:tc>
          <w:tcPr>
            <w:tcW w:w="101" w:type="dxa"/>
            <w:tcBorders>
              <w:top w:val="nil"/>
              <w:left w:val="nil"/>
              <w:bottom w:val="nil"/>
              <w:right w:val="nil"/>
            </w:tcBorders>
            <w:vAlign w:val="bottom"/>
          </w:tcPr>
          <w:p w:rsidR="0073298C" w:rsidRDefault="0073298C" w:rsidP="0073298C">
            <w:pPr>
              <w:spacing w:before="22" w:after="22"/>
              <w:ind w:left="22" w:right="22"/>
              <w:rPr>
                <w:color w:val="000000"/>
              </w:rPr>
            </w:pPr>
            <w:r>
              <w:rPr>
                <w:color w:val="000000"/>
              </w:rPr>
              <w:t> </w:t>
            </w:r>
          </w:p>
        </w:tc>
        <w:tc>
          <w:tcPr>
            <w:tcW w:w="977" w:type="dxa"/>
            <w:tcBorders>
              <w:top w:val="nil"/>
              <w:left w:val="nil"/>
              <w:bottom w:val="nil"/>
              <w:right w:val="nil"/>
            </w:tcBorders>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100</w:t>
            </w:r>
          </w:p>
        </w:tc>
        <w:tc>
          <w:tcPr>
            <w:tcW w:w="416" w:type="dxa"/>
            <w:gridSpan w:val="2"/>
            <w:tcBorders>
              <w:top w:val="nil"/>
              <w:left w:val="nil"/>
              <w:bottom w:val="nil"/>
              <w:right w:val="single" w:sz="6" w:space="0" w:color="00467E"/>
            </w:tcBorders>
            <w:vAlign w:val="center"/>
          </w:tcPr>
          <w:p w:rsidR="0073298C" w:rsidRDefault="0073298C" w:rsidP="0073298C">
            <w:pPr>
              <w:spacing w:before="22" w:after="22"/>
              <w:ind w:right="22"/>
              <w:rPr>
                <w:rFonts w:ascii="Arial" w:hAnsi="Arial" w:cs="Arial"/>
                <w:color w:val="000000"/>
                <w:sz w:val="18"/>
                <w:szCs w:val="18"/>
              </w:rPr>
            </w:pPr>
            <w:r>
              <w:rPr>
                <w:rFonts w:ascii="Arial" w:hAnsi="Arial" w:cs="Arial"/>
                <w:color w:val="000000"/>
                <w:sz w:val="18"/>
                <w:szCs w:val="18"/>
              </w:rPr>
              <w:t> bps</w:t>
            </w:r>
          </w:p>
        </w:tc>
      </w:tr>
      <w:tr w:rsidR="0073298C" w:rsidTr="0073298C">
        <w:tblPrEx>
          <w:tblCellMar>
            <w:top w:w="0" w:type="dxa"/>
            <w:left w:w="0" w:type="dxa"/>
            <w:bottom w:w="0" w:type="dxa"/>
            <w:right w:w="0" w:type="dxa"/>
          </w:tblCellMar>
        </w:tblPrEx>
        <w:trPr>
          <w:trHeight w:val="479"/>
          <w:jc w:val="center"/>
        </w:trPr>
        <w:tc>
          <w:tcPr>
            <w:tcW w:w="3087" w:type="dxa"/>
            <w:tcBorders>
              <w:top w:val="nil"/>
              <w:left w:val="single" w:sz="6" w:space="0" w:color="00467E"/>
              <w:bottom w:val="single" w:sz="6" w:space="0" w:color="00467E"/>
              <w:right w:val="nil"/>
            </w:tcBorders>
            <w:shd w:val="clear" w:color="CFD4D8" w:fill="CFD4D8"/>
            <w:vAlign w:val="center"/>
          </w:tcPr>
          <w:p w:rsidR="0073298C" w:rsidRDefault="0073298C" w:rsidP="0073298C">
            <w:pPr>
              <w:spacing w:before="22" w:after="22"/>
              <w:ind w:left="22" w:right="22"/>
              <w:rPr>
                <w:rFonts w:ascii="Arial" w:hAnsi="Arial" w:cs="Arial"/>
                <w:color w:val="000000"/>
                <w:sz w:val="16"/>
                <w:szCs w:val="16"/>
                <w:vertAlign w:val="superscript"/>
              </w:rPr>
            </w:pPr>
            <w:r>
              <w:rPr>
                <w:rFonts w:ascii="Arial" w:hAnsi="Arial" w:cs="Arial"/>
                <w:color w:val="000000"/>
                <w:sz w:val="18"/>
                <w:szCs w:val="18"/>
              </w:rPr>
              <w:t xml:space="preserve">Non-GAAP: Adjusted Operating Ratio </w:t>
            </w:r>
            <w:r>
              <w:rPr>
                <w:rFonts w:ascii="Arial" w:hAnsi="Arial" w:cs="Arial"/>
                <w:color w:val="000000"/>
                <w:sz w:val="16"/>
                <w:szCs w:val="16"/>
                <w:vertAlign w:val="superscript"/>
              </w:rPr>
              <w:t xml:space="preserve"> (1)</w:t>
            </w:r>
          </w:p>
        </w:tc>
        <w:tc>
          <w:tcPr>
            <w:tcW w:w="1317" w:type="dxa"/>
            <w:gridSpan w:val="2"/>
            <w:tcBorders>
              <w:top w:val="nil"/>
              <w:left w:val="nil"/>
              <w:bottom w:val="single" w:sz="6" w:space="0" w:color="00467E"/>
              <w:right w:val="nil"/>
            </w:tcBorders>
            <w:shd w:val="clear" w:color="CFD4D8" w:fill="CFD4D8"/>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94.5</w:t>
            </w:r>
          </w:p>
        </w:tc>
        <w:tc>
          <w:tcPr>
            <w:tcW w:w="180" w:type="dxa"/>
            <w:tcBorders>
              <w:top w:val="nil"/>
              <w:left w:val="nil"/>
              <w:bottom w:val="single" w:sz="6" w:space="0" w:color="00467E"/>
              <w:right w:val="nil"/>
            </w:tcBorders>
            <w:shd w:val="clear" w:color="CFD4D8" w:fill="CFD4D8"/>
            <w:vAlign w:val="center"/>
          </w:tcPr>
          <w:p w:rsidR="0073298C" w:rsidRDefault="0073298C" w:rsidP="0073298C">
            <w:pPr>
              <w:spacing w:before="22" w:after="22"/>
              <w:ind w:right="22"/>
              <w:rPr>
                <w:rFonts w:ascii="Arial" w:hAnsi="Arial" w:cs="Arial"/>
                <w:color w:val="000000"/>
                <w:sz w:val="18"/>
                <w:szCs w:val="18"/>
              </w:rPr>
            </w:pPr>
            <w:r>
              <w:rPr>
                <w:rFonts w:ascii="Arial" w:hAnsi="Arial" w:cs="Arial"/>
                <w:color w:val="000000"/>
                <w:sz w:val="18"/>
                <w:szCs w:val="18"/>
              </w:rPr>
              <w:t>%</w:t>
            </w:r>
          </w:p>
        </w:tc>
        <w:tc>
          <w:tcPr>
            <w:tcW w:w="101" w:type="dxa"/>
            <w:tcBorders>
              <w:top w:val="nil"/>
              <w:left w:val="nil"/>
              <w:bottom w:val="single" w:sz="6" w:space="0" w:color="00467E"/>
              <w:right w:val="nil"/>
            </w:tcBorders>
            <w:shd w:val="clear" w:color="CFD4D8" w:fill="CFD4D8"/>
            <w:vAlign w:val="bottom"/>
          </w:tcPr>
          <w:p w:rsidR="0073298C" w:rsidRDefault="0073298C" w:rsidP="0073298C">
            <w:pPr>
              <w:spacing w:before="22" w:after="22"/>
              <w:ind w:left="22" w:right="22"/>
              <w:rPr>
                <w:color w:val="000000"/>
              </w:rPr>
            </w:pPr>
            <w:r>
              <w:rPr>
                <w:color w:val="000000"/>
              </w:rPr>
              <w:t> </w:t>
            </w:r>
          </w:p>
        </w:tc>
        <w:tc>
          <w:tcPr>
            <w:tcW w:w="1317" w:type="dxa"/>
            <w:gridSpan w:val="2"/>
            <w:tcBorders>
              <w:top w:val="nil"/>
              <w:left w:val="nil"/>
              <w:bottom w:val="single" w:sz="6" w:space="0" w:color="00467E"/>
              <w:right w:val="nil"/>
            </w:tcBorders>
            <w:shd w:val="clear" w:color="CFD4D8" w:fill="CFD4D8"/>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94.4</w:t>
            </w:r>
          </w:p>
        </w:tc>
        <w:tc>
          <w:tcPr>
            <w:tcW w:w="180" w:type="dxa"/>
            <w:tcBorders>
              <w:top w:val="nil"/>
              <w:left w:val="nil"/>
              <w:bottom w:val="single" w:sz="6" w:space="0" w:color="00467E"/>
              <w:right w:val="nil"/>
            </w:tcBorders>
            <w:shd w:val="clear" w:color="CFD4D8" w:fill="CFD4D8"/>
            <w:vAlign w:val="center"/>
          </w:tcPr>
          <w:p w:rsidR="0073298C" w:rsidRDefault="0073298C" w:rsidP="0073298C">
            <w:pPr>
              <w:spacing w:before="22" w:after="22"/>
              <w:ind w:right="22"/>
              <w:rPr>
                <w:rFonts w:ascii="Arial" w:hAnsi="Arial" w:cs="Arial"/>
                <w:color w:val="000000"/>
                <w:sz w:val="18"/>
                <w:szCs w:val="18"/>
              </w:rPr>
            </w:pPr>
            <w:r>
              <w:rPr>
                <w:rFonts w:ascii="Arial" w:hAnsi="Arial" w:cs="Arial"/>
                <w:color w:val="000000"/>
                <w:sz w:val="18"/>
                <w:szCs w:val="18"/>
              </w:rPr>
              <w:t>%</w:t>
            </w:r>
          </w:p>
        </w:tc>
        <w:tc>
          <w:tcPr>
            <w:tcW w:w="101" w:type="dxa"/>
            <w:tcBorders>
              <w:top w:val="nil"/>
              <w:left w:val="nil"/>
              <w:bottom w:val="single" w:sz="6" w:space="0" w:color="00467E"/>
              <w:right w:val="nil"/>
            </w:tcBorders>
            <w:shd w:val="clear" w:color="CFD4D8" w:fill="CFD4D8"/>
            <w:vAlign w:val="bottom"/>
          </w:tcPr>
          <w:p w:rsidR="0073298C" w:rsidRDefault="0073298C" w:rsidP="0073298C">
            <w:pPr>
              <w:spacing w:before="22" w:after="22"/>
              <w:ind w:left="22" w:right="22"/>
              <w:rPr>
                <w:color w:val="000000"/>
              </w:rPr>
            </w:pPr>
            <w:r>
              <w:rPr>
                <w:color w:val="000000"/>
              </w:rPr>
              <w:t> </w:t>
            </w:r>
          </w:p>
        </w:tc>
        <w:tc>
          <w:tcPr>
            <w:tcW w:w="1317" w:type="dxa"/>
            <w:gridSpan w:val="2"/>
            <w:tcBorders>
              <w:top w:val="nil"/>
              <w:left w:val="nil"/>
              <w:bottom w:val="single" w:sz="6" w:space="0" w:color="00467E"/>
              <w:right w:val="nil"/>
            </w:tcBorders>
            <w:shd w:val="clear" w:color="CFD4D8" w:fill="CFD4D8"/>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93.1</w:t>
            </w:r>
          </w:p>
        </w:tc>
        <w:tc>
          <w:tcPr>
            <w:tcW w:w="180" w:type="dxa"/>
            <w:tcBorders>
              <w:top w:val="nil"/>
              <w:left w:val="nil"/>
              <w:bottom w:val="single" w:sz="6" w:space="0" w:color="00467E"/>
              <w:right w:val="nil"/>
            </w:tcBorders>
            <w:shd w:val="clear" w:color="CFD4D8" w:fill="CFD4D8"/>
            <w:vAlign w:val="center"/>
          </w:tcPr>
          <w:p w:rsidR="0073298C" w:rsidRDefault="0073298C" w:rsidP="0073298C">
            <w:pPr>
              <w:spacing w:before="22" w:after="22"/>
              <w:ind w:right="22"/>
              <w:rPr>
                <w:rFonts w:ascii="Arial" w:hAnsi="Arial" w:cs="Arial"/>
                <w:color w:val="000000"/>
                <w:sz w:val="18"/>
                <w:szCs w:val="18"/>
              </w:rPr>
            </w:pPr>
            <w:r>
              <w:rPr>
                <w:rFonts w:ascii="Arial" w:hAnsi="Arial" w:cs="Arial"/>
                <w:color w:val="000000"/>
                <w:sz w:val="18"/>
                <w:szCs w:val="18"/>
              </w:rPr>
              <w:t>%</w:t>
            </w:r>
          </w:p>
        </w:tc>
        <w:tc>
          <w:tcPr>
            <w:tcW w:w="101" w:type="dxa"/>
            <w:tcBorders>
              <w:top w:val="single" w:sz="6" w:space="0" w:color="00467E"/>
              <w:left w:val="nil"/>
              <w:bottom w:val="single" w:sz="6" w:space="0" w:color="00467E"/>
              <w:right w:val="nil"/>
            </w:tcBorders>
            <w:shd w:val="clear" w:color="00467E" w:fill="00467E"/>
            <w:vAlign w:val="bottom"/>
          </w:tcPr>
          <w:p w:rsidR="0073298C" w:rsidRDefault="0073298C" w:rsidP="0073298C">
            <w:pPr>
              <w:spacing w:before="22" w:after="22"/>
              <w:ind w:left="22" w:right="22"/>
              <w:rPr>
                <w:color w:val="000000"/>
              </w:rPr>
            </w:pPr>
            <w:r>
              <w:rPr>
                <w:color w:val="000000"/>
              </w:rPr>
              <w:t> </w:t>
            </w:r>
          </w:p>
        </w:tc>
        <w:tc>
          <w:tcPr>
            <w:tcW w:w="1015" w:type="dxa"/>
            <w:tcBorders>
              <w:top w:val="nil"/>
              <w:left w:val="nil"/>
              <w:bottom w:val="single" w:sz="6" w:space="0" w:color="00467E"/>
              <w:right w:val="nil"/>
            </w:tcBorders>
            <w:shd w:val="clear" w:color="CFD4D8" w:fill="CFD4D8"/>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10</w:t>
            </w:r>
          </w:p>
        </w:tc>
        <w:tc>
          <w:tcPr>
            <w:tcW w:w="410" w:type="dxa"/>
            <w:tcBorders>
              <w:top w:val="nil"/>
              <w:left w:val="nil"/>
              <w:bottom w:val="single" w:sz="6" w:space="0" w:color="00467E"/>
              <w:right w:val="nil"/>
            </w:tcBorders>
            <w:shd w:val="clear" w:color="CFD4D8" w:fill="CFD4D8"/>
            <w:vAlign w:val="center"/>
          </w:tcPr>
          <w:p w:rsidR="0073298C" w:rsidRDefault="0073298C" w:rsidP="0073298C">
            <w:pPr>
              <w:spacing w:before="22" w:after="22"/>
              <w:ind w:right="22"/>
              <w:rPr>
                <w:rFonts w:ascii="Arial" w:hAnsi="Arial" w:cs="Arial"/>
                <w:color w:val="000000"/>
                <w:sz w:val="18"/>
                <w:szCs w:val="18"/>
              </w:rPr>
            </w:pPr>
            <w:r>
              <w:rPr>
                <w:rFonts w:ascii="Arial" w:hAnsi="Arial" w:cs="Arial"/>
                <w:color w:val="000000"/>
                <w:sz w:val="18"/>
                <w:szCs w:val="18"/>
              </w:rPr>
              <w:t>  bps</w:t>
            </w:r>
          </w:p>
        </w:tc>
        <w:tc>
          <w:tcPr>
            <w:tcW w:w="101" w:type="dxa"/>
            <w:tcBorders>
              <w:top w:val="nil"/>
              <w:left w:val="nil"/>
              <w:bottom w:val="single" w:sz="6" w:space="0" w:color="00467E"/>
              <w:right w:val="nil"/>
            </w:tcBorders>
            <w:shd w:val="clear" w:color="CFD4D8" w:fill="CFD4D8"/>
            <w:vAlign w:val="bottom"/>
          </w:tcPr>
          <w:p w:rsidR="0073298C" w:rsidRDefault="0073298C" w:rsidP="0073298C">
            <w:pPr>
              <w:spacing w:before="22" w:after="22"/>
              <w:ind w:left="22" w:right="22"/>
              <w:rPr>
                <w:color w:val="000000"/>
              </w:rPr>
            </w:pPr>
            <w:r>
              <w:rPr>
                <w:color w:val="000000"/>
              </w:rPr>
              <w:t> </w:t>
            </w:r>
          </w:p>
        </w:tc>
        <w:tc>
          <w:tcPr>
            <w:tcW w:w="977" w:type="dxa"/>
            <w:tcBorders>
              <w:top w:val="nil"/>
              <w:left w:val="nil"/>
              <w:bottom w:val="single" w:sz="6" w:space="0" w:color="00467E"/>
              <w:right w:val="nil"/>
            </w:tcBorders>
            <w:shd w:val="clear" w:color="CFD4D8" w:fill="CFD4D8"/>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130</w:t>
            </w:r>
          </w:p>
        </w:tc>
        <w:tc>
          <w:tcPr>
            <w:tcW w:w="416" w:type="dxa"/>
            <w:gridSpan w:val="2"/>
            <w:tcBorders>
              <w:top w:val="nil"/>
              <w:left w:val="nil"/>
              <w:bottom w:val="single" w:sz="6" w:space="0" w:color="00467E"/>
              <w:right w:val="single" w:sz="6" w:space="0" w:color="00467E"/>
            </w:tcBorders>
            <w:shd w:val="clear" w:color="CFD4D8" w:fill="CFD4D8"/>
            <w:vAlign w:val="center"/>
          </w:tcPr>
          <w:p w:rsidR="0073298C" w:rsidRDefault="0073298C" w:rsidP="0073298C">
            <w:pPr>
              <w:spacing w:before="22" w:after="22"/>
              <w:ind w:right="22"/>
              <w:rPr>
                <w:rFonts w:ascii="Arial" w:hAnsi="Arial" w:cs="Arial"/>
                <w:color w:val="000000"/>
                <w:sz w:val="18"/>
                <w:szCs w:val="18"/>
              </w:rPr>
            </w:pPr>
            <w:r>
              <w:rPr>
                <w:rFonts w:ascii="Arial" w:hAnsi="Arial" w:cs="Arial"/>
                <w:color w:val="000000"/>
                <w:sz w:val="18"/>
                <w:szCs w:val="18"/>
              </w:rPr>
              <w:t>  bps</w:t>
            </w:r>
          </w:p>
        </w:tc>
      </w:tr>
    </w:tbl>
    <w:p w:rsidR="0073298C" w:rsidRDefault="0073298C" w:rsidP="0073298C">
      <w:pPr>
        <w:spacing w:after="132"/>
        <w:jc w:val="both"/>
        <w:rPr>
          <w:rFonts w:ascii="Arial" w:hAnsi="Arial" w:cs="Arial"/>
          <w:color w:val="000000"/>
          <w:sz w:val="18"/>
          <w:szCs w:val="18"/>
        </w:rPr>
      </w:pPr>
      <w:r>
        <w:rPr>
          <w:rFonts w:ascii="Arial" w:hAnsi="Arial" w:cs="Arial"/>
          <w:color w:val="000000"/>
          <w:sz w:val="18"/>
          <w:szCs w:val="18"/>
        </w:rPr>
        <w:t>____________</w:t>
      </w:r>
    </w:p>
    <w:tbl>
      <w:tblPr>
        <w:tblW w:w="0" w:type="auto"/>
        <w:tblLayout w:type="fixed"/>
        <w:tblCellMar>
          <w:left w:w="0" w:type="dxa"/>
          <w:right w:w="0" w:type="dxa"/>
        </w:tblCellMar>
        <w:tblLook w:val="0000"/>
      </w:tblPr>
      <w:tblGrid>
        <w:gridCol w:w="274"/>
        <w:gridCol w:w="3695"/>
      </w:tblGrid>
      <w:tr w:rsidR="0073298C" w:rsidTr="0073298C">
        <w:tblPrEx>
          <w:tblCellMar>
            <w:top w:w="0" w:type="dxa"/>
            <w:left w:w="0" w:type="dxa"/>
            <w:bottom w:w="0" w:type="dxa"/>
            <w:right w:w="0" w:type="dxa"/>
          </w:tblCellMar>
        </w:tblPrEx>
        <w:trPr>
          <w:trHeight w:val="66"/>
        </w:trPr>
        <w:tc>
          <w:tcPr>
            <w:tcW w:w="274" w:type="dxa"/>
            <w:tcBorders>
              <w:top w:val="nil"/>
              <w:left w:val="nil"/>
              <w:bottom w:val="nil"/>
              <w:right w:val="nil"/>
            </w:tcBorders>
            <w:vAlign w:val="center"/>
          </w:tcPr>
          <w:p w:rsidR="0073298C" w:rsidRDefault="0073298C" w:rsidP="0073298C">
            <w:pPr>
              <w:rPr>
                <w:sz w:val="16"/>
                <w:szCs w:val="16"/>
              </w:rPr>
            </w:pPr>
            <w:r>
              <w:rPr>
                <w:sz w:val="16"/>
                <w:szCs w:val="16"/>
              </w:rPr>
              <w:t> </w:t>
            </w:r>
          </w:p>
        </w:tc>
        <w:tc>
          <w:tcPr>
            <w:tcW w:w="3695" w:type="dxa"/>
            <w:tcBorders>
              <w:top w:val="nil"/>
              <w:left w:val="nil"/>
              <w:bottom w:val="nil"/>
              <w:right w:val="nil"/>
            </w:tcBorders>
            <w:vAlign w:val="center"/>
          </w:tcPr>
          <w:p w:rsidR="0073298C" w:rsidRDefault="0073298C" w:rsidP="0073298C">
            <w:pPr>
              <w:rPr>
                <w:sz w:val="16"/>
                <w:szCs w:val="16"/>
              </w:rPr>
            </w:pPr>
            <w:r>
              <w:rPr>
                <w:sz w:val="16"/>
                <w:szCs w:val="16"/>
              </w:rPr>
              <w:t> </w:t>
            </w:r>
          </w:p>
        </w:tc>
      </w:tr>
      <w:tr w:rsidR="0073298C" w:rsidTr="0073298C">
        <w:tblPrEx>
          <w:tblCellMar>
            <w:top w:w="0" w:type="dxa"/>
            <w:left w:w="0" w:type="dxa"/>
            <w:bottom w:w="0" w:type="dxa"/>
            <w:right w:w="0" w:type="dxa"/>
          </w:tblCellMar>
        </w:tblPrEx>
        <w:trPr>
          <w:trHeight w:val="715"/>
        </w:trPr>
        <w:tc>
          <w:tcPr>
            <w:tcW w:w="274" w:type="dxa"/>
            <w:tcBorders>
              <w:top w:val="nil"/>
              <w:left w:val="nil"/>
              <w:bottom w:val="nil"/>
              <w:right w:val="nil"/>
            </w:tcBorders>
          </w:tcPr>
          <w:p w:rsidR="0073298C" w:rsidRDefault="0073298C" w:rsidP="0073298C">
            <w:pPr>
              <w:rPr>
                <w:rFonts w:ascii="Arial" w:hAnsi="Arial" w:cs="Arial"/>
                <w:color w:val="000000"/>
                <w:sz w:val="18"/>
                <w:szCs w:val="18"/>
              </w:rPr>
            </w:pPr>
            <w:r>
              <w:rPr>
                <w:rFonts w:ascii="Arial" w:hAnsi="Arial" w:cs="Arial"/>
                <w:color w:val="000000"/>
                <w:sz w:val="18"/>
                <w:szCs w:val="18"/>
              </w:rPr>
              <w:lastRenderedPageBreak/>
              <w:t>(1)</w:t>
            </w:r>
          </w:p>
        </w:tc>
        <w:tc>
          <w:tcPr>
            <w:tcW w:w="3695" w:type="dxa"/>
            <w:tcBorders>
              <w:top w:val="nil"/>
              <w:left w:val="nil"/>
              <w:bottom w:val="nil"/>
              <w:right w:val="nil"/>
            </w:tcBorders>
          </w:tcPr>
          <w:p w:rsidR="0073298C" w:rsidRDefault="0073298C" w:rsidP="0073298C">
            <w:pPr>
              <w:jc w:val="center"/>
              <w:rPr>
                <w:rFonts w:ascii="Arial" w:hAnsi="Arial" w:cs="Arial"/>
                <w:color w:val="000000"/>
                <w:sz w:val="18"/>
                <w:szCs w:val="18"/>
              </w:rPr>
            </w:pPr>
            <w:r>
              <w:rPr>
                <w:rFonts w:ascii="Arial" w:hAnsi="Arial" w:cs="Arial"/>
                <w:color w:val="000000"/>
                <w:sz w:val="18"/>
                <w:szCs w:val="18"/>
              </w:rPr>
              <w:t>Defined under "Operating Statistics," above.</w:t>
            </w:r>
          </w:p>
        </w:tc>
      </w:tr>
    </w:tbl>
    <w:p w:rsidR="0073298C" w:rsidRDefault="0073298C" w:rsidP="0073298C">
      <w:pPr>
        <w:spacing w:after="132"/>
        <w:jc w:val="both"/>
        <w:rPr>
          <w:rFonts w:ascii="Arial" w:hAnsi="Arial" w:cs="Arial"/>
          <w:color w:val="000000"/>
          <w:sz w:val="18"/>
          <w:szCs w:val="18"/>
        </w:rPr>
      </w:pPr>
      <w:r>
        <w:rPr>
          <w:rFonts w:ascii="Arial" w:hAnsi="Arial" w:cs="Arial"/>
          <w:i/>
          <w:iCs/>
          <w:color w:val="000000"/>
          <w:sz w:val="18"/>
          <w:szCs w:val="18"/>
        </w:rPr>
        <w:t>2017 Compared to 2016 —</w:t>
      </w:r>
      <w:proofErr w:type="spellStart"/>
      <w:r>
        <w:rPr>
          <w:rFonts w:ascii="Arial" w:hAnsi="Arial" w:cs="Arial"/>
          <w:color w:val="000000"/>
          <w:sz w:val="18"/>
          <w:szCs w:val="18"/>
        </w:rPr>
        <w:t>TheKnight</w:t>
      </w:r>
      <w:proofErr w:type="spellEnd"/>
      <w:r>
        <w:rPr>
          <w:rFonts w:ascii="Arial" w:hAnsi="Arial" w:cs="Arial"/>
          <w:color w:val="000000"/>
          <w:sz w:val="18"/>
          <w:szCs w:val="18"/>
        </w:rPr>
        <w:t xml:space="preserve"> Logistics segment's total revenue increased $7.2 million, while operating ratio and Adjusted Operating Ratio remained flat. Revenue, net of intersegment transactions increased 11.5% in the Knight </w:t>
      </w:r>
      <w:proofErr w:type="gramStart"/>
      <w:r>
        <w:rPr>
          <w:rFonts w:ascii="Arial" w:hAnsi="Arial" w:cs="Arial"/>
          <w:color w:val="000000"/>
          <w:sz w:val="18"/>
          <w:szCs w:val="18"/>
        </w:rPr>
        <w:t>brokerage</w:t>
      </w:r>
      <w:proofErr w:type="gramEnd"/>
      <w:r>
        <w:rPr>
          <w:rFonts w:ascii="Arial" w:hAnsi="Arial" w:cs="Arial"/>
          <w:color w:val="000000"/>
          <w:sz w:val="18"/>
          <w:szCs w:val="18"/>
        </w:rPr>
        <w:t xml:space="preserve"> business, which is the largest component of the Knight Logistics segment. This was driven by a 6.4% increase in revenue per load and a 4.7% increase in load volume in the Knight </w:t>
      </w:r>
      <w:proofErr w:type="gramStart"/>
      <w:r>
        <w:rPr>
          <w:rFonts w:ascii="Arial" w:hAnsi="Arial" w:cs="Arial"/>
          <w:color w:val="000000"/>
          <w:sz w:val="18"/>
          <w:szCs w:val="18"/>
        </w:rPr>
        <w:t>brokerage</w:t>
      </w:r>
      <w:proofErr w:type="gramEnd"/>
      <w:r>
        <w:rPr>
          <w:rFonts w:ascii="Arial" w:hAnsi="Arial" w:cs="Arial"/>
          <w:color w:val="000000"/>
          <w:sz w:val="18"/>
          <w:szCs w:val="18"/>
        </w:rPr>
        <w:t xml:space="preserve"> business. Gross margin percentage in Knight's brokerage business decreased 110 basis points in 2017, compared to 2016, due to an increase in purchased transportation costs.</w:t>
      </w:r>
    </w:p>
    <w:p w:rsidR="0073298C" w:rsidRDefault="0073298C" w:rsidP="0073298C">
      <w:pPr>
        <w:spacing w:after="132"/>
        <w:jc w:val="both"/>
        <w:rPr>
          <w:rFonts w:ascii="Arial" w:hAnsi="Arial" w:cs="Arial"/>
          <w:color w:val="000000"/>
          <w:sz w:val="18"/>
          <w:szCs w:val="18"/>
        </w:rPr>
      </w:pPr>
      <w:r>
        <w:rPr>
          <w:rFonts w:ascii="Arial" w:hAnsi="Arial" w:cs="Arial"/>
          <w:color w:val="000000"/>
          <w:sz w:val="18"/>
          <w:szCs w:val="18"/>
        </w:rPr>
        <w:t>Depreciation and amortization of property and equipment expense within our Knight Logistics segment increased by $0.7 million from 2016 to 2017, which was primarily due to an increase in equipment leased to third parties. As a percentage of Knight Logistics revenue, net of intersegment transactions, depreciation and amortization of property and equipment remained relatively flat. Absent offsetting growth in our Knight Logistics segments, our expense as a percentage of revenue in this category could increase in the future.</w:t>
      </w:r>
    </w:p>
    <w:p w:rsidR="0073298C" w:rsidRDefault="0073298C" w:rsidP="0073298C">
      <w:pPr>
        <w:spacing w:after="132"/>
        <w:jc w:val="both"/>
        <w:rPr>
          <w:rFonts w:ascii="Arial" w:hAnsi="Arial" w:cs="Arial"/>
          <w:color w:val="000000"/>
          <w:sz w:val="18"/>
          <w:szCs w:val="18"/>
        </w:rPr>
      </w:pPr>
      <w:r>
        <w:rPr>
          <w:rFonts w:ascii="Arial" w:hAnsi="Arial" w:cs="Arial"/>
          <w:color w:val="000000"/>
          <w:sz w:val="18"/>
          <w:szCs w:val="18"/>
        </w:rPr>
        <w:t>We plan to continue to invest in our Knight Logistics segment, including transportation management technology, which we believe will continue to improve our return on capital, compared with asset-based operations.</w:t>
      </w:r>
    </w:p>
    <w:p w:rsidR="0073298C" w:rsidRDefault="0073298C" w:rsidP="0073298C">
      <w:pPr>
        <w:spacing w:after="132"/>
        <w:jc w:val="both"/>
        <w:rPr>
          <w:rFonts w:ascii="Arial" w:hAnsi="Arial" w:cs="Arial"/>
          <w:color w:val="000000"/>
          <w:sz w:val="18"/>
          <w:szCs w:val="18"/>
        </w:rPr>
      </w:pPr>
      <w:r>
        <w:rPr>
          <w:rFonts w:ascii="Arial" w:hAnsi="Arial" w:cs="Arial"/>
          <w:i/>
          <w:iCs/>
          <w:color w:val="000000"/>
          <w:sz w:val="18"/>
          <w:szCs w:val="18"/>
        </w:rPr>
        <w:t>2016 Compared to 2015 —</w:t>
      </w:r>
      <w:r>
        <w:rPr>
          <w:rFonts w:ascii="Arial" w:hAnsi="Arial" w:cs="Arial"/>
          <w:color w:val="000000"/>
          <w:sz w:val="18"/>
          <w:szCs w:val="18"/>
        </w:rPr>
        <w:t xml:space="preserve"> </w:t>
      </w:r>
      <w:proofErr w:type="spellStart"/>
      <w:r>
        <w:rPr>
          <w:rFonts w:ascii="Arial" w:hAnsi="Arial" w:cs="Arial"/>
          <w:color w:val="000000"/>
          <w:sz w:val="18"/>
          <w:szCs w:val="18"/>
        </w:rPr>
        <w:t>KnightLogistics</w:t>
      </w:r>
      <w:proofErr w:type="spellEnd"/>
      <w:r>
        <w:rPr>
          <w:rFonts w:ascii="Arial" w:hAnsi="Arial" w:cs="Arial"/>
          <w:color w:val="000000"/>
          <w:sz w:val="18"/>
          <w:szCs w:val="18"/>
        </w:rPr>
        <w:t xml:space="preserve"> revenue decreased, primarily due to declining revenue from the non-Trucking services as we exited our agricultural sourcing business in the first quarter of 2016, as well as due to lower revenue per load from lower fuel surcharge. Revenue in the Knight </w:t>
      </w:r>
      <w:proofErr w:type="gramStart"/>
      <w:r>
        <w:rPr>
          <w:rFonts w:ascii="Arial" w:hAnsi="Arial" w:cs="Arial"/>
          <w:color w:val="000000"/>
          <w:sz w:val="18"/>
          <w:szCs w:val="18"/>
        </w:rPr>
        <w:t>brokerage</w:t>
      </w:r>
      <w:proofErr w:type="gramEnd"/>
      <w:r>
        <w:rPr>
          <w:rFonts w:ascii="Arial" w:hAnsi="Arial" w:cs="Arial"/>
          <w:color w:val="000000"/>
          <w:sz w:val="18"/>
          <w:szCs w:val="18"/>
        </w:rPr>
        <w:t xml:space="preserve"> business, which is the largest component of our Logistics segment, decreased in 2016 compared to 2015; however, we continued to see load volume growth. A shorter length of haul and lower non-contract pricing offset this load volume growth. We achieved this growth by increasing our Logistics services to our customers through our third-party carriers and rail providers.</w:t>
      </w:r>
    </w:p>
    <w:p w:rsidR="000E3B20" w:rsidRDefault="0073298C" w:rsidP="000E3B20">
      <w:pPr>
        <w:spacing w:after="264"/>
        <w:jc w:val="both"/>
      </w:pPr>
      <w:r>
        <w:rPr>
          <w:rFonts w:ascii="Arial" w:hAnsi="Arial" w:cs="Arial"/>
          <w:color w:val="000000"/>
          <w:sz w:val="18"/>
          <w:szCs w:val="18"/>
        </w:rPr>
        <w:t>Purchased transportation expense within our Knight Logistics segment decreased as expected with the decrease in Knight Logistics revenue; however increased costs associated with exiting our agriculture sourcing business in the first quarter of 2016 partially offset the decrease in purchased transportation expense.</w:t>
      </w:r>
      <w:r w:rsidR="000E3B20">
        <w:t xml:space="preserve"> </w:t>
      </w:r>
    </w:p>
    <w:p w:rsidR="0073298C" w:rsidRDefault="0073298C" w:rsidP="000E3B20">
      <w:pPr>
        <w:pStyle w:val="Heading2"/>
      </w:pPr>
      <w:bookmarkStart w:id="35" w:name="_Toc526330230"/>
      <w:r>
        <w:t>Swift Segments</w:t>
      </w:r>
      <w:bookmarkEnd w:id="35"/>
    </w:p>
    <w:p w:rsidR="0073298C" w:rsidRDefault="0073298C" w:rsidP="0073298C">
      <w:pPr>
        <w:spacing w:after="132"/>
        <w:jc w:val="both"/>
        <w:rPr>
          <w:rFonts w:ascii="Arial" w:hAnsi="Arial" w:cs="Arial"/>
          <w:color w:val="000000"/>
          <w:sz w:val="18"/>
          <w:szCs w:val="18"/>
        </w:rPr>
      </w:pPr>
      <w:r>
        <w:rPr>
          <w:rFonts w:ascii="Arial" w:hAnsi="Arial" w:cs="Arial"/>
          <w:i/>
          <w:iCs/>
          <w:color w:val="000000"/>
          <w:sz w:val="18"/>
          <w:szCs w:val="18"/>
        </w:rPr>
        <w:t>Swift Truckload, Swift Dedicated, and Swift Refrigerated</w:t>
      </w:r>
      <w:r>
        <w:rPr>
          <w:rFonts w:ascii="Arial" w:hAnsi="Arial" w:cs="Arial"/>
          <w:color w:val="000000"/>
          <w:sz w:val="18"/>
          <w:szCs w:val="18"/>
        </w:rPr>
        <w:t xml:space="preserve"> — We generate revenue in the Swift trucking segments through dry van, refrigerated, dedicated, drayage, flatbed, and cross-border service offerings. Refer to "Knight Trucking Segment," above for discussion of revenues generated and expenses incurred in all of the Company's trucking segments.</w:t>
      </w:r>
    </w:p>
    <w:p w:rsidR="0073298C" w:rsidRDefault="0073298C" w:rsidP="0073298C">
      <w:pPr>
        <w:jc w:val="both"/>
        <w:rPr>
          <w:rFonts w:ascii="Arial" w:hAnsi="Arial" w:cs="Arial"/>
          <w:color w:val="000000"/>
          <w:sz w:val="18"/>
          <w:szCs w:val="18"/>
        </w:rPr>
      </w:pPr>
      <w:r>
        <w:rPr>
          <w:rFonts w:ascii="Arial" w:hAnsi="Arial" w:cs="Arial"/>
          <w:i/>
          <w:iCs/>
          <w:color w:val="000000"/>
          <w:sz w:val="18"/>
          <w:szCs w:val="18"/>
        </w:rPr>
        <w:t>Swift Intermodal</w:t>
      </w:r>
      <w:r>
        <w:rPr>
          <w:rFonts w:ascii="Arial" w:hAnsi="Arial" w:cs="Arial"/>
          <w:color w:val="000000"/>
          <w:sz w:val="18"/>
          <w:szCs w:val="18"/>
        </w:rPr>
        <w:t xml:space="preserve"> — The Swift Intermodal segment complements our regional operating model, allows us to better serve customers in longer haul lanes, and reduces our investment in fixed assets. Through the Swift Intermodal segment, we generate revenue by moving freight over the rail in our containers and other trailing equipment, combined with revenue for drayage to transport loads between railheads and customer locations. The most significant expense in the Swift Intermodal segment is the (primarily) variable cost of purchased transportation that we pay to third-party capacity providers (including rail providers), included in "Purchased transportation" in the consolidated income statements. Purchased transportation varies as it relates to rail capacity, freight demand, and customer shipping needs. The main fixed costs in the Swift Intermodal segment are depreciation of our containers and chassis, as well as non-driver employee compensation and benefits.</w:t>
      </w:r>
    </w:p>
    <w:tbl>
      <w:tblPr>
        <w:tblW w:w="0" w:type="auto"/>
        <w:jc w:val="center"/>
        <w:tblLayout w:type="fixed"/>
        <w:tblCellMar>
          <w:left w:w="0" w:type="dxa"/>
          <w:right w:w="0" w:type="dxa"/>
        </w:tblCellMar>
        <w:tblLook w:val="0000"/>
      </w:tblPr>
      <w:tblGrid>
        <w:gridCol w:w="3799"/>
        <w:gridCol w:w="229"/>
        <w:gridCol w:w="1181"/>
        <w:gridCol w:w="230"/>
        <w:gridCol w:w="101"/>
        <w:gridCol w:w="229"/>
        <w:gridCol w:w="1181"/>
        <w:gridCol w:w="230"/>
        <w:gridCol w:w="101"/>
        <w:gridCol w:w="281"/>
        <w:gridCol w:w="1181"/>
        <w:gridCol w:w="282"/>
        <w:gridCol w:w="101"/>
        <w:gridCol w:w="245"/>
        <w:gridCol w:w="1181"/>
        <w:gridCol w:w="251"/>
      </w:tblGrid>
      <w:tr w:rsidR="0073298C" w:rsidTr="0073298C">
        <w:tblPrEx>
          <w:tblCellMar>
            <w:top w:w="0" w:type="dxa"/>
            <w:left w:w="0" w:type="dxa"/>
            <w:bottom w:w="0" w:type="dxa"/>
            <w:right w:w="0" w:type="dxa"/>
          </w:tblCellMar>
        </w:tblPrEx>
        <w:trPr>
          <w:trHeight w:val="66"/>
          <w:jc w:val="center"/>
        </w:trPr>
        <w:tc>
          <w:tcPr>
            <w:tcW w:w="10800" w:type="dxa"/>
            <w:gridSpan w:val="16"/>
            <w:tcBorders>
              <w:top w:val="nil"/>
              <w:left w:val="nil"/>
              <w:bottom w:val="nil"/>
              <w:right w:val="nil"/>
            </w:tcBorders>
            <w:vAlign w:val="center"/>
          </w:tcPr>
          <w:p w:rsidR="0073298C" w:rsidRDefault="0073298C" w:rsidP="0073298C">
            <w:pPr>
              <w:rPr>
                <w:sz w:val="16"/>
                <w:szCs w:val="16"/>
              </w:rPr>
            </w:pPr>
            <w:r>
              <w:rPr>
                <w:sz w:val="16"/>
                <w:szCs w:val="16"/>
              </w:rPr>
              <w:t> </w:t>
            </w:r>
          </w:p>
        </w:tc>
      </w:tr>
      <w:tr w:rsidR="0073298C" w:rsidTr="0073298C">
        <w:tblPrEx>
          <w:tblCellMar>
            <w:top w:w="0" w:type="dxa"/>
            <w:left w:w="0" w:type="dxa"/>
            <w:bottom w:w="0" w:type="dxa"/>
            <w:right w:w="0" w:type="dxa"/>
          </w:tblCellMar>
        </w:tblPrEx>
        <w:trPr>
          <w:trHeight w:val="66"/>
          <w:jc w:val="center"/>
        </w:trPr>
        <w:tc>
          <w:tcPr>
            <w:tcW w:w="3799" w:type="dxa"/>
            <w:tcBorders>
              <w:top w:val="nil"/>
              <w:left w:val="nil"/>
              <w:bottom w:val="nil"/>
              <w:right w:val="nil"/>
            </w:tcBorders>
            <w:vAlign w:val="center"/>
          </w:tcPr>
          <w:p w:rsidR="0073298C" w:rsidRDefault="0073298C" w:rsidP="0073298C">
            <w:pPr>
              <w:rPr>
                <w:sz w:val="16"/>
                <w:szCs w:val="16"/>
              </w:rPr>
            </w:pPr>
            <w:r>
              <w:rPr>
                <w:sz w:val="16"/>
                <w:szCs w:val="16"/>
              </w:rPr>
              <w:t> </w:t>
            </w:r>
          </w:p>
        </w:tc>
        <w:tc>
          <w:tcPr>
            <w:tcW w:w="229" w:type="dxa"/>
            <w:tcBorders>
              <w:top w:val="nil"/>
              <w:left w:val="nil"/>
              <w:bottom w:val="nil"/>
              <w:right w:val="nil"/>
            </w:tcBorders>
            <w:vAlign w:val="center"/>
          </w:tcPr>
          <w:p w:rsidR="0073298C" w:rsidRDefault="0073298C" w:rsidP="0073298C">
            <w:pPr>
              <w:rPr>
                <w:sz w:val="16"/>
                <w:szCs w:val="16"/>
              </w:rPr>
            </w:pPr>
            <w:r>
              <w:rPr>
                <w:sz w:val="16"/>
                <w:szCs w:val="16"/>
              </w:rPr>
              <w:t> </w:t>
            </w:r>
          </w:p>
        </w:tc>
        <w:tc>
          <w:tcPr>
            <w:tcW w:w="1181" w:type="dxa"/>
            <w:tcBorders>
              <w:top w:val="nil"/>
              <w:left w:val="nil"/>
              <w:bottom w:val="nil"/>
              <w:right w:val="nil"/>
            </w:tcBorders>
            <w:vAlign w:val="center"/>
          </w:tcPr>
          <w:p w:rsidR="0073298C" w:rsidRDefault="0073298C" w:rsidP="0073298C">
            <w:pPr>
              <w:rPr>
                <w:sz w:val="16"/>
                <w:szCs w:val="16"/>
              </w:rPr>
            </w:pPr>
            <w:r>
              <w:rPr>
                <w:sz w:val="16"/>
                <w:szCs w:val="16"/>
              </w:rPr>
              <w:t> </w:t>
            </w:r>
          </w:p>
        </w:tc>
        <w:tc>
          <w:tcPr>
            <w:tcW w:w="229" w:type="dxa"/>
            <w:tcBorders>
              <w:top w:val="nil"/>
              <w:left w:val="nil"/>
              <w:bottom w:val="nil"/>
              <w:right w:val="nil"/>
            </w:tcBorders>
            <w:vAlign w:val="center"/>
          </w:tcPr>
          <w:p w:rsidR="0073298C" w:rsidRDefault="0073298C" w:rsidP="0073298C">
            <w:pPr>
              <w:rPr>
                <w:sz w:val="16"/>
                <w:szCs w:val="16"/>
              </w:rPr>
            </w:pPr>
            <w:r>
              <w:rPr>
                <w:sz w:val="16"/>
                <w:szCs w:val="16"/>
              </w:rPr>
              <w:t> </w:t>
            </w:r>
          </w:p>
        </w:tc>
        <w:tc>
          <w:tcPr>
            <w:tcW w:w="101" w:type="dxa"/>
            <w:tcBorders>
              <w:top w:val="nil"/>
              <w:left w:val="nil"/>
              <w:bottom w:val="nil"/>
              <w:right w:val="nil"/>
            </w:tcBorders>
            <w:vAlign w:val="center"/>
          </w:tcPr>
          <w:p w:rsidR="0073298C" w:rsidRDefault="0073298C" w:rsidP="0073298C">
            <w:pPr>
              <w:rPr>
                <w:sz w:val="16"/>
                <w:szCs w:val="16"/>
              </w:rPr>
            </w:pPr>
            <w:r>
              <w:rPr>
                <w:sz w:val="16"/>
                <w:szCs w:val="16"/>
              </w:rPr>
              <w:t> </w:t>
            </w:r>
          </w:p>
        </w:tc>
        <w:tc>
          <w:tcPr>
            <w:tcW w:w="229" w:type="dxa"/>
            <w:tcBorders>
              <w:top w:val="nil"/>
              <w:left w:val="nil"/>
              <w:bottom w:val="nil"/>
              <w:right w:val="nil"/>
            </w:tcBorders>
            <w:vAlign w:val="center"/>
          </w:tcPr>
          <w:p w:rsidR="0073298C" w:rsidRDefault="0073298C" w:rsidP="0073298C">
            <w:pPr>
              <w:rPr>
                <w:sz w:val="16"/>
                <w:szCs w:val="16"/>
              </w:rPr>
            </w:pPr>
            <w:r>
              <w:rPr>
                <w:sz w:val="16"/>
                <w:szCs w:val="16"/>
              </w:rPr>
              <w:t> </w:t>
            </w:r>
          </w:p>
        </w:tc>
        <w:tc>
          <w:tcPr>
            <w:tcW w:w="1181" w:type="dxa"/>
            <w:tcBorders>
              <w:top w:val="nil"/>
              <w:left w:val="nil"/>
              <w:bottom w:val="nil"/>
              <w:right w:val="nil"/>
            </w:tcBorders>
            <w:vAlign w:val="center"/>
          </w:tcPr>
          <w:p w:rsidR="0073298C" w:rsidRDefault="0073298C" w:rsidP="0073298C">
            <w:pPr>
              <w:rPr>
                <w:sz w:val="16"/>
                <w:szCs w:val="16"/>
              </w:rPr>
            </w:pPr>
            <w:r>
              <w:rPr>
                <w:sz w:val="16"/>
                <w:szCs w:val="16"/>
              </w:rPr>
              <w:t> </w:t>
            </w:r>
          </w:p>
        </w:tc>
        <w:tc>
          <w:tcPr>
            <w:tcW w:w="229" w:type="dxa"/>
            <w:tcBorders>
              <w:top w:val="nil"/>
              <w:left w:val="nil"/>
              <w:bottom w:val="nil"/>
              <w:right w:val="nil"/>
            </w:tcBorders>
            <w:vAlign w:val="center"/>
          </w:tcPr>
          <w:p w:rsidR="0073298C" w:rsidRDefault="0073298C" w:rsidP="0073298C">
            <w:pPr>
              <w:rPr>
                <w:sz w:val="16"/>
                <w:szCs w:val="16"/>
              </w:rPr>
            </w:pPr>
            <w:r>
              <w:rPr>
                <w:sz w:val="16"/>
                <w:szCs w:val="16"/>
              </w:rPr>
              <w:t> </w:t>
            </w:r>
          </w:p>
        </w:tc>
        <w:tc>
          <w:tcPr>
            <w:tcW w:w="101" w:type="dxa"/>
            <w:tcBorders>
              <w:top w:val="nil"/>
              <w:left w:val="nil"/>
              <w:bottom w:val="nil"/>
              <w:right w:val="nil"/>
            </w:tcBorders>
            <w:vAlign w:val="center"/>
          </w:tcPr>
          <w:p w:rsidR="0073298C" w:rsidRDefault="0073298C" w:rsidP="0073298C">
            <w:pPr>
              <w:rPr>
                <w:sz w:val="16"/>
                <w:szCs w:val="16"/>
              </w:rPr>
            </w:pPr>
            <w:r>
              <w:rPr>
                <w:sz w:val="16"/>
                <w:szCs w:val="16"/>
              </w:rPr>
              <w:t> </w:t>
            </w:r>
          </w:p>
        </w:tc>
        <w:tc>
          <w:tcPr>
            <w:tcW w:w="281" w:type="dxa"/>
            <w:tcBorders>
              <w:top w:val="nil"/>
              <w:left w:val="nil"/>
              <w:bottom w:val="nil"/>
              <w:right w:val="nil"/>
            </w:tcBorders>
            <w:vAlign w:val="center"/>
          </w:tcPr>
          <w:p w:rsidR="0073298C" w:rsidRDefault="0073298C" w:rsidP="0073298C">
            <w:pPr>
              <w:rPr>
                <w:sz w:val="16"/>
                <w:szCs w:val="16"/>
              </w:rPr>
            </w:pPr>
            <w:r>
              <w:rPr>
                <w:sz w:val="16"/>
                <w:szCs w:val="16"/>
              </w:rPr>
              <w:t> </w:t>
            </w:r>
          </w:p>
        </w:tc>
        <w:tc>
          <w:tcPr>
            <w:tcW w:w="1181" w:type="dxa"/>
            <w:tcBorders>
              <w:top w:val="nil"/>
              <w:left w:val="nil"/>
              <w:bottom w:val="nil"/>
              <w:right w:val="nil"/>
            </w:tcBorders>
            <w:vAlign w:val="center"/>
          </w:tcPr>
          <w:p w:rsidR="0073298C" w:rsidRDefault="0073298C" w:rsidP="0073298C">
            <w:pPr>
              <w:rPr>
                <w:sz w:val="16"/>
                <w:szCs w:val="16"/>
              </w:rPr>
            </w:pPr>
            <w:r>
              <w:rPr>
                <w:sz w:val="16"/>
                <w:szCs w:val="16"/>
              </w:rPr>
              <w:t> </w:t>
            </w:r>
          </w:p>
        </w:tc>
        <w:tc>
          <w:tcPr>
            <w:tcW w:w="281" w:type="dxa"/>
            <w:tcBorders>
              <w:top w:val="nil"/>
              <w:left w:val="nil"/>
              <w:bottom w:val="nil"/>
              <w:right w:val="nil"/>
            </w:tcBorders>
            <w:vAlign w:val="center"/>
          </w:tcPr>
          <w:p w:rsidR="0073298C" w:rsidRDefault="0073298C" w:rsidP="0073298C">
            <w:pPr>
              <w:rPr>
                <w:sz w:val="16"/>
                <w:szCs w:val="16"/>
              </w:rPr>
            </w:pPr>
            <w:r>
              <w:rPr>
                <w:sz w:val="16"/>
                <w:szCs w:val="16"/>
              </w:rPr>
              <w:t> </w:t>
            </w:r>
          </w:p>
        </w:tc>
        <w:tc>
          <w:tcPr>
            <w:tcW w:w="101" w:type="dxa"/>
            <w:tcBorders>
              <w:top w:val="nil"/>
              <w:left w:val="nil"/>
              <w:bottom w:val="nil"/>
              <w:right w:val="nil"/>
            </w:tcBorders>
            <w:vAlign w:val="center"/>
          </w:tcPr>
          <w:p w:rsidR="0073298C" w:rsidRDefault="0073298C" w:rsidP="0073298C">
            <w:pPr>
              <w:rPr>
                <w:sz w:val="16"/>
                <w:szCs w:val="16"/>
              </w:rPr>
            </w:pPr>
            <w:r>
              <w:rPr>
                <w:sz w:val="16"/>
                <w:szCs w:val="16"/>
              </w:rPr>
              <w:t> </w:t>
            </w:r>
          </w:p>
        </w:tc>
        <w:tc>
          <w:tcPr>
            <w:tcW w:w="245" w:type="dxa"/>
            <w:tcBorders>
              <w:top w:val="nil"/>
              <w:left w:val="nil"/>
              <w:bottom w:val="nil"/>
              <w:right w:val="nil"/>
            </w:tcBorders>
            <w:vAlign w:val="center"/>
          </w:tcPr>
          <w:p w:rsidR="0073298C" w:rsidRDefault="0073298C" w:rsidP="0073298C">
            <w:pPr>
              <w:rPr>
                <w:sz w:val="16"/>
                <w:szCs w:val="16"/>
              </w:rPr>
            </w:pPr>
            <w:r>
              <w:rPr>
                <w:sz w:val="16"/>
                <w:szCs w:val="16"/>
              </w:rPr>
              <w:t> </w:t>
            </w:r>
          </w:p>
        </w:tc>
        <w:tc>
          <w:tcPr>
            <w:tcW w:w="1181" w:type="dxa"/>
            <w:tcBorders>
              <w:top w:val="nil"/>
              <w:left w:val="nil"/>
              <w:bottom w:val="nil"/>
              <w:right w:val="nil"/>
            </w:tcBorders>
            <w:vAlign w:val="center"/>
          </w:tcPr>
          <w:p w:rsidR="0073298C" w:rsidRDefault="0073298C" w:rsidP="0073298C">
            <w:pPr>
              <w:rPr>
                <w:sz w:val="16"/>
                <w:szCs w:val="16"/>
              </w:rPr>
            </w:pPr>
            <w:r>
              <w:rPr>
                <w:sz w:val="16"/>
                <w:szCs w:val="16"/>
              </w:rPr>
              <w:t> </w:t>
            </w:r>
          </w:p>
        </w:tc>
        <w:tc>
          <w:tcPr>
            <w:tcW w:w="251" w:type="dxa"/>
            <w:tcBorders>
              <w:top w:val="nil"/>
              <w:left w:val="nil"/>
              <w:bottom w:val="nil"/>
              <w:right w:val="nil"/>
            </w:tcBorders>
            <w:vAlign w:val="center"/>
          </w:tcPr>
          <w:p w:rsidR="0073298C" w:rsidRDefault="0073298C" w:rsidP="0073298C">
            <w:pPr>
              <w:rPr>
                <w:sz w:val="16"/>
                <w:szCs w:val="16"/>
              </w:rPr>
            </w:pPr>
            <w:r>
              <w:rPr>
                <w:sz w:val="16"/>
                <w:szCs w:val="16"/>
              </w:rPr>
              <w:t> </w:t>
            </w:r>
          </w:p>
        </w:tc>
      </w:tr>
      <w:tr w:rsidR="0073298C" w:rsidTr="0073298C">
        <w:tblPrEx>
          <w:tblCellMar>
            <w:top w:w="0" w:type="dxa"/>
            <w:left w:w="0" w:type="dxa"/>
            <w:bottom w:w="0" w:type="dxa"/>
            <w:right w:w="0" w:type="dxa"/>
          </w:tblCellMar>
        </w:tblPrEx>
        <w:trPr>
          <w:trHeight w:val="298"/>
          <w:jc w:val="center"/>
        </w:trPr>
        <w:tc>
          <w:tcPr>
            <w:tcW w:w="3799" w:type="dxa"/>
            <w:tcBorders>
              <w:top w:val="single" w:sz="6" w:space="0" w:color="00467E"/>
              <w:left w:val="single" w:sz="6" w:space="0" w:color="00467E"/>
              <w:bottom w:val="nil"/>
              <w:right w:val="nil"/>
            </w:tcBorders>
            <w:vAlign w:val="bottom"/>
          </w:tcPr>
          <w:p w:rsidR="0073298C" w:rsidRDefault="0073298C" w:rsidP="0073298C">
            <w:pPr>
              <w:spacing w:before="22" w:after="22"/>
              <w:ind w:left="22" w:right="22"/>
              <w:rPr>
                <w:color w:val="000000"/>
              </w:rPr>
            </w:pPr>
            <w:r>
              <w:rPr>
                <w:color w:val="000000"/>
              </w:rPr>
              <w:t> </w:t>
            </w:r>
          </w:p>
        </w:tc>
        <w:tc>
          <w:tcPr>
            <w:tcW w:w="7000" w:type="dxa"/>
            <w:gridSpan w:val="15"/>
            <w:tcBorders>
              <w:top w:val="single" w:sz="6" w:space="0" w:color="00467E"/>
              <w:left w:val="nil"/>
              <w:bottom w:val="single" w:sz="6" w:space="0" w:color="000000"/>
              <w:right w:val="single" w:sz="6" w:space="0" w:color="00467E"/>
            </w:tcBorders>
            <w:vAlign w:val="bottom"/>
          </w:tcPr>
          <w:p w:rsidR="0073298C" w:rsidRDefault="0073298C" w:rsidP="0073298C">
            <w:pPr>
              <w:spacing w:before="22" w:after="22"/>
              <w:ind w:left="22"/>
              <w:jc w:val="center"/>
              <w:rPr>
                <w:rFonts w:ascii="Arial" w:hAnsi="Arial" w:cs="Arial"/>
                <w:b/>
                <w:bCs w:val="0"/>
                <w:color w:val="000000"/>
                <w:sz w:val="14"/>
                <w:szCs w:val="14"/>
              </w:rPr>
            </w:pPr>
            <w:r>
              <w:rPr>
                <w:rFonts w:ascii="Arial" w:hAnsi="Arial" w:cs="Arial"/>
                <w:b/>
                <w:bCs w:val="0"/>
                <w:color w:val="000000"/>
                <w:sz w:val="14"/>
                <w:szCs w:val="14"/>
              </w:rPr>
              <w:t>September 9, 2017 – December 31, 2017</w:t>
            </w:r>
          </w:p>
        </w:tc>
      </w:tr>
      <w:tr w:rsidR="0073298C" w:rsidTr="0073298C">
        <w:tblPrEx>
          <w:tblCellMar>
            <w:top w:w="0" w:type="dxa"/>
            <w:left w:w="0" w:type="dxa"/>
            <w:bottom w:w="0" w:type="dxa"/>
            <w:right w:w="0" w:type="dxa"/>
          </w:tblCellMar>
        </w:tblPrEx>
        <w:trPr>
          <w:trHeight w:val="281"/>
          <w:jc w:val="center"/>
        </w:trPr>
        <w:tc>
          <w:tcPr>
            <w:tcW w:w="3799" w:type="dxa"/>
            <w:tcBorders>
              <w:top w:val="nil"/>
              <w:left w:val="single" w:sz="6" w:space="0" w:color="00467E"/>
              <w:bottom w:val="nil"/>
              <w:right w:val="nil"/>
            </w:tcBorders>
            <w:vAlign w:val="bottom"/>
          </w:tcPr>
          <w:p w:rsidR="0073298C" w:rsidRDefault="0073298C" w:rsidP="0073298C">
            <w:pPr>
              <w:spacing w:before="22" w:after="22"/>
              <w:ind w:left="22" w:right="22"/>
              <w:rPr>
                <w:color w:val="000000"/>
              </w:rPr>
            </w:pPr>
            <w:r>
              <w:rPr>
                <w:color w:val="000000"/>
              </w:rPr>
              <w:t> </w:t>
            </w:r>
          </w:p>
        </w:tc>
        <w:tc>
          <w:tcPr>
            <w:tcW w:w="1640" w:type="dxa"/>
            <w:gridSpan w:val="3"/>
            <w:tcBorders>
              <w:top w:val="nil"/>
              <w:left w:val="nil"/>
              <w:bottom w:val="nil"/>
              <w:right w:val="nil"/>
            </w:tcBorders>
            <w:vAlign w:val="bottom"/>
          </w:tcPr>
          <w:p w:rsidR="0073298C" w:rsidRDefault="0073298C" w:rsidP="0073298C">
            <w:pPr>
              <w:spacing w:before="22" w:after="22"/>
              <w:ind w:left="22" w:right="22"/>
              <w:jc w:val="center"/>
              <w:rPr>
                <w:rFonts w:ascii="Arial" w:hAnsi="Arial" w:cs="Arial"/>
                <w:b/>
                <w:bCs w:val="0"/>
                <w:color w:val="000000"/>
                <w:sz w:val="14"/>
                <w:szCs w:val="14"/>
              </w:rPr>
            </w:pPr>
            <w:r>
              <w:rPr>
                <w:rFonts w:ascii="Arial" w:hAnsi="Arial" w:cs="Arial"/>
                <w:b/>
                <w:bCs w:val="0"/>
                <w:color w:val="000000"/>
                <w:sz w:val="14"/>
                <w:szCs w:val="14"/>
              </w:rPr>
              <w:t>Swift</w:t>
            </w:r>
          </w:p>
        </w:tc>
        <w:tc>
          <w:tcPr>
            <w:tcW w:w="101" w:type="dxa"/>
            <w:tcBorders>
              <w:top w:val="nil"/>
              <w:left w:val="nil"/>
              <w:bottom w:val="nil"/>
              <w:right w:val="nil"/>
            </w:tcBorders>
            <w:vAlign w:val="bottom"/>
          </w:tcPr>
          <w:p w:rsidR="0073298C" w:rsidRDefault="0073298C" w:rsidP="0073298C">
            <w:pPr>
              <w:spacing w:before="22" w:after="22"/>
              <w:ind w:left="22" w:right="22"/>
              <w:rPr>
                <w:color w:val="000000"/>
              </w:rPr>
            </w:pPr>
            <w:r>
              <w:rPr>
                <w:color w:val="000000"/>
              </w:rPr>
              <w:t> </w:t>
            </w:r>
          </w:p>
        </w:tc>
        <w:tc>
          <w:tcPr>
            <w:tcW w:w="1640" w:type="dxa"/>
            <w:gridSpan w:val="3"/>
            <w:tcBorders>
              <w:top w:val="nil"/>
              <w:left w:val="nil"/>
              <w:bottom w:val="nil"/>
              <w:right w:val="nil"/>
            </w:tcBorders>
            <w:vAlign w:val="bottom"/>
          </w:tcPr>
          <w:p w:rsidR="0073298C" w:rsidRDefault="0073298C" w:rsidP="0073298C">
            <w:pPr>
              <w:spacing w:before="22" w:after="22"/>
              <w:ind w:left="22" w:right="22"/>
              <w:jc w:val="center"/>
              <w:rPr>
                <w:rFonts w:ascii="Arial" w:hAnsi="Arial" w:cs="Arial"/>
                <w:b/>
                <w:bCs w:val="0"/>
                <w:color w:val="000000"/>
                <w:sz w:val="14"/>
                <w:szCs w:val="14"/>
              </w:rPr>
            </w:pPr>
            <w:r>
              <w:rPr>
                <w:rFonts w:ascii="Arial" w:hAnsi="Arial" w:cs="Arial"/>
                <w:b/>
                <w:bCs w:val="0"/>
                <w:color w:val="000000"/>
                <w:sz w:val="14"/>
                <w:szCs w:val="14"/>
              </w:rPr>
              <w:t>Swift</w:t>
            </w:r>
          </w:p>
        </w:tc>
        <w:tc>
          <w:tcPr>
            <w:tcW w:w="101" w:type="dxa"/>
            <w:tcBorders>
              <w:top w:val="nil"/>
              <w:left w:val="nil"/>
              <w:bottom w:val="nil"/>
              <w:right w:val="nil"/>
            </w:tcBorders>
            <w:vAlign w:val="bottom"/>
          </w:tcPr>
          <w:p w:rsidR="0073298C" w:rsidRDefault="0073298C" w:rsidP="0073298C">
            <w:pPr>
              <w:spacing w:before="22" w:after="22"/>
              <w:ind w:left="22" w:right="22"/>
              <w:rPr>
                <w:color w:val="000000"/>
              </w:rPr>
            </w:pPr>
            <w:r>
              <w:rPr>
                <w:color w:val="000000"/>
              </w:rPr>
              <w:t> </w:t>
            </w:r>
          </w:p>
        </w:tc>
        <w:tc>
          <w:tcPr>
            <w:tcW w:w="1744" w:type="dxa"/>
            <w:gridSpan w:val="3"/>
            <w:tcBorders>
              <w:top w:val="nil"/>
              <w:left w:val="nil"/>
              <w:bottom w:val="nil"/>
              <w:right w:val="nil"/>
            </w:tcBorders>
            <w:vAlign w:val="bottom"/>
          </w:tcPr>
          <w:p w:rsidR="0073298C" w:rsidRDefault="0073298C" w:rsidP="0073298C">
            <w:pPr>
              <w:spacing w:before="22" w:after="22"/>
              <w:ind w:left="22" w:right="22"/>
              <w:jc w:val="center"/>
              <w:rPr>
                <w:rFonts w:ascii="Arial" w:hAnsi="Arial" w:cs="Arial"/>
                <w:b/>
                <w:bCs w:val="0"/>
                <w:color w:val="000000"/>
                <w:sz w:val="14"/>
                <w:szCs w:val="14"/>
              </w:rPr>
            </w:pPr>
            <w:r>
              <w:rPr>
                <w:rFonts w:ascii="Arial" w:hAnsi="Arial" w:cs="Arial"/>
                <w:b/>
                <w:bCs w:val="0"/>
                <w:color w:val="000000"/>
                <w:sz w:val="14"/>
                <w:szCs w:val="14"/>
              </w:rPr>
              <w:t>Swift</w:t>
            </w:r>
          </w:p>
        </w:tc>
        <w:tc>
          <w:tcPr>
            <w:tcW w:w="101" w:type="dxa"/>
            <w:tcBorders>
              <w:top w:val="nil"/>
              <w:left w:val="nil"/>
              <w:bottom w:val="nil"/>
              <w:right w:val="nil"/>
            </w:tcBorders>
            <w:vAlign w:val="bottom"/>
          </w:tcPr>
          <w:p w:rsidR="0073298C" w:rsidRDefault="0073298C" w:rsidP="0073298C">
            <w:pPr>
              <w:spacing w:before="22" w:after="22"/>
              <w:ind w:left="22" w:right="22"/>
              <w:rPr>
                <w:color w:val="000000"/>
              </w:rPr>
            </w:pPr>
            <w:r>
              <w:rPr>
                <w:color w:val="000000"/>
              </w:rPr>
              <w:t> </w:t>
            </w:r>
          </w:p>
        </w:tc>
        <w:tc>
          <w:tcPr>
            <w:tcW w:w="1671" w:type="dxa"/>
            <w:gridSpan w:val="3"/>
            <w:tcBorders>
              <w:top w:val="nil"/>
              <w:left w:val="nil"/>
              <w:bottom w:val="nil"/>
              <w:right w:val="single" w:sz="6" w:space="0" w:color="00467E"/>
            </w:tcBorders>
            <w:vAlign w:val="bottom"/>
          </w:tcPr>
          <w:p w:rsidR="0073298C" w:rsidRDefault="0073298C" w:rsidP="0073298C">
            <w:pPr>
              <w:spacing w:before="22" w:after="22"/>
              <w:ind w:left="22" w:right="22"/>
              <w:jc w:val="center"/>
              <w:rPr>
                <w:rFonts w:ascii="Arial" w:hAnsi="Arial" w:cs="Arial"/>
                <w:b/>
                <w:bCs w:val="0"/>
                <w:color w:val="000000"/>
                <w:sz w:val="14"/>
                <w:szCs w:val="14"/>
              </w:rPr>
            </w:pPr>
            <w:r>
              <w:rPr>
                <w:rFonts w:ascii="Arial" w:hAnsi="Arial" w:cs="Arial"/>
                <w:b/>
                <w:bCs w:val="0"/>
                <w:color w:val="000000"/>
                <w:sz w:val="14"/>
                <w:szCs w:val="14"/>
              </w:rPr>
              <w:t>Swift</w:t>
            </w:r>
          </w:p>
        </w:tc>
      </w:tr>
      <w:tr w:rsidR="0073298C" w:rsidTr="0073298C">
        <w:tblPrEx>
          <w:tblCellMar>
            <w:top w:w="0" w:type="dxa"/>
            <w:left w:w="0" w:type="dxa"/>
            <w:bottom w:w="0" w:type="dxa"/>
            <w:right w:w="0" w:type="dxa"/>
          </w:tblCellMar>
        </w:tblPrEx>
        <w:trPr>
          <w:trHeight w:val="281"/>
          <w:jc w:val="center"/>
        </w:trPr>
        <w:tc>
          <w:tcPr>
            <w:tcW w:w="3799" w:type="dxa"/>
            <w:tcBorders>
              <w:top w:val="nil"/>
              <w:left w:val="single" w:sz="6" w:space="0" w:color="00467E"/>
              <w:bottom w:val="nil"/>
              <w:right w:val="nil"/>
            </w:tcBorders>
            <w:vAlign w:val="bottom"/>
          </w:tcPr>
          <w:p w:rsidR="0073298C" w:rsidRDefault="0073298C" w:rsidP="0073298C">
            <w:pPr>
              <w:spacing w:before="22" w:after="22"/>
              <w:ind w:left="22" w:right="22"/>
              <w:rPr>
                <w:color w:val="000000"/>
              </w:rPr>
            </w:pPr>
            <w:r>
              <w:rPr>
                <w:color w:val="000000"/>
              </w:rPr>
              <w:t> </w:t>
            </w:r>
          </w:p>
        </w:tc>
        <w:tc>
          <w:tcPr>
            <w:tcW w:w="1640" w:type="dxa"/>
            <w:gridSpan w:val="3"/>
            <w:tcBorders>
              <w:top w:val="nil"/>
              <w:left w:val="nil"/>
              <w:bottom w:val="single" w:sz="6" w:space="0" w:color="000000"/>
              <w:right w:val="nil"/>
            </w:tcBorders>
            <w:vAlign w:val="bottom"/>
          </w:tcPr>
          <w:p w:rsidR="0073298C" w:rsidRDefault="0073298C" w:rsidP="0073298C">
            <w:pPr>
              <w:spacing w:before="22" w:after="22"/>
              <w:ind w:left="22" w:right="22"/>
              <w:jc w:val="center"/>
              <w:rPr>
                <w:rFonts w:ascii="Arial" w:hAnsi="Arial" w:cs="Arial"/>
                <w:b/>
                <w:bCs w:val="0"/>
                <w:color w:val="000000"/>
                <w:sz w:val="14"/>
                <w:szCs w:val="14"/>
              </w:rPr>
            </w:pPr>
            <w:r>
              <w:rPr>
                <w:rFonts w:ascii="Arial" w:hAnsi="Arial" w:cs="Arial"/>
                <w:b/>
                <w:bCs w:val="0"/>
                <w:color w:val="000000"/>
                <w:sz w:val="14"/>
                <w:szCs w:val="14"/>
              </w:rPr>
              <w:t>Truckload</w:t>
            </w:r>
          </w:p>
        </w:tc>
        <w:tc>
          <w:tcPr>
            <w:tcW w:w="101" w:type="dxa"/>
            <w:tcBorders>
              <w:top w:val="nil"/>
              <w:left w:val="nil"/>
              <w:bottom w:val="nil"/>
              <w:right w:val="nil"/>
            </w:tcBorders>
            <w:vAlign w:val="bottom"/>
          </w:tcPr>
          <w:p w:rsidR="0073298C" w:rsidRDefault="0073298C" w:rsidP="0073298C">
            <w:pPr>
              <w:spacing w:before="22" w:after="22"/>
              <w:ind w:left="22" w:right="22"/>
              <w:rPr>
                <w:color w:val="000000"/>
              </w:rPr>
            </w:pPr>
            <w:r>
              <w:rPr>
                <w:color w:val="000000"/>
              </w:rPr>
              <w:t> </w:t>
            </w:r>
          </w:p>
        </w:tc>
        <w:tc>
          <w:tcPr>
            <w:tcW w:w="1640" w:type="dxa"/>
            <w:gridSpan w:val="3"/>
            <w:tcBorders>
              <w:top w:val="nil"/>
              <w:left w:val="nil"/>
              <w:bottom w:val="single" w:sz="6" w:space="0" w:color="000000"/>
              <w:right w:val="nil"/>
            </w:tcBorders>
            <w:vAlign w:val="bottom"/>
          </w:tcPr>
          <w:p w:rsidR="0073298C" w:rsidRDefault="0073298C" w:rsidP="0073298C">
            <w:pPr>
              <w:spacing w:before="22" w:after="22"/>
              <w:ind w:left="22" w:right="22"/>
              <w:jc w:val="center"/>
              <w:rPr>
                <w:rFonts w:ascii="Arial" w:hAnsi="Arial" w:cs="Arial"/>
                <w:b/>
                <w:bCs w:val="0"/>
                <w:color w:val="000000"/>
                <w:sz w:val="14"/>
                <w:szCs w:val="14"/>
              </w:rPr>
            </w:pPr>
            <w:r>
              <w:rPr>
                <w:rFonts w:ascii="Arial" w:hAnsi="Arial" w:cs="Arial"/>
                <w:b/>
                <w:bCs w:val="0"/>
                <w:color w:val="000000"/>
                <w:sz w:val="14"/>
                <w:szCs w:val="14"/>
              </w:rPr>
              <w:t>Dedicated</w:t>
            </w:r>
          </w:p>
        </w:tc>
        <w:tc>
          <w:tcPr>
            <w:tcW w:w="101" w:type="dxa"/>
            <w:tcBorders>
              <w:top w:val="nil"/>
              <w:left w:val="nil"/>
              <w:bottom w:val="nil"/>
              <w:right w:val="nil"/>
            </w:tcBorders>
            <w:vAlign w:val="bottom"/>
          </w:tcPr>
          <w:p w:rsidR="0073298C" w:rsidRDefault="0073298C" w:rsidP="0073298C">
            <w:pPr>
              <w:spacing w:before="22" w:after="22"/>
              <w:ind w:left="22" w:right="22"/>
              <w:rPr>
                <w:color w:val="000000"/>
              </w:rPr>
            </w:pPr>
            <w:r>
              <w:rPr>
                <w:color w:val="000000"/>
              </w:rPr>
              <w:t> </w:t>
            </w:r>
          </w:p>
        </w:tc>
        <w:tc>
          <w:tcPr>
            <w:tcW w:w="1744" w:type="dxa"/>
            <w:gridSpan w:val="3"/>
            <w:tcBorders>
              <w:top w:val="nil"/>
              <w:left w:val="nil"/>
              <w:bottom w:val="single" w:sz="6" w:space="0" w:color="000000"/>
              <w:right w:val="nil"/>
            </w:tcBorders>
            <w:vAlign w:val="bottom"/>
          </w:tcPr>
          <w:p w:rsidR="0073298C" w:rsidRDefault="0073298C" w:rsidP="0073298C">
            <w:pPr>
              <w:spacing w:before="22" w:after="22"/>
              <w:ind w:left="22" w:right="22"/>
              <w:jc w:val="center"/>
              <w:rPr>
                <w:rFonts w:ascii="Arial" w:hAnsi="Arial" w:cs="Arial"/>
                <w:b/>
                <w:bCs w:val="0"/>
                <w:color w:val="000000"/>
                <w:sz w:val="14"/>
                <w:szCs w:val="14"/>
              </w:rPr>
            </w:pPr>
            <w:r>
              <w:rPr>
                <w:rFonts w:ascii="Arial" w:hAnsi="Arial" w:cs="Arial"/>
                <w:b/>
                <w:bCs w:val="0"/>
                <w:color w:val="000000"/>
                <w:sz w:val="14"/>
                <w:szCs w:val="14"/>
              </w:rPr>
              <w:t>Refrigerated</w:t>
            </w:r>
          </w:p>
        </w:tc>
        <w:tc>
          <w:tcPr>
            <w:tcW w:w="101" w:type="dxa"/>
            <w:tcBorders>
              <w:top w:val="nil"/>
              <w:left w:val="nil"/>
              <w:bottom w:val="nil"/>
              <w:right w:val="nil"/>
            </w:tcBorders>
            <w:vAlign w:val="bottom"/>
          </w:tcPr>
          <w:p w:rsidR="0073298C" w:rsidRDefault="0073298C" w:rsidP="0073298C">
            <w:pPr>
              <w:spacing w:before="22" w:after="22"/>
              <w:ind w:left="22" w:right="22"/>
              <w:rPr>
                <w:color w:val="000000"/>
              </w:rPr>
            </w:pPr>
            <w:r>
              <w:rPr>
                <w:color w:val="000000"/>
              </w:rPr>
              <w:t> </w:t>
            </w:r>
          </w:p>
        </w:tc>
        <w:tc>
          <w:tcPr>
            <w:tcW w:w="1671" w:type="dxa"/>
            <w:gridSpan w:val="3"/>
            <w:tcBorders>
              <w:top w:val="nil"/>
              <w:left w:val="nil"/>
              <w:bottom w:val="single" w:sz="6" w:space="0" w:color="000000"/>
              <w:right w:val="single" w:sz="6" w:space="0" w:color="00467E"/>
            </w:tcBorders>
            <w:vAlign w:val="bottom"/>
          </w:tcPr>
          <w:p w:rsidR="0073298C" w:rsidRDefault="0073298C" w:rsidP="0073298C">
            <w:pPr>
              <w:spacing w:before="22" w:after="22"/>
              <w:ind w:left="22" w:right="22"/>
              <w:jc w:val="center"/>
              <w:rPr>
                <w:rFonts w:ascii="Arial" w:hAnsi="Arial" w:cs="Arial"/>
                <w:b/>
                <w:bCs w:val="0"/>
                <w:color w:val="000000"/>
                <w:sz w:val="14"/>
                <w:szCs w:val="14"/>
              </w:rPr>
            </w:pPr>
            <w:r>
              <w:rPr>
                <w:rFonts w:ascii="Arial" w:hAnsi="Arial" w:cs="Arial"/>
                <w:b/>
                <w:bCs w:val="0"/>
                <w:color w:val="000000"/>
                <w:sz w:val="14"/>
                <w:szCs w:val="14"/>
              </w:rPr>
              <w:t>Intermodal</w:t>
            </w:r>
          </w:p>
        </w:tc>
      </w:tr>
      <w:tr w:rsidR="0073298C" w:rsidTr="0073298C">
        <w:tblPrEx>
          <w:tblCellMar>
            <w:top w:w="0" w:type="dxa"/>
            <w:left w:w="0" w:type="dxa"/>
            <w:bottom w:w="0" w:type="dxa"/>
            <w:right w:w="0" w:type="dxa"/>
          </w:tblCellMar>
        </w:tblPrEx>
        <w:trPr>
          <w:trHeight w:val="281"/>
          <w:jc w:val="center"/>
        </w:trPr>
        <w:tc>
          <w:tcPr>
            <w:tcW w:w="3799" w:type="dxa"/>
            <w:tcBorders>
              <w:top w:val="nil"/>
              <w:left w:val="single" w:sz="6" w:space="0" w:color="00467E"/>
              <w:bottom w:val="nil"/>
              <w:right w:val="nil"/>
            </w:tcBorders>
            <w:vAlign w:val="bottom"/>
          </w:tcPr>
          <w:p w:rsidR="0073298C" w:rsidRDefault="0073298C" w:rsidP="0073298C">
            <w:pPr>
              <w:spacing w:before="22" w:after="22"/>
              <w:ind w:left="22" w:right="22"/>
              <w:rPr>
                <w:color w:val="000000"/>
              </w:rPr>
            </w:pPr>
            <w:r>
              <w:rPr>
                <w:color w:val="000000"/>
              </w:rPr>
              <w:t> </w:t>
            </w:r>
          </w:p>
        </w:tc>
        <w:tc>
          <w:tcPr>
            <w:tcW w:w="7000" w:type="dxa"/>
            <w:gridSpan w:val="15"/>
            <w:tcBorders>
              <w:top w:val="nil"/>
              <w:left w:val="nil"/>
              <w:bottom w:val="nil"/>
              <w:right w:val="single" w:sz="6" w:space="0" w:color="00467E"/>
            </w:tcBorders>
            <w:vAlign w:val="center"/>
          </w:tcPr>
          <w:p w:rsidR="0073298C" w:rsidRDefault="0073298C" w:rsidP="0073298C">
            <w:pPr>
              <w:spacing w:before="22" w:after="22"/>
              <w:ind w:left="22"/>
              <w:jc w:val="center"/>
              <w:rPr>
                <w:rFonts w:ascii="Arial" w:hAnsi="Arial" w:cs="Arial"/>
                <w:b/>
                <w:bCs w:val="0"/>
                <w:color w:val="000000"/>
                <w:sz w:val="14"/>
                <w:szCs w:val="14"/>
              </w:rPr>
            </w:pPr>
            <w:r>
              <w:rPr>
                <w:rFonts w:ascii="Arial" w:hAnsi="Arial" w:cs="Arial"/>
                <w:b/>
                <w:bCs w:val="0"/>
                <w:color w:val="000000"/>
                <w:sz w:val="14"/>
                <w:szCs w:val="14"/>
              </w:rPr>
              <w:t>(Dollars in thousands, except per tractor and per load data)</w:t>
            </w:r>
          </w:p>
        </w:tc>
      </w:tr>
      <w:tr w:rsidR="0073298C" w:rsidTr="0073298C">
        <w:tblPrEx>
          <w:tblCellMar>
            <w:top w:w="0" w:type="dxa"/>
            <w:left w:w="0" w:type="dxa"/>
            <w:bottom w:w="0" w:type="dxa"/>
            <w:right w:w="0" w:type="dxa"/>
          </w:tblCellMar>
        </w:tblPrEx>
        <w:trPr>
          <w:trHeight w:val="281"/>
          <w:jc w:val="center"/>
        </w:trPr>
        <w:tc>
          <w:tcPr>
            <w:tcW w:w="3799" w:type="dxa"/>
            <w:tcBorders>
              <w:top w:val="nil"/>
              <w:left w:val="single" w:sz="6" w:space="0" w:color="00467E"/>
              <w:bottom w:val="nil"/>
              <w:right w:val="nil"/>
            </w:tcBorders>
            <w:shd w:val="clear" w:color="CFD4D8" w:fill="CFD4D8"/>
            <w:vAlign w:val="bottom"/>
          </w:tcPr>
          <w:p w:rsidR="0073298C" w:rsidRDefault="0073298C" w:rsidP="0073298C">
            <w:pPr>
              <w:spacing w:before="22" w:after="22"/>
              <w:ind w:left="22" w:right="22"/>
              <w:rPr>
                <w:rFonts w:ascii="Arial" w:hAnsi="Arial" w:cs="Arial"/>
                <w:color w:val="000000"/>
                <w:sz w:val="18"/>
                <w:szCs w:val="18"/>
              </w:rPr>
            </w:pPr>
            <w:r>
              <w:rPr>
                <w:rFonts w:ascii="Arial" w:hAnsi="Arial" w:cs="Arial"/>
                <w:color w:val="000000"/>
                <w:sz w:val="18"/>
                <w:szCs w:val="18"/>
              </w:rPr>
              <w:t>Total revenue</w:t>
            </w:r>
          </w:p>
        </w:tc>
        <w:tc>
          <w:tcPr>
            <w:tcW w:w="229" w:type="dxa"/>
            <w:tcBorders>
              <w:top w:val="nil"/>
              <w:left w:val="nil"/>
              <w:bottom w:val="nil"/>
              <w:right w:val="nil"/>
            </w:tcBorders>
            <w:shd w:val="clear" w:color="CFD4D8" w:fill="CFD4D8"/>
            <w:vAlign w:val="bottom"/>
          </w:tcPr>
          <w:p w:rsidR="0073298C" w:rsidRDefault="0073298C" w:rsidP="0073298C">
            <w:pPr>
              <w:spacing w:before="22" w:after="22"/>
              <w:ind w:left="22"/>
              <w:rPr>
                <w:rFonts w:ascii="Arial" w:hAnsi="Arial" w:cs="Arial"/>
                <w:color w:val="000000"/>
                <w:sz w:val="18"/>
                <w:szCs w:val="18"/>
              </w:rPr>
            </w:pPr>
            <w:r>
              <w:rPr>
                <w:rFonts w:ascii="Arial" w:hAnsi="Arial" w:cs="Arial"/>
                <w:color w:val="000000"/>
                <w:sz w:val="18"/>
                <w:szCs w:val="18"/>
              </w:rPr>
              <w:t>$</w:t>
            </w:r>
          </w:p>
        </w:tc>
        <w:tc>
          <w:tcPr>
            <w:tcW w:w="1181" w:type="dxa"/>
            <w:tcBorders>
              <w:top w:val="nil"/>
              <w:left w:val="nil"/>
              <w:bottom w:val="nil"/>
              <w:right w:val="nil"/>
            </w:tcBorders>
            <w:shd w:val="clear" w:color="CFD4D8" w:fill="CFD4D8"/>
            <w:vAlign w:val="bottom"/>
          </w:tcPr>
          <w:p w:rsidR="0073298C" w:rsidRDefault="0073298C" w:rsidP="0073298C">
            <w:pPr>
              <w:spacing w:before="22" w:after="22"/>
              <w:jc w:val="right"/>
              <w:rPr>
                <w:rFonts w:ascii="Arial" w:hAnsi="Arial" w:cs="Arial"/>
                <w:color w:val="000000"/>
                <w:sz w:val="18"/>
                <w:szCs w:val="18"/>
              </w:rPr>
            </w:pPr>
            <w:r>
              <w:rPr>
                <w:rFonts w:ascii="Arial" w:hAnsi="Arial" w:cs="Arial"/>
                <w:color w:val="000000"/>
                <w:sz w:val="18"/>
                <w:szCs w:val="18"/>
              </w:rPr>
              <w:t>609,112</w:t>
            </w:r>
          </w:p>
        </w:tc>
        <w:tc>
          <w:tcPr>
            <w:tcW w:w="229" w:type="dxa"/>
            <w:tcBorders>
              <w:top w:val="nil"/>
              <w:left w:val="nil"/>
              <w:bottom w:val="nil"/>
              <w:right w:val="nil"/>
            </w:tcBorders>
            <w:shd w:val="clear" w:color="CFD4D8" w:fill="CFD4D8"/>
            <w:vAlign w:val="bottom"/>
          </w:tcPr>
          <w:p w:rsidR="0073298C" w:rsidRDefault="0073298C" w:rsidP="0073298C">
            <w:pPr>
              <w:spacing w:before="22" w:after="22"/>
              <w:jc w:val="right"/>
              <w:rPr>
                <w:rFonts w:ascii="Arial" w:hAnsi="Arial" w:cs="Arial"/>
                <w:color w:val="000000"/>
                <w:sz w:val="18"/>
                <w:szCs w:val="18"/>
              </w:rPr>
            </w:pPr>
          </w:p>
          <w:p w:rsidR="0073298C" w:rsidRDefault="0073298C" w:rsidP="0073298C">
            <w:pPr>
              <w:rPr>
                <w:sz w:val="16"/>
                <w:szCs w:val="16"/>
              </w:rPr>
            </w:pPr>
            <w:r>
              <w:rPr>
                <w:sz w:val="16"/>
                <w:szCs w:val="16"/>
              </w:rPr>
              <w:lastRenderedPageBreak/>
              <w:t> </w:t>
            </w:r>
          </w:p>
        </w:tc>
        <w:tc>
          <w:tcPr>
            <w:tcW w:w="101" w:type="dxa"/>
            <w:tcBorders>
              <w:top w:val="nil"/>
              <w:left w:val="nil"/>
              <w:bottom w:val="nil"/>
              <w:right w:val="nil"/>
            </w:tcBorders>
            <w:shd w:val="clear" w:color="CFD4D8" w:fill="CFD4D8"/>
            <w:vAlign w:val="bottom"/>
          </w:tcPr>
          <w:p w:rsidR="0073298C" w:rsidRDefault="0073298C" w:rsidP="0073298C">
            <w:pPr>
              <w:spacing w:before="22" w:after="22"/>
              <w:ind w:left="22" w:right="22"/>
              <w:rPr>
                <w:color w:val="000000"/>
              </w:rPr>
            </w:pPr>
            <w:r>
              <w:rPr>
                <w:color w:val="000000"/>
              </w:rPr>
              <w:lastRenderedPageBreak/>
              <w:t> </w:t>
            </w:r>
          </w:p>
        </w:tc>
        <w:tc>
          <w:tcPr>
            <w:tcW w:w="229" w:type="dxa"/>
            <w:tcBorders>
              <w:top w:val="nil"/>
              <w:left w:val="nil"/>
              <w:bottom w:val="nil"/>
              <w:right w:val="nil"/>
            </w:tcBorders>
            <w:shd w:val="clear" w:color="CFD4D8" w:fill="CFD4D8"/>
            <w:vAlign w:val="bottom"/>
          </w:tcPr>
          <w:p w:rsidR="0073298C" w:rsidRDefault="0073298C" w:rsidP="0073298C">
            <w:pPr>
              <w:spacing w:before="22" w:after="22"/>
              <w:ind w:left="22"/>
              <w:rPr>
                <w:rFonts w:ascii="Arial" w:hAnsi="Arial" w:cs="Arial"/>
                <w:color w:val="000000"/>
                <w:sz w:val="18"/>
                <w:szCs w:val="18"/>
              </w:rPr>
            </w:pPr>
            <w:r>
              <w:rPr>
                <w:rFonts w:ascii="Arial" w:hAnsi="Arial" w:cs="Arial"/>
                <w:color w:val="000000"/>
                <w:sz w:val="18"/>
                <w:szCs w:val="18"/>
              </w:rPr>
              <w:t>$</w:t>
            </w:r>
          </w:p>
        </w:tc>
        <w:tc>
          <w:tcPr>
            <w:tcW w:w="1181" w:type="dxa"/>
            <w:tcBorders>
              <w:top w:val="nil"/>
              <w:left w:val="nil"/>
              <w:bottom w:val="nil"/>
              <w:right w:val="nil"/>
            </w:tcBorders>
            <w:shd w:val="clear" w:color="CFD4D8" w:fill="CFD4D8"/>
            <w:vAlign w:val="bottom"/>
          </w:tcPr>
          <w:p w:rsidR="0073298C" w:rsidRDefault="0073298C" w:rsidP="0073298C">
            <w:pPr>
              <w:spacing w:before="22" w:after="22"/>
              <w:jc w:val="right"/>
              <w:rPr>
                <w:rFonts w:ascii="Arial" w:hAnsi="Arial" w:cs="Arial"/>
                <w:color w:val="000000"/>
                <w:sz w:val="18"/>
                <w:szCs w:val="18"/>
              </w:rPr>
            </w:pPr>
            <w:r>
              <w:rPr>
                <w:rFonts w:ascii="Arial" w:hAnsi="Arial" w:cs="Arial"/>
                <w:color w:val="000000"/>
                <w:sz w:val="18"/>
                <w:szCs w:val="18"/>
              </w:rPr>
              <w:t>200,628</w:t>
            </w:r>
          </w:p>
        </w:tc>
        <w:tc>
          <w:tcPr>
            <w:tcW w:w="229" w:type="dxa"/>
            <w:tcBorders>
              <w:top w:val="nil"/>
              <w:left w:val="nil"/>
              <w:bottom w:val="nil"/>
              <w:right w:val="nil"/>
            </w:tcBorders>
            <w:shd w:val="clear" w:color="CFD4D8" w:fill="CFD4D8"/>
            <w:vAlign w:val="bottom"/>
          </w:tcPr>
          <w:p w:rsidR="0073298C" w:rsidRDefault="0073298C" w:rsidP="0073298C">
            <w:pPr>
              <w:spacing w:before="22" w:after="22"/>
              <w:jc w:val="right"/>
              <w:rPr>
                <w:rFonts w:ascii="Arial" w:hAnsi="Arial" w:cs="Arial"/>
                <w:color w:val="000000"/>
                <w:sz w:val="18"/>
                <w:szCs w:val="18"/>
              </w:rPr>
            </w:pPr>
          </w:p>
          <w:p w:rsidR="0073298C" w:rsidRDefault="0073298C" w:rsidP="0073298C">
            <w:pPr>
              <w:rPr>
                <w:sz w:val="16"/>
                <w:szCs w:val="16"/>
              </w:rPr>
            </w:pPr>
            <w:r>
              <w:rPr>
                <w:sz w:val="16"/>
                <w:szCs w:val="16"/>
              </w:rPr>
              <w:lastRenderedPageBreak/>
              <w:t> </w:t>
            </w:r>
          </w:p>
        </w:tc>
        <w:tc>
          <w:tcPr>
            <w:tcW w:w="101" w:type="dxa"/>
            <w:tcBorders>
              <w:top w:val="nil"/>
              <w:left w:val="nil"/>
              <w:bottom w:val="nil"/>
              <w:right w:val="nil"/>
            </w:tcBorders>
            <w:shd w:val="clear" w:color="CFD4D8" w:fill="CFD4D8"/>
            <w:vAlign w:val="bottom"/>
          </w:tcPr>
          <w:p w:rsidR="0073298C" w:rsidRDefault="0073298C" w:rsidP="0073298C">
            <w:pPr>
              <w:spacing w:before="22" w:after="22"/>
              <w:ind w:left="22" w:right="22"/>
              <w:rPr>
                <w:color w:val="000000"/>
              </w:rPr>
            </w:pPr>
            <w:r>
              <w:rPr>
                <w:color w:val="000000"/>
              </w:rPr>
              <w:lastRenderedPageBreak/>
              <w:t> </w:t>
            </w:r>
          </w:p>
        </w:tc>
        <w:tc>
          <w:tcPr>
            <w:tcW w:w="281" w:type="dxa"/>
            <w:tcBorders>
              <w:top w:val="nil"/>
              <w:left w:val="nil"/>
              <w:bottom w:val="nil"/>
              <w:right w:val="nil"/>
            </w:tcBorders>
            <w:shd w:val="clear" w:color="CFD4D8" w:fill="CFD4D8"/>
            <w:vAlign w:val="bottom"/>
          </w:tcPr>
          <w:p w:rsidR="0073298C" w:rsidRDefault="0073298C" w:rsidP="0073298C">
            <w:pPr>
              <w:spacing w:before="22" w:after="22"/>
              <w:ind w:left="22"/>
              <w:rPr>
                <w:rFonts w:ascii="Arial" w:hAnsi="Arial" w:cs="Arial"/>
                <w:color w:val="000000"/>
                <w:sz w:val="18"/>
                <w:szCs w:val="18"/>
              </w:rPr>
            </w:pPr>
            <w:r>
              <w:rPr>
                <w:rFonts w:ascii="Arial" w:hAnsi="Arial" w:cs="Arial"/>
                <w:color w:val="000000"/>
                <w:sz w:val="18"/>
                <w:szCs w:val="18"/>
              </w:rPr>
              <w:t>$</w:t>
            </w:r>
          </w:p>
        </w:tc>
        <w:tc>
          <w:tcPr>
            <w:tcW w:w="1181" w:type="dxa"/>
            <w:tcBorders>
              <w:top w:val="nil"/>
              <w:left w:val="nil"/>
              <w:bottom w:val="nil"/>
              <w:right w:val="nil"/>
            </w:tcBorders>
            <w:shd w:val="clear" w:color="CFD4D8" w:fill="CFD4D8"/>
            <w:vAlign w:val="bottom"/>
          </w:tcPr>
          <w:p w:rsidR="0073298C" w:rsidRDefault="0073298C" w:rsidP="0073298C">
            <w:pPr>
              <w:spacing w:before="22" w:after="22"/>
              <w:jc w:val="right"/>
              <w:rPr>
                <w:rFonts w:ascii="Arial" w:hAnsi="Arial" w:cs="Arial"/>
                <w:color w:val="000000"/>
                <w:sz w:val="18"/>
                <w:szCs w:val="18"/>
              </w:rPr>
            </w:pPr>
            <w:r>
              <w:rPr>
                <w:rFonts w:ascii="Arial" w:hAnsi="Arial" w:cs="Arial"/>
                <w:color w:val="000000"/>
                <w:sz w:val="18"/>
                <w:szCs w:val="18"/>
              </w:rPr>
              <w:t>254,102</w:t>
            </w:r>
          </w:p>
        </w:tc>
        <w:tc>
          <w:tcPr>
            <w:tcW w:w="281" w:type="dxa"/>
            <w:tcBorders>
              <w:top w:val="nil"/>
              <w:left w:val="nil"/>
              <w:bottom w:val="nil"/>
              <w:right w:val="nil"/>
            </w:tcBorders>
            <w:shd w:val="clear" w:color="CFD4D8" w:fill="CFD4D8"/>
            <w:vAlign w:val="bottom"/>
          </w:tcPr>
          <w:p w:rsidR="0073298C" w:rsidRDefault="0073298C" w:rsidP="0073298C">
            <w:pPr>
              <w:spacing w:before="22" w:after="22"/>
              <w:jc w:val="right"/>
              <w:rPr>
                <w:rFonts w:ascii="Arial" w:hAnsi="Arial" w:cs="Arial"/>
                <w:color w:val="000000"/>
                <w:sz w:val="18"/>
                <w:szCs w:val="18"/>
              </w:rPr>
            </w:pPr>
          </w:p>
          <w:p w:rsidR="0073298C" w:rsidRDefault="0073298C" w:rsidP="0073298C">
            <w:pPr>
              <w:rPr>
                <w:sz w:val="16"/>
                <w:szCs w:val="16"/>
              </w:rPr>
            </w:pPr>
            <w:r>
              <w:rPr>
                <w:sz w:val="16"/>
                <w:szCs w:val="16"/>
              </w:rPr>
              <w:lastRenderedPageBreak/>
              <w:t> </w:t>
            </w:r>
          </w:p>
        </w:tc>
        <w:tc>
          <w:tcPr>
            <w:tcW w:w="101" w:type="dxa"/>
            <w:tcBorders>
              <w:top w:val="nil"/>
              <w:left w:val="nil"/>
              <w:bottom w:val="nil"/>
              <w:right w:val="nil"/>
            </w:tcBorders>
            <w:shd w:val="clear" w:color="CFD4D8" w:fill="CFD4D8"/>
            <w:vAlign w:val="bottom"/>
          </w:tcPr>
          <w:p w:rsidR="0073298C" w:rsidRDefault="0073298C" w:rsidP="0073298C">
            <w:pPr>
              <w:spacing w:before="22" w:after="22"/>
              <w:ind w:left="22" w:right="22"/>
              <w:rPr>
                <w:color w:val="000000"/>
              </w:rPr>
            </w:pPr>
            <w:r>
              <w:rPr>
                <w:color w:val="000000"/>
              </w:rPr>
              <w:lastRenderedPageBreak/>
              <w:t> </w:t>
            </w:r>
          </w:p>
        </w:tc>
        <w:tc>
          <w:tcPr>
            <w:tcW w:w="245" w:type="dxa"/>
            <w:tcBorders>
              <w:top w:val="nil"/>
              <w:left w:val="nil"/>
              <w:bottom w:val="nil"/>
              <w:right w:val="nil"/>
            </w:tcBorders>
            <w:shd w:val="clear" w:color="CFD4D8" w:fill="CFD4D8"/>
            <w:vAlign w:val="bottom"/>
          </w:tcPr>
          <w:p w:rsidR="0073298C" w:rsidRDefault="0073298C" w:rsidP="0073298C">
            <w:pPr>
              <w:spacing w:before="22" w:after="22"/>
              <w:ind w:left="22"/>
              <w:rPr>
                <w:rFonts w:ascii="Arial" w:hAnsi="Arial" w:cs="Arial"/>
                <w:color w:val="000000"/>
                <w:sz w:val="18"/>
                <w:szCs w:val="18"/>
              </w:rPr>
            </w:pPr>
            <w:r>
              <w:rPr>
                <w:rFonts w:ascii="Arial" w:hAnsi="Arial" w:cs="Arial"/>
                <w:color w:val="000000"/>
                <w:sz w:val="18"/>
                <w:szCs w:val="18"/>
              </w:rPr>
              <w:t>$</w:t>
            </w:r>
          </w:p>
        </w:tc>
        <w:tc>
          <w:tcPr>
            <w:tcW w:w="1181" w:type="dxa"/>
            <w:tcBorders>
              <w:top w:val="nil"/>
              <w:left w:val="nil"/>
              <w:bottom w:val="nil"/>
              <w:right w:val="nil"/>
            </w:tcBorders>
            <w:shd w:val="clear" w:color="CFD4D8" w:fill="CFD4D8"/>
            <w:vAlign w:val="bottom"/>
          </w:tcPr>
          <w:p w:rsidR="0073298C" w:rsidRDefault="0073298C" w:rsidP="0073298C">
            <w:pPr>
              <w:spacing w:before="22" w:after="22"/>
              <w:jc w:val="right"/>
              <w:rPr>
                <w:rFonts w:ascii="Arial" w:hAnsi="Arial" w:cs="Arial"/>
                <w:color w:val="000000"/>
                <w:sz w:val="18"/>
                <w:szCs w:val="18"/>
              </w:rPr>
            </w:pPr>
            <w:r>
              <w:rPr>
                <w:rFonts w:ascii="Arial" w:hAnsi="Arial" w:cs="Arial"/>
                <w:color w:val="000000"/>
                <w:sz w:val="18"/>
                <w:szCs w:val="18"/>
              </w:rPr>
              <w:t>130,441</w:t>
            </w:r>
          </w:p>
        </w:tc>
        <w:tc>
          <w:tcPr>
            <w:tcW w:w="251" w:type="dxa"/>
            <w:tcBorders>
              <w:top w:val="nil"/>
              <w:left w:val="nil"/>
              <w:bottom w:val="nil"/>
              <w:right w:val="single" w:sz="6" w:space="0" w:color="00467E"/>
            </w:tcBorders>
            <w:shd w:val="clear" w:color="CFD4D8" w:fill="CFD4D8"/>
            <w:vAlign w:val="bottom"/>
          </w:tcPr>
          <w:p w:rsidR="0073298C" w:rsidRDefault="0073298C" w:rsidP="0073298C">
            <w:pPr>
              <w:spacing w:before="22" w:after="22"/>
              <w:jc w:val="right"/>
              <w:rPr>
                <w:rFonts w:ascii="Arial" w:hAnsi="Arial" w:cs="Arial"/>
                <w:color w:val="000000"/>
                <w:sz w:val="18"/>
                <w:szCs w:val="18"/>
              </w:rPr>
            </w:pPr>
          </w:p>
          <w:p w:rsidR="0073298C" w:rsidRDefault="0073298C" w:rsidP="0073298C">
            <w:pPr>
              <w:rPr>
                <w:sz w:val="16"/>
                <w:szCs w:val="16"/>
              </w:rPr>
            </w:pPr>
            <w:r>
              <w:rPr>
                <w:sz w:val="16"/>
                <w:szCs w:val="16"/>
              </w:rPr>
              <w:lastRenderedPageBreak/>
              <w:t> </w:t>
            </w:r>
          </w:p>
        </w:tc>
      </w:tr>
      <w:tr w:rsidR="0073298C" w:rsidTr="0073298C">
        <w:tblPrEx>
          <w:tblCellMar>
            <w:top w:w="0" w:type="dxa"/>
            <w:left w:w="0" w:type="dxa"/>
            <w:bottom w:w="0" w:type="dxa"/>
            <w:right w:w="0" w:type="dxa"/>
          </w:tblCellMar>
        </w:tblPrEx>
        <w:trPr>
          <w:trHeight w:val="281"/>
          <w:jc w:val="center"/>
        </w:trPr>
        <w:tc>
          <w:tcPr>
            <w:tcW w:w="3799" w:type="dxa"/>
            <w:tcBorders>
              <w:top w:val="nil"/>
              <w:left w:val="single" w:sz="6" w:space="0" w:color="00467E"/>
              <w:bottom w:val="nil"/>
              <w:right w:val="nil"/>
            </w:tcBorders>
            <w:vAlign w:val="bottom"/>
          </w:tcPr>
          <w:p w:rsidR="0073298C" w:rsidRDefault="0073298C" w:rsidP="0073298C">
            <w:pPr>
              <w:spacing w:before="22" w:after="22"/>
              <w:ind w:left="22" w:right="22"/>
              <w:rPr>
                <w:rFonts w:ascii="Arial" w:hAnsi="Arial" w:cs="Arial"/>
                <w:color w:val="000000"/>
                <w:sz w:val="18"/>
                <w:szCs w:val="18"/>
              </w:rPr>
            </w:pPr>
            <w:r>
              <w:rPr>
                <w:rFonts w:ascii="Arial" w:hAnsi="Arial" w:cs="Arial"/>
                <w:color w:val="000000"/>
                <w:sz w:val="18"/>
                <w:szCs w:val="18"/>
              </w:rPr>
              <w:lastRenderedPageBreak/>
              <w:t>Revenue, net of fuel surcharge</w:t>
            </w:r>
          </w:p>
        </w:tc>
        <w:tc>
          <w:tcPr>
            <w:tcW w:w="229" w:type="dxa"/>
            <w:tcBorders>
              <w:top w:val="nil"/>
              <w:left w:val="nil"/>
              <w:bottom w:val="nil"/>
              <w:right w:val="nil"/>
            </w:tcBorders>
            <w:vAlign w:val="bottom"/>
          </w:tcPr>
          <w:p w:rsidR="0073298C" w:rsidRDefault="0073298C" w:rsidP="0073298C">
            <w:pPr>
              <w:spacing w:before="22" w:after="22"/>
              <w:ind w:left="22"/>
              <w:rPr>
                <w:rFonts w:ascii="Arial" w:hAnsi="Arial" w:cs="Arial"/>
                <w:color w:val="000000"/>
                <w:sz w:val="18"/>
                <w:szCs w:val="18"/>
              </w:rPr>
            </w:pPr>
            <w:r>
              <w:rPr>
                <w:rFonts w:ascii="Arial" w:hAnsi="Arial" w:cs="Arial"/>
                <w:color w:val="000000"/>
                <w:sz w:val="18"/>
                <w:szCs w:val="18"/>
              </w:rPr>
              <w:t>$</w:t>
            </w:r>
          </w:p>
        </w:tc>
        <w:tc>
          <w:tcPr>
            <w:tcW w:w="1181" w:type="dxa"/>
            <w:tcBorders>
              <w:top w:val="nil"/>
              <w:left w:val="nil"/>
              <w:bottom w:val="nil"/>
              <w:right w:val="nil"/>
            </w:tcBorders>
            <w:vAlign w:val="bottom"/>
          </w:tcPr>
          <w:p w:rsidR="0073298C" w:rsidRDefault="0073298C" w:rsidP="0073298C">
            <w:pPr>
              <w:spacing w:before="22" w:after="22"/>
              <w:jc w:val="right"/>
              <w:rPr>
                <w:rFonts w:ascii="Arial" w:hAnsi="Arial" w:cs="Arial"/>
                <w:color w:val="000000"/>
                <w:sz w:val="18"/>
                <w:szCs w:val="18"/>
              </w:rPr>
            </w:pPr>
            <w:r>
              <w:rPr>
                <w:rFonts w:ascii="Arial" w:hAnsi="Arial" w:cs="Arial"/>
                <w:color w:val="000000"/>
                <w:sz w:val="18"/>
                <w:szCs w:val="18"/>
              </w:rPr>
              <w:t>536,848</w:t>
            </w:r>
          </w:p>
        </w:tc>
        <w:tc>
          <w:tcPr>
            <w:tcW w:w="229" w:type="dxa"/>
            <w:tcBorders>
              <w:top w:val="nil"/>
              <w:left w:val="nil"/>
              <w:bottom w:val="nil"/>
              <w:right w:val="nil"/>
            </w:tcBorders>
            <w:vAlign w:val="bottom"/>
          </w:tcPr>
          <w:p w:rsidR="0073298C" w:rsidRDefault="0073298C" w:rsidP="0073298C">
            <w:pPr>
              <w:spacing w:before="22" w:after="22"/>
              <w:jc w:val="right"/>
              <w:rPr>
                <w:rFonts w:ascii="Arial" w:hAnsi="Arial" w:cs="Arial"/>
                <w:color w:val="000000"/>
                <w:sz w:val="18"/>
                <w:szCs w:val="18"/>
              </w:rPr>
            </w:pPr>
          </w:p>
          <w:p w:rsidR="0073298C" w:rsidRDefault="0073298C" w:rsidP="0073298C">
            <w:pPr>
              <w:rPr>
                <w:sz w:val="16"/>
                <w:szCs w:val="16"/>
              </w:rPr>
            </w:pPr>
            <w:r>
              <w:rPr>
                <w:sz w:val="16"/>
                <w:szCs w:val="16"/>
              </w:rPr>
              <w:t> </w:t>
            </w:r>
          </w:p>
        </w:tc>
        <w:tc>
          <w:tcPr>
            <w:tcW w:w="101" w:type="dxa"/>
            <w:tcBorders>
              <w:top w:val="nil"/>
              <w:left w:val="nil"/>
              <w:bottom w:val="nil"/>
              <w:right w:val="nil"/>
            </w:tcBorders>
            <w:vAlign w:val="bottom"/>
          </w:tcPr>
          <w:p w:rsidR="0073298C" w:rsidRDefault="0073298C" w:rsidP="0073298C">
            <w:pPr>
              <w:spacing w:before="22" w:after="22"/>
              <w:ind w:left="22" w:right="22"/>
              <w:rPr>
                <w:color w:val="000000"/>
              </w:rPr>
            </w:pPr>
            <w:r>
              <w:rPr>
                <w:color w:val="000000"/>
              </w:rPr>
              <w:t> </w:t>
            </w:r>
          </w:p>
        </w:tc>
        <w:tc>
          <w:tcPr>
            <w:tcW w:w="229" w:type="dxa"/>
            <w:tcBorders>
              <w:top w:val="nil"/>
              <w:left w:val="nil"/>
              <w:bottom w:val="nil"/>
              <w:right w:val="nil"/>
            </w:tcBorders>
            <w:vAlign w:val="bottom"/>
          </w:tcPr>
          <w:p w:rsidR="0073298C" w:rsidRDefault="0073298C" w:rsidP="0073298C">
            <w:pPr>
              <w:spacing w:before="22" w:after="22"/>
              <w:ind w:left="22"/>
              <w:rPr>
                <w:rFonts w:ascii="Arial" w:hAnsi="Arial" w:cs="Arial"/>
                <w:color w:val="000000"/>
                <w:sz w:val="18"/>
                <w:szCs w:val="18"/>
              </w:rPr>
            </w:pPr>
            <w:r>
              <w:rPr>
                <w:rFonts w:ascii="Arial" w:hAnsi="Arial" w:cs="Arial"/>
                <w:color w:val="000000"/>
                <w:sz w:val="18"/>
                <w:szCs w:val="18"/>
              </w:rPr>
              <w:t>$</w:t>
            </w:r>
          </w:p>
        </w:tc>
        <w:tc>
          <w:tcPr>
            <w:tcW w:w="1181" w:type="dxa"/>
            <w:tcBorders>
              <w:top w:val="nil"/>
              <w:left w:val="nil"/>
              <w:bottom w:val="nil"/>
              <w:right w:val="nil"/>
            </w:tcBorders>
            <w:vAlign w:val="bottom"/>
          </w:tcPr>
          <w:p w:rsidR="0073298C" w:rsidRDefault="0073298C" w:rsidP="0073298C">
            <w:pPr>
              <w:spacing w:before="22" w:after="22"/>
              <w:jc w:val="right"/>
              <w:rPr>
                <w:rFonts w:ascii="Arial" w:hAnsi="Arial" w:cs="Arial"/>
                <w:color w:val="000000"/>
                <w:sz w:val="18"/>
                <w:szCs w:val="18"/>
              </w:rPr>
            </w:pPr>
            <w:r>
              <w:rPr>
                <w:rFonts w:ascii="Arial" w:hAnsi="Arial" w:cs="Arial"/>
                <w:color w:val="000000"/>
                <w:sz w:val="18"/>
                <w:szCs w:val="18"/>
              </w:rPr>
              <w:t>179,847</w:t>
            </w:r>
          </w:p>
        </w:tc>
        <w:tc>
          <w:tcPr>
            <w:tcW w:w="229" w:type="dxa"/>
            <w:tcBorders>
              <w:top w:val="nil"/>
              <w:left w:val="nil"/>
              <w:bottom w:val="nil"/>
              <w:right w:val="nil"/>
            </w:tcBorders>
            <w:vAlign w:val="bottom"/>
          </w:tcPr>
          <w:p w:rsidR="0073298C" w:rsidRDefault="0073298C" w:rsidP="0073298C">
            <w:pPr>
              <w:spacing w:before="22" w:after="22"/>
              <w:jc w:val="right"/>
              <w:rPr>
                <w:rFonts w:ascii="Arial" w:hAnsi="Arial" w:cs="Arial"/>
                <w:color w:val="000000"/>
                <w:sz w:val="18"/>
                <w:szCs w:val="18"/>
              </w:rPr>
            </w:pPr>
          </w:p>
          <w:p w:rsidR="0073298C" w:rsidRDefault="0073298C" w:rsidP="0073298C">
            <w:pPr>
              <w:rPr>
                <w:sz w:val="16"/>
                <w:szCs w:val="16"/>
              </w:rPr>
            </w:pPr>
            <w:r>
              <w:rPr>
                <w:sz w:val="16"/>
                <w:szCs w:val="16"/>
              </w:rPr>
              <w:t> </w:t>
            </w:r>
          </w:p>
        </w:tc>
        <w:tc>
          <w:tcPr>
            <w:tcW w:w="101" w:type="dxa"/>
            <w:tcBorders>
              <w:top w:val="nil"/>
              <w:left w:val="nil"/>
              <w:bottom w:val="nil"/>
              <w:right w:val="nil"/>
            </w:tcBorders>
            <w:vAlign w:val="bottom"/>
          </w:tcPr>
          <w:p w:rsidR="0073298C" w:rsidRDefault="0073298C" w:rsidP="0073298C">
            <w:pPr>
              <w:spacing w:before="22" w:after="22"/>
              <w:ind w:left="22" w:right="22"/>
              <w:rPr>
                <w:color w:val="000000"/>
              </w:rPr>
            </w:pPr>
            <w:r>
              <w:rPr>
                <w:color w:val="000000"/>
              </w:rPr>
              <w:t> </w:t>
            </w:r>
          </w:p>
        </w:tc>
        <w:tc>
          <w:tcPr>
            <w:tcW w:w="281" w:type="dxa"/>
            <w:tcBorders>
              <w:top w:val="nil"/>
              <w:left w:val="nil"/>
              <w:bottom w:val="nil"/>
              <w:right w:val="nil"/>
            </w:tcBorders>
            <w:vAlign w:val="bottom"/>
          </w:tcPr>
          <w:p w:rsidR="0073298C" w:rsidRDefault="0073298C" w:rsidP="0073298C">
            <w:pPr>
              <w:spacing w:before="22" w:after="22"/>
              <w:ind w:left="22"/>
              <w:rPr>
                <w:rFonts w:ascii="Arial" w:hAnsi="Arial" w:cs="Arial"/>
                <w:color w:val="000000"/>
                <w:sz w:val="18"/>
                <w:szCs w:val="18"/>
              </w:rPr>
            </w:pPr>
            <w:r>
              <w:rPr>
                <w:rFonts w:ascii="Arial" w:hAnsi="Arial" w:cs="Arial"/>
                <w:color w:val="000000"/>
                <w:sz w:val="18"/>
                <w:szCs w:val="18"/>
              </w:rPr>
              <w:t>$</w:t>
            </w:r>
          </w:p>
        </w:tc>
        <w:tc>
          <w:tcPr>
            <w:tcW w:w="1181" w:type="dxa"/>
            <w:tcBorders>
              <w:top w:val="nil"/>
              <w:left w:val="nil"/>
              <w:bottom w:val="nil"/>
              <w:right w:val="nil"/>
            </w:tcBorders>
            <w:vAlign w:val="bottom"/>
          </w:tcPr>
          <w:p w:rsidR="0073298C" w:rsidRDefault="0073298C" w:rsidP="0073298C">
            <w:pPr>
              <w:spacing w:before="22" w:after="22"/>
              <w:jc w:val="right"/>
              <w:rPr>
                <w:rFonts w:ascii="Arial" w:hAnsi="Arial" w:cs="Arial"/>
                <w:color w:val="000000"/>
                <w:sz w:val="18"/>
                <w:szCs w:val="18"/>
              </w:rPr>
            </w:pPr>
            <w:r>
              <w:rPr>
                <w:rFonts w:ascii="Arial" w:hAnsi="Arial" w:cs="Arial"/>
                <w:color w:val="000000"/>
                <w:sz w:val="18"/>
                <w:szCs w:val="18"/>
              </w:rPr>
              <w:t>229,826</w:t>
            </w:r>
          </w:p>
        </w:tc>
        <w:tc>
          <w:tcPr>
            <w:tcW w:w="281" w:type="dxa"/>
            <w:tcBorders>
              <w:top w:val="nil"/>
              <w:left w:val="nil"/>
              <w:bottom w:val="nil"/>
              <w:right w:val="nil"/>
            </w:tcBorders>
            <w:vAlign w:val="bottom"/>
          </w:tcPr>
          <w:p w:rsidR="0073298C" w:rsidRDefault="0073298C" w:rsidP="0073298C">
            <w:pPr>
              <w:spacing w:before="22" w:after="22"/>
              <w:jc w:val="right"/>
              <w:rPr>
                <w:rFonts w:ascii="Arial" w:hAnsi="Arial" w:cs="Arial"/>
                <w:color w:val="000000"/>
                <w:sz w:val="18"/>
                <w:szCs w:val="18"/>
              </w:rPr>
            </w:pPr>
          </w:p>
          <w:p w:rsidR="0073298C" w:rsidRDefault="0073298C" w:rsidP="0073298C">
            <w:pPr>
              <w:rPr>
                <w:sz w:val="16"/>
                <w:szCs w:val="16"/>
              </w:rPr>
            </w:pPr>
            <w:r>
              <w:rPr>
                <w:sz w:val="16"/>
                <w:szCs w:val="16"/>
              </w:rPr>
              <w:t> </w:t>
            </w:r>
          </w:p>
        </w:tc>
        <w:tc>
          <w:tcPr>
            <w:tcW w:w="101" w:type="dxa"/>
            <w:tcBorders>
              <w:top w:val="nil"/>
              <w:left w:val="nil"/>
              <w:bottom w:val="nil"/>
              <w:right w:val="nil"/>
            </w:tcBorders>
            <w:vAlign w:val="bottom"/>
          </w:tcPr>
          <w:p w:rsidR="0073298C" w:rsidRDefault="0073298C" w:rsidP="0073298C">
            <w:pPr>
              <w:spacing w:before="22" w:after="22"/>
              <w:ind w:left="22" w:right="22"/>
              <w:rPr>
                <w:color w:val="000000"/>
              </w:rPr>
            </w:pPr>
            <w:r>
              <w:rPr>
                <w:color w:val="000000"/>
              </w:rPr>
              <w:t> </w:t>
            </w:r>
          </w:p>
        </w:tc>
        <w:tc>
          <w:tcPr>
            <w:tcW w:w="245" w:type="dxa"/>
            <w:tcBorders>
              <w:top w:val="nil"/>
              <w:left w:val="nil"/>
              <w:bottom w:val="nil"/>
              <w:right w:val="nil"/>
            </w:tcBorders>
            <w:vAlign w:val="bottom"/>
          </w:tcPr>
          <w:p w:rsidR="0073298C" w:rsidRDefault="0073298C" w:rsidP="0073298C">
            <w:pPr>
              <w:spacing w:before="22" w:after="22"/>
              <w:ind w:left="22"/>
              <w:rPr>
                <w:rFonts w:ascii="Arial" w:hAnsi="Arial" w:cs="Arial"/>
                <w:color w:val="000000"/>
                <w:sz w:val="18"/>
                <w:szCs w:val="18"/>
              </w:rPr>
            </w:pPr>
            <w:r>
              <w:rPr>
                <w:rFonts w:ascii="Arial" w:hAnsi="Arial" w:cs="Arial"/>
                <w:color w:val="000000"/>
                <w:sz w:val="18"/>
                <w:szCs w:val="18"/>
              </w:rPr>
              <w:t>$</w:t>
            </w:r>
          </w:p>
        </w:tc>
        <w:tc>
          <w:tcPr>
            <w:tcW w:w="1181" w:type="dxa"/>
            <w:tcBorders>
              <w:top w:val="nil"/>
              <w:left w:val="nil"/>
              <w:bottom w:val="nil"/>
              <w:right w:val="nil"/>
            </w:tcBorders>
            <w:vAlign w:val="bottom"/>
          </w:tcPr>
          <w:p w:rsidR="0073298C" w:rsidRDefault="0073298C" w:rsidP="0073298C">
            <w:pPr>
              <w:spacing w:before="22" w:after="22"/>
              <w:jc w:val="right"/>
              <w:rPr>
                <w:rFonts w:ascii="Arial" w:hAnsi="Arial" w:cs="Arial"/>
                <w:color w:val="000000"/>
                <w:sz w:val="18"/>
                <w:szCs w:val="18"/>
              </w:rPr>
            </w:pPr>
            <w:r>
              <w:rPr>
                <w:rFonts w:ascii="Arial" w:hAnsi="Arial" w:cs="Arial"/>
                <w:color w:val="000000"/>
                <w:sz w:val="18"/>
                <w:szCs w:val="18"/>
              </w:rPr>
              <w:t>112,865</w:t>
            </w:r>
          </w:p>
        </w:tc>
        <w:tc>
          <w:tcPr>
            <w:tcW w:w="251" w:type="dxa"/>
            <w:tcBorders>
              <w:top w:val="nil"/>
              <w:left w:val="nil"/>
              <w:bottom w:val="nil"/>
              <w:right w:val="single" w:sz="6" w:space="0" w:color="00467E"/>
            </w:tcBorders>
            <w:vAlign w:val="bottom"/>
          </w:tcPr>
          <w:p w:rsidR="0073298C" w:rsidRDefault="0073298C" w:rsidP="0073298C">
            <w:pPr>
              <w:spacing w:before="22" w:after="22"/>
              <w:jc w:val="right"/>
              <w:rPr>
                <w:rFonts w:ascii="Arial" w:hAnsi="Arial" w:cs="Arial"/>
                <w:color w:val="000000"/>
                <w:sz w:val="18"/>
                <w:szCs w:val="18"/>
              </w:rPr>
            </w:pPr>
          </w:p>
          <w:p w:rsidR="0073298C" w:rsidRDefault="0073298C" w:rsidP="0073298C">
            <w:pPr>
              <w:rPr>
                <w:sz w:val="16"/>
                <w:szCs w:val="16"/>
              </w:rPr>
            </w:pPr>
            <w:r>
              <w:rPr>
                <w:sz w:val="16"/>
                <w:szCs w:val="16"/>
              </w:rPr>
              <w:t> </w:t>
            </w:r>
          </w:p>
        </w:tc>
      </w:tr>
      <w:tr w:rsidR="0073298C" w:rsidTr="0073298C">
        <w:tblPrEx>
          <w:tblCellMar>
            <w:top w:w="0" w:type="dxa"/>
            <w:left w:w="0" w:type="dxa"/>
            <w:bottom w:w="0" w:type="dxa"/>
            <w:right w:w="0" w:type="dxa"/>
          </w:tblCellMar>
        </w:tblPrEx>
        <w:trPr>
          <w:trHeight w:val="281"/>
          <w:jc w:val="center"/>
        </w:trPr>
        <w:tc>
          <w:tcPr>
            <w:tcW w:w="3799" w:type="dxa"/>
            <w:tcBorders>
              <w:top w:val="nil"/>
              <w:left w:val="single" w:sz="6" w:space="0" w:color="00467E"/>
              <w:bottom w:val="nil"/>
              <w:right w:val="nil"/>
            </w:tcBorders>
            <w:shd w:val="clear" w:color="CFD4D8" w:fill="CFD4D8"/>
            <w:vAlign w:val="bottom"/>
          </w:tcPr>
          <w:p w:rsidR="0073298C" w:rsidRDefault="0073298C" w:rsidP="0073298C">
            <w:pPr>
              <w:spacing w:before="22" w:after="22"/>
              <w:ind w:left="22" w:right="22"/>
              <w:rPr>
                <w:rFonts w:ascii="Arial" w:hAnsi="Arial" w:cs="Arial"/>
                <w:color w:val="000000"/>
                <w:sz w:val="18"/>
                <w:szCs w:val="18"/>
              </w:rPr>
            </w:pPr>
            <w:r>
              <w:rPr>
                <w:rFonts w:ascii="Arial" w:hAnsi="Arial" w:cs="Arial"/>
                <w:color w:val="000000"/>
                <w:sz w:val="18"/>
                <w:szCs w:val="18"/>
              </w:rPr>
              <w:t>Operating income</w:t>
            </w:r>
          </w:p>
        </w:tc>
        <w:tc>
          <w:tcPr>
            <w:tcW w:w="229" w:type="dxa"/>
            <w:tcBorders>
              <w:top w:val="nil"/>
              <w:left w:val="nil"/>
              <w:bottom w:val="nil"/>
              <w:right w:val="nil"/>
            </w:tcBorders>
            <w:shd w:val="clear" w:color="CFD4D8" w:fill="CFD4D8"/>
            <w:vAlign w:val="bottom"/>
          </w:tcPr>
          <w:p w:rsidR="0073298C" w:rsidRDefault="0073298C" w:rsidP="0073298C">
            <w:pPr>
              <w:spacing w:before="22" w:after="22"/>
              <w:ind w:left="22"/>
              <w:rPr>
                <w:rFonts w:ascii="Arial" w:hAnsi="Arial" w:cs="Arial"/>
                <w:color w:val="000000"/>
                <w:sz w:val="18"/>
                <w:szCs w:val="18"/>
              </w:rPr>
            </w:pPr>
            <w:r>
              <w:rPr>
                <w:rFonts w:ascii="Arial" w:hAnsi="Arial" w:cs="Arial"/>
                <w:color w:val="000000"/>
                <w:sz w:val="18"/>
                <w:szCs w:val="18"/>
              </w:rPr>
              <w:t>$</w:t>
            </w:r>
          </w:p>
        </w:tc>
        <w:tc>
          <w:tcPr>
            <w:tcW w:w="1181" w:type="dxa"/>
            <w:tcBorders>
              <w:top w:val="nil"/>
              <w:left w:val="nil"/>
              <w:bottom w:val="nil"/>
              <w:right w:val="nil"/>
            </w:tcBorders>
            <w:shd w:val="clear" w:color="CFD4D8" w:fill="CFD4D8"/>
            <w:vAlign w:val="bottom"/>
          </w:tcPr>
          <w:p w:rsidR="0073298C" w:rsidRDefault="0073298C" w:rsidP="0073298C">
            <w:pPr>
              <w:spacing w:before="22" w:after="22"/>
              <w:jc w:val="right"/>
              <w:rPr>
                <w:rFonts w:ascii="Arial" w:hAnsi="Arial" w:cs="Arial"/>
                <w:color w:val="000000"/>
                <w:sz w:val="18"/>
                <w:szCs w:val="18"/>
              </w:rPr>
            </w:pPr>
            <w:r>
              <w:rPr>
                <w:rFonts w:ascii="Arial" w:hAnsi="Arial" w:cs="Arial"/>
                <w:color w:val="000000"/>
                <w:sz w:val="18"/>
                <w:szCs w:val="18"/>
              </w:rPr>
              <w:t>74,924</w:t>
            </w:r>
          </w:p>
        </w:tc>
        <w:tc>
          <w:tcPr>
            <w:tcW w:w="229" w:type="dxa"/>
            <w:tcBorders>
              <w:top w:val="nil"/>
              <w:left w:val="nil"/>
              <w:bottom w:val="nil"/>
              <w:right w:val="nil"/>
            </w:tcBorders>
            <w:shd w:val="clear" w:color="CFD4D8" w:fill="CFD4D8"/>
            <w:vAlign w:val="bottom"/>
          </w:tcPr>
          <w:p w:rsidR="0073298C" w:rsidRDefault="0073298C" w:rsidP="0073298C">
            <w:pPr>
              <w:spacing w:before="22" w:after="22"/>
              <w:jc w:val="right"/>
              <w:rPr>
                <w:rFonts w:ascii="Arial" w:hAnsi="Arial" w:cs="Arial"/>
                <w:color w:val="000000"/>
                <w:sz w:val="18"/>
                <w:szCs w:val="18"/>
              </w:rPr>
            </w:pPr>
          </w:p>
          <w:p w:rsidR="0073298C" w:rsidRDefault="0073298C" w:rsidP="0073298C">
            <w:pPr>
              <w:rPr>
                <w:sz w:val="16"/>
                <w:szCs w:val="16"/>
              </w:rPr>
            </w:pPr>
            <w:r>
              <w:rPr>
                <w:sz w:val="16"/>
                <w:szCs w:val="16"/>
              </w:rPr>
              <w:t> </w:t>
            </w:r>
          </w:p>
        </w:tc>
        <w:tc>
          <w:tcPr>
            <w:tcW w:w="101" w:type="dxa"/>
            <w:tcBorders>
              <w:top w:val="nil"/>
              <w:left w:val="nil"/>
              <w:bottom w:val="nil"/>
              <w:right w:val="nil"/>
            </w:tcBorders>
            <w:shd w:val="clear" w:color="CFD4D8" w:fill="CFD4D8"/>
            <w:vAlign w:val="bottom"/>
          </w:tcPr>
          <w:p w:rsidR="0073298C" w:rsidRDefault="0073298C" w:rsidP="0073298C">
            <w:pPr>
              <w:spacing w:before="22" w:after="22"/>
              <w:ind w:left="22" w:right="22"/>
              <w:rPr>
                <w:color w:val="000000"/>
              </w:rPr>
            </w:pPr>
            <w:r>
              <w:rPr>
                <w:color w:val="000000"/>
              </w:rPr>
              <w:t> </w:t>
            </w:r>
          </w:p>
        </w:tc>
        <w:tc>
          <w:tcPr>
            <w:tcW w:w="229" w:type="dxa"/>
            <w:tcBorders>
              <w:top w:val="nil"/>
              <w:left w:val="nil"/>
              <w:bottom w:val="nil"/>
              <w:right w:val="nil"/>
            </w:tcBorders>
            <w:shd w:val="clear" w:color="CFD4D8" w:fill="CFD4D8"/>
            <w:vAlign w:val="bottom"/>
          </w:tcPr>
          <w:p w:rsidR="0073298C" w:rsidRDefault="0073298C" w:rsidP="0073298C">
            <w:pPr>
              <w:spacing w:before="22" w:after="22"/>
              <w:ind w:left="22"/>
              <w:rPr>
                <w:rFonts w:ascii="Arial" w:hAnsi="Arial" w:cs="Arial"/>
                <w:color w:val="000000"/>
                <w:sz w:val="18"/>
                <w:szCs w:val="18"/>
              </w:rPr>
            </w:pPr>
            <w:r>
              <w:rPr>
                <w:rFonts w:ascii="Arial" w:hAnsi="Arial" w:cs="Arial"/>
                <w:color w:val="000000"/>
                <w:sz w:val="18"/>
                <w:szCs w:val="18"/>
              </w:rPr>
              <w:t>$</w:t>
            </w:r>
          </w:p>
        </w:tc>
        <w:tc>
          <w:tcPr>
            <w:tcW w:w="1181" w:type="dxa"/>
            <w:tcBorders>
              <w:top w:val="nil"/>
              <w:left w:val="nil"/>
              <w:bottom w:val="nil"/>
              <w:right w:val="nil"/>
            </w:tcBorders>
            <w:shd w:val="clear" w:color="CFD4D8" w:fill="CFD4D8"/>
            <w:vAlign w:val="bottom"/>
          </w:tcPr>
          <w:p w:rsidR="0073298C" w:rsidRDefault="0073298C" w:rsidP="0073298C">
            <w:pPr>
              <w:spacing w:before="22" w:after="22"/>
              <w:jc w:val="right"/>
              <w:rPr>
                <w:rFonts w:ascii="Arial" w:hAnsi="Arial" w:cs="Arial"/>
                <w:color w:val="000000"/>
                <w:sz w:val="18"/>
                <w:szCs w:val="18"/>
              </w:rPr>
            </w:pPr>
            <w:r>
              <w:rPr>
                <w:rFonts w:ascii="Arial" w:hAnsi="Arial" w:cs="Arial"/>
                <w:color w:val="000000"/>
                <w:sz w:val="18"/>
                <w:szCs w:val="18"/>
              </w:rPr>
              <w:t>22,410</w:t>
            </w:r>
          </w:p>
        </w:tc>
        <w:tc>
          <w:tcPr>
            <w:tcW w:w="229" w:type="dxa"/>
            <w:tcBorders>
              <w:top w:val="nil"/>
              <w:left w:val="nil"/>
              <w:bottom w:val="nil"/>
              <w:right w:val="nil"/>
            </w:tcBorders>
            <w:shd w:val="clear" w:color="CFD4D8" w:fill="CFD4D8"/>
            <w:vAlign w:val="bottom"/>
          </w:tcPr>
          <w:p w:rsidR="0073298C" w:rsidRDefault="0073298C" w:rsidP="0073298C">
            <w:pPr>
              <w:spacing w:before="22" w:after="22"/>
              <w:jc w:val="right"/>
              <w:rPr>
                <w:rFonts w:ascii="Arial" w:hAnsi="Arial" w:cs="Arial"/>
                <w:color w:val="000000"/>
                <w:sz w:val="18"/>
                <w:szCs w:val="18"/>
              </w:rPr>
            </w:pPr>
          </w:p>
          <w:p w:rsidR="0073298C" w:rsidRDefault="0073298C" w:rsidP="0073298C">
            <w:pPr>
              <w:rPr>
                <w:sz w:val="16"/>
                <w:szCs w:val="16"/>
              </w:rPr>
            </w:pPr>
            <w:r>
              <w:rPr>
                <w:sz w:val="16"/>
                <w:szCs w:val="16"/>
              </w:rPr>
              <w:t> </w:t>
            </w:r>
          </w:p>
        </w:tc>
        <w:tc>
          <w:tcPr>
            <w:tcW w:w="101" w:type="dxa"/>
            <w:tcBorders>
              <w:top w:val="nil"/>
              <w:left w:val="nil"/>
              <w:bottom w:val="nil"/>
              <w:right w:val="nil"/>
            </w:tcBorders>
            <w:shd w:val="clear" w:color="CFD4D8" w:fill="CFD4D8"/>
            <w:vAlign w:val="bottom"/>
          </w:tcPr>
          <w:p w:rsidR="0073298C" w:rsidRDefault="0073298C" w:rsidP="0073298C">
            <w:pPr>
              <w:spacing w:before="22" w:after="22"/>
              <w:ind w:left="22" w:right="22"/>
              <w:rPr>
                <w:color w:val="000000"/>
              </w:rPr>
            </w:pPr>
            <w:r>
              <w:rPr>
                <w:color w:val="000000"/>
              </w:rPr>
              <w:t> </w:t>
            </w:r>
          </w:p>
        </w:tc>
        <w:tc>
          <w:tcPr>
            <w:tcW w:w="281" w:type="dxa"/>
            <w:tcBorders>
              <w:top w:val="nil"/>
              <w:left w:val="nil"/>
              <w:bottom w:val="nil"/>
              <w:right w:val="nil"/>
            </w:tcBorders>
            <w:shd w:val="clear" w:color="CFD4D8" w:fill="CFD4D8"/>
            <w:vAlign w:val="bottom"/>
          </w:tcPr>
          <w:p w:rsidR="0073298C" w:rsidRDefault="0073298C" w:rsidP="0073298C">
            <w:pPr>
              <w:spacing w:before="22" w:after="22"/>
              <w:ind w:left="22"/>
              <w:rPr>
                <w:rFonts w:ascii="Arial" w:hAnsi="Arial" w:cs="Arial"/>
                <w:color w:val="000000"/>
                <w:sz w:val="18"/>
                <w:szCs w:val="18"/>
              </w:rPr>
            </w:pPr>
            <w:r>
              <w:rPr>
                <w:rFonts w:ascii="Arial" w:hAnsi="Arial" w:cs="Arial"/>
                <w:color w:val="000000"/>
                <w:sz w:val="18"/>
                <w:szCs w:val="18"/>
              </w:rPr>
              <w:t>$</w:t>
            </w:r>
          </w:p>
        </w:tc>
        <w:tc>
          <w:tcPr>
            <w:tcW w:w="1181" w:type="dxa"/>
            <w:tcBorders>
              <w:top w:val="nil"/>
              <w:left w:val="nil"/>
              <w:bottom w:val="nil"/>
              <w:right w:val="nil"/>
            </w:tcBorders>
            <w:shd w:val="clear" w:color="CFD4D8" w:fill="CFD4D8"/>
            <w:vAlign w:val="bottom"/>
          </w:tcPr>
          <w:p w:rsidR="0073298C" w:rsidRDefault="0073298C" w:rsidP="0073298C">
            <w:pPr>
              <w:spacing w:before="22" w:after="22"/>
              <w:jc w:val="right"/>
              <w:rPr>
                <w:rFonts w:ascii="Arial" w:hAnsi="Arial" w:cs="Arial"/>
                <w:color w:val="000000"/>
                <w:sz w:val="18"/>
                <w:szCs w:val="18"/>
              </w:rPr>
            </w:pPr>
            <w:r>
              <w:rPr>
                <w:rFonts w:ascii="Arial" w:hAnsi="Arial" w:cs="Arial"/>
                <w:color w:val="000000"/>
                <w:sz w:val="18"/>
                <w:szCs w:val="18"/>
              </w:rPr>
              <w:t>13,626</w:t>
            </w:r>
          </w:p>
        </w:tc>
        <w:tc>
          <w:tcPr>
            <w:tcW w:w="281" w:type="dxa"/>
            <w:tcBorders>
              <w:top w:val="nil"/>
              <w:left w:val="nil"/>
              <w:bottom w:val="nil"/>
              <w:right w:val="nil"/>
            </w:tcBorders>
            <w:shd w:val="clear" w:color="CFD4D8" w:fill="CFD4D8"/>
            <w:vAlign w:val="bottom"/>
          </w:tcPr>
          <w:p w:rsidR="0073298C" w:rsidRDefault="0073298C" w:rsidP="0073298C">
            <w:pPr>
              <w:spacing w:before="22" w:after="22"/>
              <w:jc w:val="right"/>
              <w:rPr>
                <w:rFonts w:ascii="Arial" w:hAnsi="Arial" w:cs="Arial"/>
                <w:color w:val="000000"/>
                <w:sz w:val="18"/>
                <w:szCs w:val="18"/>
              </w:rPr>
            </w:pPr>
          </w:p>
          <w:p w:rsidR="0073298C" w:rsidRDefault="0073298C" w:rsidP="0073298C">
            <w:pPr>
              <w:rPr>
                <w:sz w:val="16"/>
                <w:szCs w:val="16"/>
              </w:rPr>
            </w:pPr>
            <w:r>
              <w:rPr>
                <w:sz w:val="16"/>
                <w:szCs w:val="16"/>
              </w:rPr>
              <w:t> </w:t>
            </w:r>
          </w:p>
        </w:tc>
        <w:tc>
          <w:tcPr>
            <w:tcW w:w="101" w:type="dxa"/>
            <w:tcBorders>
              <w:top w:val="nil"/>
              <w:left w:val="nil"/>
              <w:bottom w:val="nil"/>
              <w:right w:val="nil"/>
            </w:tcBorders>
            <w:shd w:val="clear" w:color="CFD4D8" w:fill="CFD4D8"/>
            <w:vAlign w:val="bottom"/>
          </w:tcPr>
          <w:p w:rsidR="0073298C" w:rsidRDefault="0073298C" w:rsidP="0073298C">
            <w:pPr>
              <w:spacing w:before="22" w:after="22"/>
              <w:ind w:left="22" w:right="22"/>
              <w:rPr>
                <w:color w:val="000000"/>
              </w:rPr>
            </w:pPr>
            <w:r>
              <w:rPr>
                <w:color w:val="000000"/>
              </w:rPr>
              <w:t> </w:t>
            </w:r>
          </w:p>
        </w:tc>
        <w:tc>
          <w:tcPr>
            <w:tcW w:w="245" w:type="dxa"/>
            <w:tcBorders>
              <w:top w:val="nil"/>
              <w:left w:val="nil"/>
              <w:bottom w:val="nil"/>
              <w:right w:val="nil"/>
            </w:tcBorders>
            <w:shd w:val="clear" w:color="CFD4D8" w:fill="CFD4D8"/>
            <w:vAlign w:val="bottom"/>
          </w:tcPr>
          <w:p w:rsidR="0073298C" w:rsidRDefault="0073298C" w:rsidP="0073298C">
            <w:pPr>
              <w:spacing w:before="22" w:after="22"/>
              <w:ind w:left="22"/>
              <w:rPr>
                <w:rFonts w:ascii="Arial" w:hAnsi="Arial" w:cs="Arial"/>
                <w:color w:val="000000"/>
                <w:sz w:val="18"/>
                <w:szCs w:val="18"/>
              </w:rPr>
            </w:pPr>
            <w:r>
              <w:rPr>
                <w:rFonts w:ascii="Arial" w:hAnsi="Arial" w:cs="Arial"/>
                <w:color w:val="000000"/>
                <w:sz w:val="18"/>
                <w:szCs w:val="18"/>
              </w:rPr>
              <w:t>$</w:t>
            </w:r>
          </w:p>
        </w:tc>
        <w:tc>
          <w:tcPr>
            <w:tcW w:w="1181" w:type="dxa"/>
            <w:tcBorders>
              <w:top w:val="nil"/>
              <w:left w:val="nil"/>
              <w:bottom w:val="nil"/>
              <w:right w:val="nil"/>
            </w:tcBorders>
            <w:shd w:val="clear" w:color="CFD4D8" w:fill="CFD4D8"/>
            <w:vAlign w:val="bottom"/>
          </w:tcPr>
          <w:p w:rsidR="0073298C" w:rsidRDefault="0073298C" w:rsidP="0073298C">
            <w:pPr>
              <w:spacing w:before="22" w:after="22"/>
              <w:jc w:val="right"/>
              <w:rPr>
                <w:rFonts w:ascii="Arial" w:hAnsi="Arial" w:cs="Arial"/>
                <w:color w:val="000000"/>
                <w:sz w:val="18"/>
                <w:szCs w:val="18"/>
              </w:rPr>
            </w:pPr>
            <w:r>
              <w:rPr>
                <w:rFonts w:ascii="Arial" w:hAnsi="Arial" w:cs="Arial"/>
                <w:color w:val="000000"/>
                <w:sz w:val="18"/>
                <w:szCs w:val="18"/>
              </w:rPr>
              <w:t>5,977</w:t>
            </w:r>
          </w:p>
        </w:tc>
        <w:tc>
          <w:tcPr>
            <w:tcW w:w="251" w:type="dxa"/>
            <w:tcBorders>
              <w:top w:val="nil"/>
              <w:left w:val="nil"/>
              <w:bottom w:val="nil"/>
              <w:right w:val="single" w:sz="6" w:space="0" w:color="00467E"/>
            </w:tcBorders>
            <w:shd w:val="clear" w:color="CFD4D8" w:fill="CFD4D8"/>
            <w:vAlign w:val="bottom"/>
          </w:tcPr>
          <w:p w:rsidR="0073298C" w:rsidRDefault="0073298C" w:rsidP="0073298C">
            <w:pPr>
              <w:spacing w:before="22" w:after="22"/>
              <w:jc w:val="right"/>
              <w:rPr>
                <w:rFonts w:ascii="Arial" w:hAnsi="Arial" w:cs="Arial"/>
                <w:color w:val="000000"/>
                <w:sz w:val="18"/>
                <w:szCs w:val="18"/>
              </w:rPr>
            </w:pPr>
          </w:p>
          <w:p w:rsidR="0073298C" w:rsidRDefault="0073298C" w:rsidP="0073298C">
            <w:pPr>
              <w:rPr>
                <w:sz w:val="16"/>
                <w:szCs w:val="16"/>
              </w:rPr>
            </w:pPr>
            <w:r>
              <w:rPr>
                <w:sz w:val="16"/>
                <w:szCs w:val="16"/>
              </w:rPr>
              <w:t> </w:t>
            </w:r>
          </w:p>
        </w:tc>
      </w:tr>
      <w:tr w:rsidR="0073298C" w:rsidTr="0073298C">
        <w:tblPrEx>
          <w:tblCellMar>
            <w:top w:w="0" w:type="dxa"/>
            <w:left w:w="0" w:type="dxa"/>
            <w:bottom w:w="0" w:type="dxa"/>
            <w:right w:w="0" w:type="dxa"/>
          </w:tblCellMar>
        </w:tblPrEx>
        <w:trPr>
          <w:trHeight w:val="281"/>
          <w:jc w:val="center"/>
        </w:trPr>
        <w:tc>
          <w:tcPr>
            <w:tcW w:w="3799" w:type="dxa"/>
            <w:tcBorders>
              <w:top w:val="nil"/>
              <w:left w:val="single" w:sz="6" w:space="0" w:color="00467E"/>
              <w:bottom w:val="nil"/>
              <w:right w:val="nil"/>
            </w:tcBorders>
            <w:vAlign w:val="bottom"/>
          </w:tcPr>
          <w:p w:rsidR="0073298C" w:rsidRDefault="0073298C" w:rsidP="0073298C">
            <w:pPr>
              <w:spacing w:before="22" w:after="22"/>
              <w:ind w:left="22" w:right="22"/>
              <w:rPr>
                <w:rFonts w:ascii="Arial" w:hAnsi="Arial" w:cs="Arial"/>
                <w:color w:val="000000"/>
                <w:sz w:val="16"/>
                <w:szCs w:val="16"/>
                <w:vertAlign w:val="superscript"/>
              </w:rPr>
            </w:pPr>
            <w:r>
              <w:rPr>
                <w:rFonts w:ascii="Arial" w:hAnsi="Arial" w:cs="Arial"/>
                <w:color w:val="000000"/>
                <w:sz w:val="18"/>
                <w:szCs w:val="18"/>
              </w:rPr>
              <w:t xml:space="preserve">Average revenue per tractor </w:t>
            </w:r>
            <w:r>
              <w:rPr>
                <w:rFonts w:ascii="Arial" w:hAnsi="Arial" w:cs="Arial"/>
                <w:color w:val="000000"/>
                <w:sz w:val="16"/>
                <w:szCs w:val="16"/>
                <w:vertAlign w:val="superscript"/>
              </w:rPr>
              <w:t>(1)</w:t>
            </w:r>
          </w:p>
        </w:tc>
        <w:tc>
          <w:tcPr>
            <w:tcW w:w="229" w:type="dxa"/>
            <w:tcBorders>
              <w:top w:val="nil"/>
              <w:left w:val="nil"/>
              <w:bottom w:val="nil"/>
              <w:right w:val="nil"/>
            </w:tcBorders>
            <w:vAlign w:val="bottom"/>
          </w:tcPr>
          <w:p w:rsidR="0073298C" w:rsidRDefault="0073298C" w:rsidP="0073298C">
            <w:pPr>
              <w:spacing w:before="22" w:after="22"/>
              <w:ind w:left="22"/>
              <w:rPr>
                <w:rFonts w:ascii="Arial" w:hAnsi="Arial" w:cs="Arial"/>
                <w:color w:val="000000"/>
                <w:sz w:val="18"/>
                <w:szCs w:val="18"/>
              </w:rPr>
            </w:pPr>
            <w:r>
              <w:rPr>
                <w:rFonts w:ascii="Arial" w:hAnsi="Arial" w:cs="Arial"/>
                <w:color w:val="000000"/>
                <w:sz w:val="18"/>
                <w:szCs w:val="18"/>
              </w:rPr>
              <w:t>$</w:t>
            </w:r>
          </w:p>
        </w:tc>
        <w:tc>
          <w:tcPr>
            <w:tcW w:w="1181" w:type="dxa"/>
            <w:tcBorders>
              <w:top w:val="nil"/>
              <w:left w:val="nil"/>
              <w:bottom w:val="nil"/>
              <w:right w:val="nil"/>
            </w:tcBorders>
            <w:vAlign w:val="bottom"/>
          </w:tcPr>
          <w:p w:rsidR="0073298C" w:rsidRDefault="0073298C" w:rsidP="0073298C">
            <w:pPr>
              <w:spacing w:before="22" w:after="22"/>
              <w:jc w:val="right"/>
              <w:rPr>
                <w:rFonts w:ascii="Arial" w:hAnsi="Arial" w:cs="Arial"/>
                <w:color w:val="000000"/>
                <w:sz w:val="18"/>
                <w:szCs w:val="18"/>
              </w:rPr>
            </w:pPr>
            <w:r>
              <w:rPr>
                <w:rFonts w:ascii="Arial" w:hAnsi="Arial" w:cs="Arial"/>
                <w:color w:val="000000"/>
                <w:sz w:val="18"/>
                <w:szCs w:val="18"/>
              </w:rPr>
              <w:t>196,864</w:t>
            </w:r>
          </w:p>
        </w:tc>
        <w:tc>
          <w:tcPr>
            <w:tcW w:w="229" w:type="dxa"/>
            <w:tcBorders>
              <w:top w:val="nil"/>
              <w:left w:val="nil"/>
              <w:bottom w:val="nil"/>
              <w:right w:val="nil"/>
            </w:tcBorders>
            <w:vAlign w:val="bottom"/>
          </w:tcPr>
          <w:p w:rsidR="0073298C" w:rsidRDefault="0073298C" w:rsidP="0073298C">
            <w:pPr>
              <w:spacing w:before="22" w:after="22"/>
              <w:jc w:val="right"/>
              <w:rPr>
                <w:rFonts w:ascii="Arial" w:hAnsi="Arial" w:cs="Arial"/>
                <w:color w:val="000000"/>
                <w:sz w:val="18"/>
                <w:szCs w:val="18"/>
              </w:rPr>
            </w:pPr>
          </w:p>
          <w:p w:rsidR="0073298C" w:rsidRDefault="0073298C" w:rsidP="0073298C">
            <w:pPr>
              <w:rPr>
                <w:sz w:val="16"/>
                <w:szCs w:val="16"/>
              </w:rPr>
            </w:pPr>
            <w:r>
              <w:rPr>
                <w:sz w:val="16"/>
                <w:szCs w:val="16"/>
              </w:rPr>
              <w:t> </w:t>
            </w:r>
          </w:p>
        </w:tc>
        <w:tc>
          <w:tcPr>
            <w:tcW w:w="101" w:type="dxa"/>
            <w:tcBorders>
              <w:top w:val="nil"/>
              <w:left w:val="nil"/>
              <w:bottom w:val="nil"/>
              <w:right w:val="nil"/>
            </w:tcBorders>
            <w:vAlign w:val="bottom"/>
          </w:tcPr>
          <w:p w:rsidR="0073298C" w:rsidRDefault="0073298C" w:rsidP="0073298C">
            <w:pPr>
              <w:spacing w:before="22" w:after="22"/>
              <w:ind w:left="22" w:right="22"/>
              <w:rPr>
                <w:color w:val="000000"/>
              </w:rPr>
            </w:pPr>
            <w:r>
              <w:rPr>
                <w:color w:val="000000"/>
              </w:rPr>
              <w:t> </w:t>
            </w:r>
          </w:p>
        </w:tc>
        <w:tc>
          <w:tcPr>
            <w:tcW w:w="229" w:type="dxa"/>
            <w:tcBorders>
              <w:top w:val="nil"/>
              <w:left w:val="nil"/>
              <w:bottom w:val="nil"/>
              <w:right w:val="nil"/>
            </w:tcBorders>
            <w:vAlign w:val="bottom"/>
          </w:tcPr>
          <w:p w:rsidR="0073298C" w:rsidRDefault="0073298C" w:rsidP="0073298C">
            <w:pPr>
              <w:spacing w:before="22" w:after="22"/>
              <w:ind w:left="22"/>
              <w:rPr>
                <w:rFonts w:ascii="Arial" w:hAnsi="Arial" w:cs="Arial"/>
                <w:color w:val="000000"/>
                <w:sz w:val="18"/>
                <w:szCs w:val="18"/>
              </w:rPr>
            </w:pPr>
            <w:r>
              <w:rPr>
                <w:rFonts w:ascii="Arial" w:hAnsi="Arial" w:cs="Arial"/>
                <w:color w:val="000000"/>
                <w:sz w:val="18"/>
                <w:szCs w:val="18"/>
              </w:rPr>
              <w:t>$</w:t>
            </w:r>
          </w:p>
        </w:tc>
        <w:tc>
          <w:tcPr>
            <w:tcW w:w="1181" w:type="dxa"/>
            <w:tcBorders>
              <w:top w:val="nil"/>
              <w:left w:val="nil"/>
              <w:bottom w:val="nil"/>
              <w:right w:val="nil"/>
            </w:tcBorders>
            <w:vAlign w:val="bottom"/>
          </w:tcPr>
          <w:p w:rsidR="0073298C" w:rsidRDefault="0073298C" w:rsidP="0073298C">
            <w:pPr>
              <w:spacing w:before="22" w:after="22"/>
              <w:jc w:val="right"/>
              <w:rPr>
                <w:rFonts w:ascii="Arial" w:hAnsi="Arial" w:cs="Arial"/>
                <w:color w:val="000000"/>
                <w:sz w:val="18"/>
                <w:szCs w:val="18"/>
              </w:rPr>
            </w:pPr>
            <w:r>
              <w:rPr>
                <w:rFonts w:ascii="Arial" w:hAnsi="Arial" w:cs="Arial"/>
                <w:color w:val="000000"/>
                <w:sz w:val="18"/>
                <w:szCs w:val="18"/>
              </w:rPr>
              <w:t>187,928</w:t>
            </w:r>
          </w:p>
        </w:tc>
        <w:tc>
          <w:tcPr>
            <w:tcW w:w="229" w:type="dxa"/>
            <w:tcBorders>
              <w:top w:val="nil"/>
              <w:left w:val="nil"/>
              <w:bottom w:val="nil"/>
              <w:right w:val="nil"/>
            </w:tcBorders>
            <w:vAlign w:val="bottom"/>
          </w:tcPr>
          <w:p w:rsidR="0073298C" w:rsidRDefault="0073298C" w:rsidP="0073298C">
            <w:pPr>
              <w:spacing w:before="22" w:after="22"/>
              <w:jc w:val="right"/>
              <w:rPr>
                <w:rFonts w:ascii="Arial" w:hAnsi="Arial" w:cs="Arial"/>
                <w:color w:val="000000"/>
                <w:sz w:val="18"/>
                <w:szCs w:val="18"/>
              </w:rPr>
            </w:pPr>
          </w:p>
          <w:p w:rsidR="0073298C" w:rsidRDefault="0073298C" w:rsidP="0073298C">
            <w:pPr>
              <w:rPr>
                <w:sz w:val="16"/>
                <w:szCs w:val="16"/>
              </w:rPr>
            </w:pPr>
            <w:r>
              <w:rPr>
                <w:sz w:val="16"/>
                <w:szCs w:val="16"/>
              </w:rPr>
              <w:t> </w:t>
            </w:r>
          </w:p>
        </w:tc>
        <w:tc>
          <w:tcPr>
            <w:tcW w:w="101" w:type="dxa"/>
            <w:tcBorders>
              <w:top w:val="nil"/>
              <w:left w:val="nil"/>
              <w:bottom w:val="nil"/>
              <w:right w:val="nil"/>
            </w:tcBorders>
            <w:vAlign w:val="bottom"/>
          </w:tcPr>
          <w:p w:rsidR="0073298C" w:rsidRDefault="0073298C" w:rsidP="0073298C">
            <w:pPr>
              <w:spacing w:before="22" w:after="22"/>
              <w:ind w:left="22" w:right="22"/>
              <w:rPr>
                <w:color w:val="000000"/>
              </w:rPr>
            </w:pPr>
            <w:r>
              <w:rPr>
                <w:color w:val="000000"/>
              </w:rPr>
              <w:t> </w:t>
            </w:r>
          </w:p>
        </w:tc>
        <w:tc>
          <w:tcPr>
            <w:tcW w:w="281" w:type="dxa"/>
            <w:tcBorders>
              <w:top w:val="nil"/>
              <w:left w:val="nil"/>
              <w:bottom w:val="nil"/>
              <w:right w:val="nil"/>
            </w:tcBorders>
            <w:vAlign w:val="bottom"/>
          </w:tcPr>
          <w:p w:rsidR="0073298C" w:rsidRDefault="0073298C" w:rsidP="0073298C">
            <w:pPr>
              <w:spacing w:before="22" w:after="22"/>
              <w:ind w:left="22"/>
              <w:rPr>
                <w:rFonts w:ascii="Arial" w:hAnsi="Arial" w:cs="Arial"/>
                <w:color w:val="000000"/>
                <w:sz w:val="18"/>
                <w:szCs w:val="18"/>
              </w:rPr>
            </w:pPr>
            <w:r>
              <w:rPr>
                <w:rFonts w:ascii="Arial" w:hAnsi="Arial" w:cs="Arial"/>
                <w:color w:val="000000"/>
                <w:sz w:val="18"/>
                <w:szCs w:val="18"/>
              </w:rPr>
              <w:t>$</w:t>
            </w:r>
          </w:p>
        </w:tc>
        <w:tc>
          <w:tcPr>
            <w:tcW w:w="1181" w:type="dxa"/>
            <w:tcBorders>
              <w:top w:val="nil"/>
              <w:left w:val="nil"/>
              <w:bottom w:val="nil"/>
              <w:right w:val="nil"/>
            </w:tcBorders>
            <w:vAlign w:val="bottom"/>
          </w:tcPr>
          <w:p w:rsidR="0073298C" w:rsidRDefault="0073298C" w:rsidP="0073298C">
            <w:pPr>
              <w:spacing w:before="22" w:after="22"/>
              <w:jc w:val="right"/>
              <w:rPr>
                <w:rFonts w:ascii="Arial" w:hAnsi="Arial" w:cs="Arial"/>
                <w:color w:val="000000"/>
                <w:sz w:val="18"/>
                <w:szCs w:val="18"/>
              </w:rPr>
            </w:pPr>
            <w:r>
              <w:rPr>
                <w:rFonts w:ascii="Arial" w:hAnsi="Arial" w:cs="Arial"/>
                <w:color w:val="000000"/>
                <w:sz w:val="18"/>
                <w:szCs w:val="18"/>
              </w:rPr>
              <w:t>194,933</w:t>
            </w:r>
          </w:p>
        </w:tc>
        <w:tc>
          <w:tcPr>
            <w:tcW w:w="281" w:type="dxa"/>
            <w:tcBorders>
              <w:top w:val="nil"/>
              <w:left w:val="nil"/>
              <w:bottom w:val="nil"/>
              <w:right w:val="nil"/>
            </w:tcBorders>
            <w:vAlign w:val="bottom"/>
          </w:tcPr>
          <w:p w:rsidR="0073298C" w:rsidRDefault="0073298C" w:rsidP="0073298C">
            <w:pPr>
              <w:spacing w:before="22" w:after="22"/>
              <w:jc w:val="right"/>
              <w:rPr>
                <w:rFonts w:ascii="Arial" w:hAnsi="Arial" w:cs="Arial"/>
                <w:color w:val="000000"/>
                <w:sz w:val="18"/>
                <w:szCs w:val="18"/>
              </w:rPr>
            </w:pPr>
          </w:p>
          <w:p w:rsidR="0073298C" w:rsidRDefault="0073298C" w:rsidP="0073298C">
            <w:pPr>
              <w:rPr>
                <w:sz w:val="16"/>
                <w:szCs w:val="16"/>
              </w:rPr>
            </w:pPr>
            <w:r>
              <w:rPr>
                <w:sz w:val="16"/>
                <w:szCs w:val="16"/>
              </w:rPr>
              <w:t> </w:t>
            </w:r>
          </w:p>
        </w:tc>
        <w:tc>
          <w:tcPr>
            <w:tcW w:w="101" w:type="dxa"/>
            <w:tcBorders>
              <w:top w:val="nil"/>
              <w:left w:val="nil"/>
              <w:bottom w:val="nil"/>
              <w:right w:val="nil"/>
            </w:tcBorders>
            <w:vAlign w:val="bottom"/>
          </w:tcPr>
          <w:p w:rsidR="0073298C" w:rsidRDefault="0073298C" w:rsidP="0073298C">
            <w:pPr>
              <w:spacing w:before="22" w:after="22"/>
              <w:ind w:left="22" w:right="22"/>
              <w:rPr>
                <w:color w:val="000000"/>
              </w:rPr>
            </w:pPr>
            <w:r>
              <w:rPr>
                <w:color w:val="000000"/>
              </w:rPr>
              <w:t> </w:t>
            </w:r>
          </w:p>
        </w:tc>
        <w:tc>
          <w:tcPr>
            <w:tcW w:w="1426" w:type="dxa"/>
            <w:gridSpan w:val="2"/>
            <w:tcBorders>
              <w:top w:val="nil"/>
              <w:left w:val="nil"/>
              <w:bottom w:val="nil"/>
              <w:right w:val="nil"/>
            </w:tcBorders>
            <w:vAlign w:val="bottom"/>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N/A</w:t>
            </w:r>
          </w:p>
        </w:tc>
        <w:tc>
          <w:tcPr>
            <w:tcW w:w="251" w:type="dxa"/>
            <w:tcBorders>
              <w:top w:val="nil"/>
              <w:left w:val="nil"/>
              <w:bottom w:val="nil"/>
              <w:right w:val="single" w:sz="6" w:space="0" w:color="00467E"/>
            </w:tcBorders>
            <w:vAlign w:val="bottom"/>
          </w:tcPr>
          <w:p w:rsidR="0073298C" w:rsidRDefault="0073298C" w:rsidP="0073298C">
            <w:pPr>
              <w:spacing w:before="22" w:after="22"/>
              <w:ind w:left="22"/>
              <w:jc w:val="right"/>
              <w:rPr>
                <w:rFonts w:ascii="Arial" w:hAnsi="Arial" w:cs="Arial"/>
                <w:color w:val="000000"/>
                <w:sz w:val="18"/>
                <w:szCs w:val="18"/>
              </w:rPr>
            </w:pPr>
          </w:p>
          <w:p w:rsidR="0073298C" w:rsidRDefault="0073298C" w:rsidP="0073298C">
            <w:pPr>
              <w:rPr>
                <w:sz w:val="16"/>
                <w:szCs w:val="16"/>
              </w:rPr>
            </w:pPr>
            <w:r>
              <w:rPr>
                <w:sz w:val="16"/>
                <w:szCs w:val="16"/>
              </w:rPr>
              <w:t> </w:t>
            </w:r>
          </w:p>
        </w:tc>
      </w:tr>
      <w:tr w:rsidR="0073298C" w:rsidTr="0073298C">
        <w:tblPrEx>
          <w:tblCellMar>
            <w:top w:w="0" w:type="dxa"/>
            <w:left w:w="0" w:type="dxa"/>
            <w:bottom w:w="0" w:type="dxa"/>
            <w:right w:w="0" w:type="dxa"/>
          </w:tblCellMar>
        </w:tblPrEx>
        <w:trPr>
          <w:trHeight w:val="281"/>
          <w:jc w:val="center"/>
        </w:trPr>
        <w:tc>
          <w:tcPr>
            <w:tcW w:w="3799" w:type="dxa"/>
            <w:tcBorders>
              <w:top w:val="nil"/>
              <w:left w:val="single" w:sz="6" w:space="0" w:color="00467E"/>
              <w:bottom w:val="nil"/>
              <w:right w:val="nil"/>
            </w:tcBorders>
            <w:shd w:val="clear" w:color="CFD4D8" w:fill="CFD4D8"/>
            <w:vAlign w:val="bottom"/>
          </w:tcPr>
          <w:p w:rsidR="0073298C" w:rsidRDefault="0073298C" w:rsidP="0073298C">
            <w:pPr>
              <w:spacing w:before="22" w:after="22"/>
              <w:ind w:left="22" w:right="22"/>
              <w:rPr>
                <w:rFonts w:ascii="Arial" w:hAnsi="Arial" w:cs="Arial"/>
                <w:color w:val="000000"/>
                <w:sz w:val="16"/>
                <w:szCs w:val="16"/>
                <w:vertAlign w:val="superscript"/>
              </w:rPr>
            </w:pPr>
            <w:r>
              <w:rPr>
                <w:rFonts w:ascii="Arial" w:hAnsi="Arial" w:cs="Arial"/>
                <w:color w:val="000000"/>
                <w:sz w:val="18"/>
                <w:szCs w:val="18"/>
              </w:rPr>
              <w:t xml:space="preserve">Average revenue per load </w:t>
            </w:r>
            <w:r>
              <w:rPr>
                <w:rFonts w:ascii="Arial" w:hAnsi="Arial" w:cs="Arial"/>
                <w:color w:val="000000"/>
                <w:sz w:val="16"/>
                <w:szCs w:val="16"/>
                <w:vertAlign w:val="superscript"/>
              </w:rPr>
              <w:t>(1)</w:t>
            </w:r>
          </w:p>
        </w:tc>
        <w:tc>
          <w:tcPr>
            <w:tcW w:w="1410" w:type="dxa"/>
            <w:gridSpan w:val="2"/>
            <w:tcBorders>
              <w:top w:val="nil"/>
              <w:left w:val="nil"/>
              <w:bottom w:val="nil"/>
              <w:right w:val="nil"/>
            </w:tcBorders>
            <w:shd w:val="clear" w:color="CFD4D8" w:fill="CFD4D8"/>
            <w:vAlign w:val="bottom"/>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N/A</w:t>
            </w:r>
          </w:p>
        </w:tc>
        <w:tc>
          <w:tcPr>
            <w:tcW w:w="229" w:type="dxa"/>
            <w:tcBorders>
              <w:top w:val="nil"/>
              <w:left w:val="nil"/>
              <w:bottom w:val="nil"/>
              <w:right w:val="nil"/>
            </w:tcBorders>
            <w:shd w:val="clear" w:color="CFD4D8" w:fill="CFD4D8"/>
            <w:vAlign w:val="bottom"/>
          </w:tcPr>
          <w:p w:rsidR="0073298C" w:rsidRDefault="0073298C" w:rsidP="0073298C">
            <w:pPr>
              <w:spacing w:before="22" w:after="22"/>
              <w:ind w:left="22"/>
              <w:jc w:val="right"/>
              <w:rPr>
                <w:rFonts w:ascii="Arial" w:hAnsi="Arial" w:cs="Arial"/>
                <w:color w:val="000000"/>
                <w:sz w:val="18"/>
                <w:szCs w:val="18"/>
              </w:rPr>
            </w:pPr>
          </w:p>
          <w:p w:rsidR="0073298C" w:rsidRDefault="0073298C" w:rsidP="0073298C">
            <w:pPr>
              <w:rPr>
                <w:sz w:val="16"/>
                <w:szCs w:val="16"/>
              </w:rPr>
            </w:pPr>
            <w:r>
              <w:rPr>
                <w:sz w:val="16"/>
                <w:szCs w:val="16"/>
              </w:rPr>
              <w:t> </w:t>
            </w:r>
          </w:p>
        </w:tc>
        <w:tc>
          <w:tcPr>
            <w:tcW w:w="101" w:type="dxa"/>
            <w:tcBorders>
              <w:top w:val="nil"/>
              <w:left w:val="nil"/>
              <w:bottom w:val="nil"/>
              <w:right w:val="nil"/>
            </w:tcBorders>
            <w:shd w:val="clear" w:color="CFD4D8" w:fill="CFD4D8"/>
            <w:vAlign w:val="bottom"/>
          </w:tcPr>
          <w:p w:rsidR="0073298C" w:rsidRDefault="0073298C" w:rsidP="0073298C">
            <w:pPr>
              <w:spacing w:before="22" w:after="22"/>
              <w:ind w:left="22" w:right="22"/>
              <w:rPr>
                <w:color w:val="000000"/>
              </w:rPr>
            </w:pPr>
            <w:r>
              <w:rPr>
                <w:color w:val="000000"/>
              </w:rPr>
              <w:t> </w:t>
            </w:r>
          </w:p>
        </w:tc>
        <w:tc>
          <w:tcPr>
            <w:tcW w:w="1410" w:type="dxa"/>
            <w:gridSpan w:val="2"/>
            <w:tcBorders>
              <w:top w:val="nil"/>
              <w:left w:val="nil"/>
              <w:bottom w:val="nil"/>
              <w:right w:val="nil"/>
            </w:tcBorders>
            <w:shd w:val="clear" w:color="CFD4D8" w:fill="CFD4D8"/>
            <w:vAlign w:val="bottom"/>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N/A</w:t>
            </w:r>
          </w:p>
        </w:tc>
        <w:tc>
          <w:tcPr>
            <w:tcW w:w="229" w:type="dxa"/>
            <w:tcBorders>
              <w:top w:val="nil"/>
              <w:left w:val="nil"/>
              <w:bottom w:val="nil"/>
              <w:right w:val="nil"/>
            </w:tcBorders>
            <w:shd w:val="clear" w:color="CFD4D8" w:fill="CFD4D8"/>
            <w:vAlign w:val="bottom"/>
          </w:tcPr>
          <w:p w:rsidR="0073298C" w:rsidRDefault="0073298C" w:rsidP="0073298C">
            <w:pPr>
              <w:spacing w:before="22" w:after="22"/>
              <w:ind w:left="22"/>
              <w:jc w:val="right"/>
              <w:rPr>
                <w:rFonts w:ascii="Arial" w:hAnsi="Arial" w:cs="Arial"/>
                <w:color w:val="000000"/>
                <w:sz w:val="18"/>
                <w:szCs w:val="18"/>
              </w:rPr>
            </w:pPr>
          </w:p>
          <w:p w:rsidR="0073298C" w:rsidRDefault="0073298C" w:rsidP="0073298C">
            <w:pPr>
              <w:rPr>
                <w:sz w:val="16"/>
                <w:szCs w:val="16"/>
              </w:rPr>
            </w:pPr>
            <w:r>
              <w:rPr>
                <w:sz w:val="16"/>
                <w:szCs w:val="16"/>
              </w:rPr>
              <w:t> </w:t>
            </w:r>
          </w:p>
        </w:tc>
        <w:tc>
          <w:tcPr>
            <w:tcW w:w="101" w:type="dxa"/>
            <w:tcBorders>
              <w:top w:val="nil"/>
              <w:left w:val="nil"/>
              <w:bottom w:val="nil"/>
              <w:right w:val="nil"/>
            </w:tcBorders>
            <w:shd w:val="clear" w:color="CFD4D8" w:fill="CFD4D8"/>
            <w:vAlign w:val="bottom"/>
          </w:tcPr>
          <w:p w:rsidR="0073298C" w:rsidRDefault="0073298C" w:rsidP="0073298C">
            <w:pPr>
              <w:spacing w:before="22" w:after="22"/>
              <w:ind w:left="22" w:right="22"/>
              <w:rPr>
                <w:color w:val="000000"/>
              </w:rPr>
            </w:pPr>
            <w:r>
              <w:rPr>
                <w:color w:val="000000"/>
              </w:rPr>
              <w:t> </w:t>
            </w:r>
          </w:p>
        </w:tc>
        <w:tc>
          <w:tcPr>
            <w:tcW w:w="1462" w:type="dxa"/>
            <w:gridSpan w:val="2"/>
            <w:tcBorders>
              <w:top w:val="nil"/>
              <w:left w:val="nil"/>
              <w:bottom w:val="nil"/>
              <w:right w:val="nil"/>
            </w:tcBorders>
            <w:shd w:val="clear" w:color="CFD4D8" w:fill="CFD4D8"/>
            <w:vAlign w:val="bottom"/>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N/A</w:t>
            </w:r>
          </w:p>
        </w:tc>
        <w:tc>
          <w:tcPr>
            <w:tcW w:w="281" w:type="dxa"/>
            <w:tcBorders>
              <w:top w:val="nil"/>
              <w:left w:val="nil"/>
              <w:bottom w:val="nil"/>
              <w:right w:val="nil"/>
            </w:tcBorders>
            <w:shd w:val="clear" w:color="CFD4D8" w:fill="CFD4D8"/>
            <w:vAlign w:val="bottom"/>
          </w:tcPr>
          <w:p w:rsidR="0073298C" w:rsidRDefault="0073298C" w:rsidP="0073298C">
            <w:pPr>
              <w:spacing w:before="22" w:after="22"/>
              <w:ind w:left="22"/>
              <w:jc w:val="right"/>
              <w:rPr>
                <w:rFonts w:ascii="Arial" w:hAnsi="Arial" w:cs="Arial"/>
                <w:color w:val="000000"/>
                <w:sz w:val="18"/>
                <w:szCs w:val="18"/>
              </w:rPr>
            </w:pPr>
          </w:p>
          <w:p w:rsidR="0073298C" w:rsidRDefault="0073298C" w:rsidP="0073298C">
            <w:pPr>
              <w:rPr>
                <w:sz w:val="16"/>
                <w:szCs w:val="16"/>
              </w:rPr>
            </w:pPr>
            <w:r>
              <w:rPr>
                <w:sz w:val="16"/>
                <w:szCs w:val="16"/>
              </w:rPr>
              <w:t> </w:t>
            </w:r>
          </w:p>
        </w:tc>
        <w:tc>
          <w:tcPr>
            <w:tcW w:w="101" w:type="dxa"/>
            <w:tcBorders>
              <w:top w:val="nil"/>
              <w:left w:val="nil"/>
              <w:bottom w:val="nil"/>
              <w:right w:val="nil"/>
            </w:tcBorders>
            <w:shd w:val="clear" w:color="CFD4D8" w:fill="CFD4D8"/>
            <w:vAlign w:val="bottom"/>
          </w:tcPr>
          <w:p w:rsidR="0073298C" w:rsidRDefault="0073298C" w:rsidP="0073298C">
            <w:pPr>
              <w:spacing w:before="22" w:after="22"/>
              <w:ind w:left="22" w:right="22"/>
              <w:rPr>
                <w:color w:val="000000"/>
              </w:rPr>
            </w:pPr>
            <w:r>
              <w:rPr>
                <w:color w:val="000000"/>
              </w:rPr>
              <w:t> </w:t>
            </w:r>
          </w:p>
        </w:tc>
        <w:tc>
          <w:tcPr>
            <w:tcW w:w="245" w:type="dxa"/>
            <w:tcBorders>
              <w:top w:val="nil"/>
              <w:left w:val="nil"/>
              <w:bottom w:val="nil"/>
              <w:right w:val="nil"/>
            </w:tcBorders>
            <w:shd w:val="clear" w:color="CFD4D8" w:fill="CFD4D8"/>
            <w:vAlign w:val="bottom"/>
          </w:tcPr>
          <w:p w:rsidR="0073298C" w:rsidRDefault="0073298C" w:rsidP="0073298C">
            <w:pPr>
              <w:spacing w:before="22" w:after="22"/>
              <w:ind w:left="22"/>
              <w:rPr>
                <w:rFonts w:ascii="Arial" w:hAnsi="Arial" w:cs="Arial"/>
                <w:color w:val="000000"/>
                <w:sz w:val="18"/>
                <w:szCs w:val="18"/>
              </w:rPr>
            </w:pPr>
            <w:r>
              <w:rPr>
                <w:rFonts w:ascii="Arial" w:hAnsi="Arial" w:cs="Arial"/>
                <w:color w:val="000000"/>
                <w:sz w:val="18"/>
                <w:szCs w:val="18"/>
              </w:rPr>
              <w:t>$</w:t>
            </w:r>
          </w:p>
        </w:tc>
        <w:tc>
          <w:tcPr>
            <w:tcW w:w="1181" w:type="dxa"/>
            <w:tcBorders>
              <w:top w:val="nil"/>
              <w:left w:val="nil"/>
              <w:bottom w:val="nil"/>
              <w:right w:val="nil"/>
            </w:tcBorders>
            <w:shd w:val="clear" w:color="CFD4D8" w:fill="CFD4D8"/>
            <w:vAlign w:val="bottom"/>
          </w:tcPr>
          <w:p w:rsidR="0073298C" w:rsidRDefault="0073298C" w:rsidP="0073298C">
            <w:pPr>
              <w:spacing w:before="22" w:after="22"/>
              <w:jc w:val="right"/>
              <w:rPr>
                <w:rFonts w:ascii="Arial" w:hAnsi="Arial" w:cs="Arial"/>
                <w:color w:val="000000"/>
                <w:sz w:val="18"/>
                <w:szCs w:val="18"/>
              </w:rPr>
            </w:pPr>
            <w:r>
              <w:rPr>
                <w:rFonts w:ascii="Arial" w:hAnsi="Arial" w:cs="Arial"/>
                <w:color w:val="000000"/>
                <w:sz w:val="18"/>
                <w:szCs w:val="18"/>
              </w:rPr>
              <w:t>1,882</w:t>
            </w:r>
          </w:p>
        </w:tc>
        <w:tc>
          <w:tcPr>
            <w:tcW w:w="251" w:type="dxa"/>
            <w:tcBorders>
              <w:top w:val="nil"/>
              <w:left w:val="nil"/>
              <w:bottom w:val="nil"/>
              <w:right w:val="single" w:sz="6" w:space="0" w:color="00467E"/>
            </w:tcBorders>
            <w:shd w:val="clear" w:color="CFD4D8" w:fill="CFD4D8"/>
            <w:vAlign w:val="bottom"/>
          </w:tcPr>
          <w:p w:rsidR="0073298C" w:rsidRDefault="0073298C" w:rsidP="0073298C">
            <w:pPr>
              <w:spacing w:before="22" w:after="22"/>
              <w:jc w:val="right"/>
              <w:rPr>
                <w:rFonts w:ascii="Arial" w:hAnsi="Arial" w:cs="Arial"/>
                <w:color w:val="000000"/>
                <w:sz w:val="18"/>
                <w:szCs w:val="18"/>
              </w:rPr>
            </w:pPr>
          </w:p>
          <w:p w:rsidR="0073298C" w:rsidRDefault="0073298C" w:rsidP="0073298C">
            <w:pPr>
              <w:rPr>
                <w:sz w:val="16"/>
                <w:szCs w:val="16"/>
              </w:rPr>
            </w:pPr>
            <w:r>
              <w:rPr>
                <w:sz w:val="16"/>
                <w:szCs w:val="16"/>
              </w:rPr>
              <w:t> </w:t>
            </w:r>
          </w:p>
        </w:tc>
      </w:tr>
      <w:tr w:rsidR="0073298C" w:rsidTr="0073298C">
        <w:tblPrEx>
          <w:tblCellMar>
            <w:top w:w="0" w:type="dxa"/>
            <w:left w:w="0" w:type="dxa"/>
            <w:bottom w:w="0" w:type="dxa"/>
            <w:right w:w="0" w:type="dxa"/>
          </w:tblCellMar>
        </w:tblPrEx>
        <w:trPr>
          <w:trHeight w:val="281"/>
          <w:jc w:val="center"/>
        </w:trPr>
        <w:tc>
          <w:tcPr>
            <w:tcW w:w="3799" w:type="dxa"/>
            <w:tcBorders>
              <w:top w:val="nil"/>
              <w:left w:val="single" w:sz="6" w:space="0" w:color="00467E"/>
              <w:bottom w:val="nil"/>
              <w:right w:val="nil"/>
            </w:tcBorders>
            <w:vAlign w:val="bottom"/>
          </w:tcPr>
          <w:p w:rsidR="0073298C" w:rsidRDefault="0073298C" w:rsidP="0073298C">
            <w:pPr>
              <w:spacing w:before="22" w:after="22"/>
              <w:ind w:left="22" w:right="22"/>
              <w:rPr>
                <w:rFonts w:ascii="Arial" w:hAnsi="Arial" w:cs="Arial"/>
                <w:color w:val="000000"/>
                <w:sz w:val="16"/>
                <w:szCs w:val="16"/>
                <w:vertAlign w:val="superscript"/>
              </w:rPr>
            </w:pPr>
            <w:r>
              <w:rPr>
                <w:rFonts w:ascii="Arial" w:hAnsi="Arial" w:cs="Arial"/>
                <w:color w:val="000000"/>
                <w:sz w:val="18"/>
                <w:szCs w:val="18"/>
              </w:rPr>
              <w:t xml:space="preserve">GAAP: Operating ratio </w:t>
            </w:r>
            <w:r>
              <w:rPr>
                <w:rFonts w:ascii="Arial" w:hAnsi="Arial" w:cs="Arial"/>
                <w:color w:val="000000"/>
                <w:sz w:val="16"/>
                <w:szCs w:val="16"/>
                <w:vertAlign w:val="superscript"/>
              </w:rPr>
              <w:t>(1)</w:t>
            </w:r>
          </w:p>
        </w:tc>
        <w:tc>
          <w:tcPr>
            <w:tcW w:w="1410" w:type="dxa"/>
            <w:gridSpan w:val="2"/>
            <w:tcBorders>
              <w:top w:val="nil"/>
              <w:left w:val="nil"/>
              <w:bottom w:val="nil"/>
              <w:right w:val="nil"/>
            </w:tcBorders>
            <w:vAlign w:val="bottom"/>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87.7</w:t>
            </w:r>
          </w:p>
        </w:tc>
        <w:tc>
          <w:tcPr>
            <w:tcW w:w="229" w:type="dxa"/>
            <w:tcBorders>
              <w:top w:val="nil"/>
              <w:left w:val="nil"/>
              <w:bottom w:val="nil"/>
              <w:right w:val="nil"/>
            </w:tcBorders>
            <w:vAlign w:val="bottom"/>
          </w:tcPr>
          <w:p w:rsidR="0073298C" w:rsidRDefault="0073298C" w:rsidP="0073298C">
            <w:pPr>
              <w:spacing w:before="22" w:after="22"/>
              <w:ind w:right="22"/>
              <w:rPr>
                <w:rFonts w:ascii="Arial" w:hAnsi="Arial" w:cs="Arial"/>
                <w:color w:val="000000"/>
                <w:sz w:val="18"/>
                <w:szCs w:val="18"/>
              </w:rPr>
            </w:pPr>
            <w:r>
              <w:rPr>
                <w:rFonts w:ascii="Arial" w:hAnsi="Arial" w:cs="Arial"/>
                <w:color w:val="000000"/>
                <w:sz w:val="18"/>
                <w:szCs w:val="18"/>
              </w:rPr>
              <w:t>%</w:t>
            </w:r>
          </w:p>
        </w:tc>
        <w:tc>
          <w:tcPr>
            <w:tcW w:w="101" w:type="dxa"/>
            <w:tcBorders>
              <w:top w:val="nil"/>
              <w:left w:val="nil"/>
              <w:bottom w:val="nil"/>
              <w:right w:val="nil"/>
            </w:tcBorders>
            <w:vAlign w:val="bottom"/>
          </w:tcPr>
          <w:p w:rsidR="0073298C" w:rsidRDefault="0073298C" w:rsidP="0073298C">
            <w:pPr>
              <w:spacing w:before="22" w:after="22"/>
              <w:ind w:left="22" w:right="22"/>
              <w:rPr>
                <w:color w:val="000000"/>
              </w:rPr>
            </w:pPr>
            <w:r>
              <w:rPr>
                <w:color w:val="000000"/>
              </w:rPr>
              <w:t> </w:t>
            </w:r>
          </w:p>
        </w:tc>
        <w:tc>
          <w:tcPr>
            <w:tcW w:w="1410" w:type="dxa"/>
            <w:gridSpan w:val="2"/>
            <w:tcBorders>
              <w:top w:val="nil"/>
              <w:left w:val="nil"/>
              <w:bottom w:val="nil"/>
              <w:right w:val="nil"/>
            </w:tcBorders>
            <w:vAlign w:val="bottom"/>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88.8</w:t>
            </w:r>
          </w:p>
        </w:tc>
        <w:tc>
          <w:tcPr>
            <w:tcW w:w="229" w:type="dxa"/>
            <w:tcBorders>
              <w:top w:val="nil"/>
              <w:left w:val="nil"/>
              <w:bottom w:val="nil"/>
              <w:right w:val="nil"/>
            </w:tcBorders>
            <w:vAlign w:val="bottom"/>
          </w:tcPr>
          <w:p w:rsidR="0073298C" w:rsidRDefault="0073298C" w:rsidP="0073298C">
            <w:pPr>
              <w:spacing w:before="22" w:after="22"/>
              <w:ind w:right="22"/>
              <w:rPr>
                <w:rFonts w:ascii="Arial" w:hAnsi="Arial" w:cs="Arial"/>
                <w:color w:val="000000"/>
                <w:sz w:val="18"/>
                <w:szCs w:val="18"/>
              </w:rPr>
            </w:pPr>
            <w:r>
              <w:rPr>
                <w:rFonts w:ascii="Arial" w:hAnsi="Arial" w:cs="Arial"/>
                <w:color w:val="000000"/>
                <w:sz w:val="18"/>
                <w:szCs w:val="18"/>
              </w:rPr>
              <w:t>%</w:t>
            </w:r>
          </w:p>
        </w:tc>
        <w:tc>
          <w:tcPr>
            <w:tcW w:w="101" w:type="dxa"/>
            <w:tcBorders>
              <w:top w:val="nil"/>
              <w:left w:val="nil"/>
              <w:bottom w:val="nil"/>
              <w:right w:val="nil"/>
            </w:tcBorders>
            <w:vAlign w:val="bottom"/>
          </w:tcPr>
          <w:p w:rsidR="0073298C" w:rsidRDefault="0073298C" w:rsidP="0073298C">
            <w:pPr>
              <w:spacing w:before="22" w:after="22"/>
              <w:ind w:left="22" w:right="22"/>
              <w:rPr>
                <w:color w:val="000000"/>
              </w:rPr>
            </w:pPr>
            <w:r>
              <w:rPr>
                <w:color w:val="000000"/>
              </w:rPr>
              <w:t> </w:t>
            </w:r>
          </w:p>
        </w:tc>
        <w:tc>
          <w:tcPr>
            <w:tcW w:w="1462" w:type="dxa"/>
            <w:gridSpan w:val="2"/>
            <w:tcBorders>
              <w:top w:val="nil"/>
              <w:left w:val="nil"/>
              <w:bottom w:val="nil"/>
              <w:right w:val="nil"/>
            </w:tcBorders>
            <w:vAlign w:val="bottom"/>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94.6</w:t>
            </w:r>
          </w:p>
        </w:tc>
        <w:tc>
          <w:tcPr>
            <w:tcW w:w="281" w:type="dxa"/>
            <w:tcBorders>
              <w:top w:val="nil"/>
              <w:left w:val="nil"/>
              <w:bottom w:val="nil"/>
              <w:right w:val="nil"/>
            </w:tcBorders>
            <w:vAlign w:val="bottom"/>
          </w:tcPr>
          <w:p w:rsidR="0073298C" w:rsidRDefault="0073298C" w:rsidP="0073298C">
            <w:pPr>
              <w:spacing w:before="22" w:after="22"/>
              <w:ind w:right="22"/>
              <w:rPr>
                <w:rFonts w:ascii="Arial" w:hAnsi="Arial" w:cs="Arial"/>
                <w:color w:val="000000"/>
                <w:sz w:val="18"/>
                <w:szCs w:val="18"/>
              </w:rPr>
            </w:pPr>
            <w:r>
              <w:rPr>
                <w:rFonts w:ascii="Arial" w:hAnsi="Arial" w:cs="Arial"/>
                <w:color w:val="000000"/>
                <w:sz w:val="18"/>
                <w:szCs w:val="18"/>
              </w:rPr>
              <w:t>%</w:t>
            </w:r>
          </w:p>
        </w:tc>
        <w:tc>
          <w:tcPr>
            <w:tcW w:w="101" w:type="dxa"/>
            <w:tcBorders>
              <w:top w:val="nil"/>
              <w:left w:val="nil"/>
              <w:bottom w:val="nil"/>
              <w:right w:val="nil"/>
            </w:tcBorders>
            <w:vAlign w:val="bottom"/>
          </w:tcPr>
          <w:p w:rsidR="0073298C" w:rsidRDefault="0073298C" w:rsidP="0073298C">
            <w:pPr>
              <w:spacing w:before="22" w:after="22"/>
              <w:ind w:left="22" w:right="22"/>
              <w:rPr>
                <w:color w:val="000000"/>
              </w:rPr>
            </w:pPr>
            <w:r>
              <w:rPr>
                <w:color w:val="000000"/>
              </w:rPr>
              <w:t> </w:t>
            </w:r>
          </w:p>
        </w:tc>
        <w:tc>
          <w:tcPr>
            <w:tcW w:w="1426" w:type="dxa"/>
            <w:gridSpan w:val="2"/>
            <w:tcBorders>
              <w:top w:val="nil"/>
              <w:left w:val="nil"/>
              <w:bottom w:val="nil"/>
              <w:right w:val="nil"/>
            </w:tcBorders>
            <w:vAlign w:val="bottom"/>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95.4</w:t>
            </w:r>
          </w:p>
        </w:tc>
        <w:tc>
          <w:tcPr>
            <w:tcW w:w="251" w:type="dxa"/>
            <w:tcBorders>
              <w:top w:val="nil"/>
              <w:left w:val="nil"/>
              <w:bottom w:val="nil"/>
              <w:right w:val="single" w:sz="6" w:space="0" w:color="00467E"/>
            </w:tcBorders>
            <w:vAlign w:val="bottom"/>
          </w:tcPr>
          <w:p w:rsidR="0073298C" w:rsidRDefault="0073298C" w:rsidP="0073298C">
            <w:pPr>
              <w:spacing w:before="22" w:after="22"/>
              <w:ind w:right="22"/>
              <w:rPr>
                <w:rFonts w:ascii="Arial" w:hAnsi="Arial" w:cs="Arial"/>
                <w:color w:val="000000"/>
                <w:sz w:val="18"/>
                <w:szCs w:val="18"/>
              </w:rPr>
            </w:pPr>
            <w:r>
              <w:rPr>
                <w:rFonts w:ascii="Arial" w:hAnsi="Arial" w:cs="Arial"/>
                <w:color w:val="000000"/>
                <w:sz w:val="18"/>
                <w:szCs w:val="18"/>
              </w:rPr>
              <w:t>%</w:t>
            </w:r>
          </w:p>
        </w:tc>
      </w:tr>
      <w:tr w:rsidR="0073298C" w:rsidTr="0073298C">
        <w:tblPrEx>
          <w:tblCellMar>
            <w:top w:w="0" w:type="dxa"/>
            <w:left w:w="0" w:type="dxa"/>
            <w:bottom w:w="0" w:type="dxa"/>
            <w:right w:w="0" w:type="dxa"/>
          </w:tblCellMar>
        </w:tblPrEx>
        <w:trPr>
          <w:trHeight w:val="281"/>
          <w:jc w:val="center"/>
        </w:trPr>
        <w:tc>
          <w:tcPr>
            <w:tcW w:w="3799" w:type="dxa"/>
            <w:tcBorders>
              <w:top w:val="nil"/>
              <w:left w:val="single" w:sz="6" w:space="0" w:color="00467E"/>
              <w:bottom w:val="nil"/>
              <w:right w:val="nil"/>
            </w:tcBorders>
            <w:shd w:val="clear" w:color="CFD4D8" w:fill="CFD4D8"/>
            <w:vAlign w:val="bottom"/>
          </w:tcPr>
          <w:p w:rsidR="0073298C" w:rsidRDefault="0073298C" w:rsidP="0073298C">
            <w:pPr>
              <w:spacing w:before="22" w:after="22"/>
              <w:ind w:left="22" w:right="22"/>
              <w:rPr>
                <w:rFonts w:ascii="Arial" w:hAnsi="Arial" w:cs="Arial"/>
                <w:color w:val="000000"/>
                <w:sz w:val="16"/>
                <w:szCs w:val="16"/>
                <w:vertAlign w:val="superscript"/>
              </w:rPr>
            </w:pPr>
            <w:r>
              <w:rPr>
                <w:rFonts w:ascii="Arial" w:hAnsi="Arial" w:cs="Arial"/>
                <w:color w:val="000000"/>
                <w:sz w:val="18"/>
                <w:szCs w:val="18"/>
              </w:rPr>
              <w:t xml:space="preserve">Non-GAAP: Adjusted Operating Ratio </w:t>
            </w:r>
            <w:r>
              <w:rPr>
                <w:rFonts w:ascii="Arial" w:hAnsi="Arial" w:cs="Arial"/>
                <w:color w:val="000000"/>
                <w:sz w:val="16"/>
                <w:szCs w:val="16"/>
                <w:vertAlign w:val="superscript"/>
              </w:rPr>
              <w:t>(1)</w:t>
            </w:r>
          </w:p>
        </w:tc>
        <w:tc>
          <w:tcPr>
            <w:tcW w:w="1410" w:type="dxa"/>
            <w:gridSpan w:val="2"/>
            <w:tcBorders>
              <w:top w:val="nil"/>
              <w:left w:val="nil"/>
              <w:bottom w:val="nil"/>
              <w:right w:val="nil"/>
            </w:tcBorders>
            <w:shd w:val="clear" w:color="CFD4D8" w:fill="CFD4D8"/>
            <w:vAlign w:val="bottom"/>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86.0</w:t>
            </w:r>
          </w:p>
        </w:tc>
        <w:tc>
          <w:tcPr>
            <w:tcW w:w="229" w:type="dxa"/>
            <w:tcBorders>
              <w:top w:val="nil"/>
              <w:left w:val="nil"/>
              <w:bottom w:val="nil"/>
              <w:right w:val="nil"/>
            </w:tcBorders>
            <w:shd w:val="clear" w:color="CFD4D8" w:fill="CFD4D8"/>
            <w:vAlign w:val="bottom"/>
          </w:tcPr>
          <w:p w:rsidR="0073298C" w:rsidRDefault="0073298C" w:rsidP="0073298C">
            <w:pPr>
              <w:spacing w:before="22" w:after="22"/>
              <w:ind w:right="22"/>
              <w:rPr>
                <w:rFonts w:ascii="Arial" w:hAnsi="Arial" w:cs="Arial"/>
                <w:color w:val="000000"/>
                <w:sz w:val="18"/>
                <w:szCs w:val="18"/>
              </w:rPr>
            </w:pPr>
            <w:r>
              <w:rPr>
                <w:rFonts w:ascii="Arial" w:hAnsi="Arial" w:cs="Arial"/>
                <w:color w:val="000000"/>
                <w:sz w:val="18"/>
                <w:szCs w:val="18"/>
              </w:rPr>
              <w:t>%</w:t>
            </w:r>
          </w:p>
        </w:tc>
        <w:tc>
          <w:tcPr>
            <w:tcW w:w="101" w:type="dxa"/>
            <w:tcBorders>
              <w:top w:val="nil"/>
              <w:left w:val="nil"/>
              <w:bottom w:val="nil"/>
              <w:right w:val="nil"/>
            </w:tcBorders>
            <w:shd w:val="clear" w:color="CFD4D8" w:fill="CFD4D8"/>
            <w:vAlign w:val="bottom"/>
          </w:tcPr>
          <w:p w:rsidR="0073298C" w:rsidRDefault="0073298C" w:rsidP="0073298C">
            <w:pPr>
              <w:spacing w:before="22" w:after="22"/>
              <w:ind w:left="22" w:right="22"/>
              <w:rPr>
                <w:color w:val="000000"/>
              </w:rPr>
            </w:pPr>
            <w:r>
              <w:rPr>
                <w:color w:val="000000"/>
              </w:rPr>
              <w:t> </w:t>
            </w:r>
          </w:p>
        </w:tc>
        <w:tc>
          <w:tcPr>
            <w:tcW w:w="1410" w:type="dxa"/>
            <w:gridSpan w:val="2"/>
            <w:tcBorders>
              <w:top w:val="nil"/>
              <w:left w:val="nil"/>
              <w:bottom w:val="nil"/>
              <w:right w:val="nil"/>
            </w:tcBorders>
            <w:shd w:val="clear" w:color="CFD4D8" w:fill="CFD4D8"/>
            <w:vAlign w:val="bottom"/>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87.5</w:t>
            </w:r>
          </w:p>
        </w:tc>
        <w:tc>
          <w:tcPr>
            <w:tcW w:w="229" w:type="dxa"/>
            <w:tcBorders>
              <w:top w:val="nil"/>
              <w:left w:val="nil"/>
              <w:bottom w:val="nil"/>
              <w:right w:val="nil"/>
            </w:tcBorders>
            <w:shd w:val="clear" w:color="CFD4D8" w:fill="CFD4D8"/>
            <w:vAlign w:val="bottom"/>
          </w:tcPr>
          <w:p w:rsidR="0073298C" w:rsidRDefault="0073298C" w:rsidP="0073298C">
            <w:pPr>
              <w:spacing w:before="22" w:after="22"/>
              <w:ind w:right="22"/>
              <w:rPr>
                <w:rFonts w:ascii="Arial" w:hAnsi="Arial" w:cs="Arial"/>
                <w:color w:val="000000"/>
                <w:sz w:val="18"/>
                <w:szCs w:val="18"/>
              </w:rPr>
            </w:pPr>
            <w:r>
              <w:rPr>
                <w:rFonts w:ascii="Arial" w:hAnsi="Arial" w:cs="Arial"/>
                <w:color w:val="000000"/>
                <w:sz w:val="18"/>
                <w:szCs w:val="18"/>
              </w:rPr>
              <w:t>%</w:t>
            </w:r>
          </w:p>
        </w:tc>
        <w:tc>
          <w:tcPr>
            <w:tcW w:w="101" w:type="dxa"/>
            <w:tcBorders>
              <w:top w:val="nil"/>
              <w:left w:val="nil"/>
              <w:bottom w:val="nil"/>
              <w:right w:val="nil"/>
            </w:tcBorders>
            <w:shd w:val="clear" w:color="CFD4D8" w:fill="CFD4D8"/>
            <w:vAlign w:val="bottom"/>
          </w:tcPr>
          <w:p w:rsidR="0073298C" w:rsidRDefault="0073298C" w:rsidP="0073298C">
            <w:pPr>
              <w:spacing w:before="22" w:after="22"/>
              <w:ind w:left="22" w:right="22"/>
              <w:rPr>
                <w:color w:val="000000"/>
              </w:rPr>
            </w:pPr>
            <w:r>
              <w:rPr>
                <w:color w:val="000000"/>
              </w:rPr>
              <w:t> </w:t>
            </w:r>
          </w:p>
        </w:tc>
        <w:tc>
          <w:tcPr>
            <w:tcW w:w="1462" w:type="dxa"/>
            <w:gridSpan w:val="2"/>
            <w:tcBorders>
              <w:top w:val="nil"/>
              <w:left w:val="nil"/>
              <w:bottom w:val="nil"/>
              <w:right w:val="nil"/>
            </w:tcBorders>
            <w:shd w:val="clear" w:color="CFD4D8" w:fill="CFD4D8"/>
            <w:vAlign w:val="bottom"/>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94.1</w:t>
            </w:r>
          </w:p>
        </w:tc>
        <w:tc>
          <w:tcPr>
            <w:tcW w:w="281" w:type="dxa"/>
            <w:tcBorders>
              <w:top w:val="nil"/>
              <w:left w:val="nil"/>
              <w:bottom w:val="nil"/>
              <w:right w:val="nil"/>
            </w:tcBorders>
            <w:shd w:val="clear" w:color="CFD4D8" w:fill="CFD4D8"/>
            <w:vAlign w:val="bottom"/>
          </w:tcPr>
          <w:p w:rsidR="0073298C" w:rsidRDefault="0073298C" w:rsidP="0073298C">
            <w:pPr>
              <w:spacing w:before="22" w:after="22"/>
              <w:ind w:right="22"/>
              <w:rPr>
                <w:rFonts w:ascii="Arial" w:hAnsi="Arial" w:cs="Arial"/>
                <w:color w:val="000000"/>
                <w:sz w:val="18"/>
                <w:szCs w:val="18"/>
              </w:rPr>
            </w:pPr>
            <w:r>
              <w:rPr>
                <w:rFonts w:ascii="Arial" w:hAnsi="Arial" w:cs="Arial"/>
                <w:color w:val="000000"/>
                <w:sz w:val="18"/>
                <w:szCs w:val="18"/>
              </w:rPr>
              <w:t>%</w:t>
            </w:r>
          </w:p>
        </w:tc>
        <w:tc>
          <w:tcPr>
            <w:tcW w:w="101" w:type="dxa"/>
            <w:tcBorders>
              <w:top w:val="nil"/>
              <w:left w:val="nil"/>
              <w:bottom w:val="nil"/>
              <w:right w:val="nil"/>
            </w:tcBorders>
            <w:shd w:val="clear" w:color="CFD4D8" w:fill="CFD4D8"/>
            <w:vAlign w:val="bottom"/>
          </w:tcPr>
          <w:p w:rsidR="0073298C" w:rsidRDefault="0073298C" w:rsidP="0073298C">
            <w:pPr>
              <w:spacing w:before="22" w:after="22"/>
              <w:ind w:left="22" w:right="22"/>
              <w:rPr>
                <w:color w:val="000000"/>
              </w:rPr>
            </w:pPr>
            <w:r>
              <w:rPr>
                <w:color w:val="000000"/>
              </w:rPr>
              <w:t> </w:t>
            </w:r>
          </w:p>
        </w:tc>
        <w:tc>
          <w:tcPr>
            <w:tcW w:w="1426" w:type="dxa"/>
            <w:gridSpan w:val="2"/>
            <w:tcBorders>
              <w:top w:val="nil"/>
              <w:left w:val="nil"/>
              <w:bottom w:val="nil"/>
              <w:right w:val="nil"/>
            </w:tcBorders>
            <w:shd w:val="clear" w:color="CFD4D8" w:fill="CFD4D8"/>
            <w:vAlign w:val="bottom"/>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94.7</w:t>
            </w:r>
          </w:p>
        </w:tc>
        <w:tc>
          <w:tcPr>
            <w:tcW w:w="251" w:type="dxa"/>
            <w:tcBorders>
              <w:top w:val="nil"/>
              <w:left w:val="nil"/>
              <w:bottom w:val="nil"/>
              <w:right w:val="single" w:sz="6" w:space="0" w:color="00467E"/>
            </w:tcBorders>
            <w:shd w:val="clear" w:color="CFD4D8" w:fill="CFD4D8"/>
            <w:vAlign w:val="bottom"/>
          </w:tcPr>
          <w:p w:rsidR="0073298C" w:rsidRDefault="0073298C" w:rsidP="0073298C">
            <w:pPr>
              <w:spacing w:before="22" w:after="22"/>
              <w:ind w:right="22"/>
              <w:rPr>
                <w:rFonts w:ascii="Arial" w:hAnsi="Arial" w:cs="Arial"/>
                <w:color w:val="000000"/>
                <w:sz w:val="18"/>
                <w:szCs w:val="18"/>
              </w:rPr>
            </w:pPr>
            <w:r>
              <w:rPr>
                <w:rFonts w:ascii="Arial" w:hAnsi="Arial" w:cs="Arial"/>
                <w:color w:val="000000"/>
                <w:sz w:val="18"/>
                <w:szCs w:val="18"/>
              </w:rPr>
              <w:t>%</w:t>
            </w:r>
          </w:p>
        </w:tc>
      </w:tr>
      <w:tr w:rsidR="0073298C" w:rsidTr="0073298C">
        <w:tblPrEx>
          <w:tblCellMar>
            <w:top w:w="0" w:type="dxa"/>
            <w:left w:w="0" w:type="dxa"/>
            <w:bottom w:w="0" w:type="dxa"/>
            <w:right w:w="0" w:type="dxa"/>
          </w:tblCellMar>
        </w:tblPrEx>
        <w:trPr>
          <w:trHeight w:val="281"/>
          <w:jc w:val="center"/>
        </w:trPr>
        <w:tc>
          <w:tcPr>
            <w:tcW w:w="3799" w:type="dxa"/>
            <w:tcBorders>
              <w:top w:val="nil"/>
              <w:left w:val="single" w:sz="6" w:space="0" w:color="00467E"/>
              <w:bottom w:val="nil"/>
              <w:right w:val="nil"/>
            </w:tcBorders>
            <w:vAlign w:val="bottom"/>
          </w:tcPr>
          <w:p w:rsidR="0073298C" w:rsidRDefault="0073298C" w:rsidP="0073298C">
            <w:pPr>
              <w:spacing w:before="22" w:after="22"/>
              <w:ind w:left="22" w:right="22"/>
              <w:rPr>
                <w:rFonts w:ascii="Arial" w:hAnsi="Arial" w:cs="Arial"/>
                <w:color w:val="000000"/>
                <w:sz w:val="16"/>
                <w:szCs w:val="16"/>
                <w:vertAlign w:val="superscript"/>
              </w:rPr>
            </w:pPr>
            <w:r>
              <w:rPr>
                <w:rFonts w:ascii="Arial" w:hAnsi="Arial" w:cs="Arial"/>
                <w:color w:val="000000"/>
                <w:sz w:val="18"/>
                <w:szCs w:val="18"/>
              </w:rPr>
              <w:t>Non-paid empty miles percentage</w:t>
            </w:r>
            <w:r>
              <w:rPr>
                <w:rFonts w:ascii="Arial" w:hAnsi="Arial" w:cs="Arial"/>
                <w:color w:val="000000"/>
                <w:sz w:val="16"/>
                <w:szCs w:val="16"/>
                <w:vertAlign w:val="superscript"/>
              </w:rPr>
              <w:t> (1)</w:t>
            </w:r>
          </w:p>
        </w:tc>
        <w:tc>
          <w:tcPr>
            <w:tcW w:w="1410" w:type="dxa"/>
            <w:gridSpan w:val="2"/>
            <w:tcBorders>
              <w:top w:val="nil"/>
              <w:left w:val="nil"/>
              <w:bottom w:val="nil"/>
              <w:right w:val="nil"/>
            </w:tcBorders>
            <w:vAlign w:val="bottom"/>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13.2</w:t>
            </w:r>
          </w:p>
        </w:tc>
        <w:tc>
          <w:tcPr>
            <w:tcW w:w="229" w:type="dxa"/>
            <w:tcBorders>
              <w:top w:val="nil"/>
              <w:left w:val="nil"/>
              <w:bottom w:val="nil"/>
              <w:right w:val="nil"/>
            </w:tcBorders>
            <w:vAlign w:val="bottom"/>
          </w:tcPr>
          <w:p w:rsidR="0073298C" w:rsidRDefault="0073298C" w:rsidP="0073298C">
            <w:pPr>
              <w:spacing w:before="22" w:after="22"/>
              <w:ind w:right="22"/>
              <w:rPr>
                <w:rFonts w:ascii="Arial" w:hAnsi="Arial" w:cs="Arial"/>
                <w:color w:val="000000"/>
                <w:sz w:val="18"/>
                <w:szCs w:val="18"/>
              </w:rPr>
            </w:pPr>
            <w:r>
              <w:rPr>
                <w:rFonts w:ascii="Arial" w:hAnsi="Arial" w:cs="Arial"/>
                <w:color w:val="000000"/>
                <w:sz w:val="18"/>
                <w:szCs w:val="18"/>
              </w:rPr>
              <w:t>%</w:t>
            </w:r>
          </w:p>
        </w:tc>
        <w:tc>
          <w:tcPr>
            <w:tcW w:w="101" w:type="dxa"/>
            <w:tcBorders>
              <w:top w:val="nil"/>
              <w:left w:val="nil"/>
              <w:bottom w:val="nil"/>
              <w:right w:val="nil"/>
            </w:tcBorders>
            <w:vAlign w:val="bottom"/>
          </w:tcPr>
          <w:p w:rsidR="0073298C" w:rsidRDefault="0073298C" w:rsidP="0073298C">
            <w:pPr>
              <w:spacing w:before="22" w:after="22"/>
              <w:ind w:left="22" w:right="22"/>
              <w:rPr>
                <w:color w:val="000000"/>
              </w:rPr>
            </w:pPr>
            <w:r>
              <w:rPr>
                <w:color w:val="000000"/>
              </w:rPr>
              <w:t> </w:t>
            </w:r>
          </w:p>
        </w:tc>
        <w:tc>
          <w:tcPr>
            <w:tcW w:w="1410" w:type="dxa"/>
            <w:gridSpan w:val="2"/>
            <w:tcBorders>
              <w:top w:val="nil"/>
              <w:left w:val="nil"/>
              <w:bottom w:val="nil"/>
              <w:right w:val="nil"/>
            </w:tcBorders>
            <w:vAlign w:val="bottom"/>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17.4</w:t>
            </w:r>
          </w:p>
        </w:tc>
        <w:tc>
          <w:tcPr>
            <w:tcW w:w="229" w:type="dxa"/>
            <w:tcBorders>
              <w:top w:val="nil"/>
              <w:left w:val="nil"/>
              <w:bottom w:val="nil"/>
              <w:right w:val="nil"/>
            </w:tcBorders>
            <w:vAlign w:val="bottom"/>
          </w:tcPr>
          <w:p w:rsidR="0073298C" w:rsidRDefault="0073298C" w:rsidP="0073298C">
            <w:pPr>
              <w:spacing w:before="22" w:after="22"/>
              <w:ind w:right="22"/>
              <w:rPr>
                <w:rFonts w:ascii="Arial" w:hAnsi="Arial" w:cs="Arial"/>
                <w:color w:val="000000"/>
                <w:sz w:val="18"/>
                <w:szCs w:val="18"/>
              </w:rPr>
            </w:pPr>
            <w:r>
              <w:rPr>
                <w:rFonts w:ascii="Arial" w:hAnsi="Arial" w:cs="Arial"/>
                <w:color w:val="000000"/>
                <w:sz w:val="18"/>
                <w:szCs w:val="18"/>
              </w:rPr>
              <w:t>%</w:t>
            </w:r>
          </w:p>
        </w:tc>
        <w:tc>
          <w:tcPr>
            <w:tcW w:w="101" w:type="dxa"/>
            <w:tcBorders>
              <w:top w:val="nil"/>
              <w:left w:val="nil"/>
              <w:bottom w:val="nil"/>
              <w:right w:val="nil"/>
            </w:tcBorders>
            <w:vAlign w:val="bottom"/>
          </w:tcPr>
          <w:p w:rsidR="0073298C" w:rsidRDefault="0073298C" w:rsidP="0073298C">
            <w:pPr>
              <w:spacing w:before="22" w:after="22"/>
              <w:ind w:left="22" w:right="22"/>
              <w:rPr>
                <w:color w:val="000000"/>
              </w:rPr>
            </w:pPr>
            <w:r>
              <w:rPr>
                <w:color w:val="000000"/>
              </w:rPr>
              <w:t> </w:t>
            </w:r>
          </w:p>
        </w:tc>
        <w:tc>
          <w:tcPr>
            <w:tcW w:w="1462" w:type="dxa"/>
            <w:gridSpan w:val="2"/>
            <w:tcBorders>
              <w:top w:val="nil"/>
              <w:left w:val="nil"/>
              <w:bottom w:val="nil"/>
              <w:right w:val="nil"/>
            </w:tcBorders>
            <w:vAlign w:val="bottom"/>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7.1</w:t>
            </w:r>
          </w:p>
        </w:tc>
        <w:tc>
          <w:tcPr>
            <w:tcW w:w="281" w:type="dxa"/>
            <w:tcBorders>
              <w:top w:val="nil"/>
              <w:left w:val="nil"/>
              <w:bottom w:val="nil"/>
              <w:right w:val="nil"/>
            </w:tcBorders>
            <w:vAlign w:val="bottom"/>
          </w:tcPr>
          <w:p w:rsidR="0073298C" w:rsidRDefault="0073298C" w:rsidP="0073298C">
            <w:pPr>
              <w:spacing w:before="22" w:after="22"/>
              <w:ind w:right="22"/>
              <w:rPr>
                <w:rFonts w:ascii="Arial" w:hAnsi="Arial" w:cs="Arial"/>
                <w:color w:val="000000"/>
                <w:sz w:val="18"/>
                <w:szCs w:val="18"/>
              </w:rPr>
            </w:pPr>
            <w:r>
              <w:rPr>
                <w:rFonts w:ascii="Arial" w:hAnsi="Arial" w:cs="Arial"/>
                <w:color w:val="000000"/>
                <w:sz w:val="18"/>
                <w:szCs w:val="18"/>
              </w:rPr>
              <w:t>%</w:t>
            </w:r>
          </w:p>
        </w:tc>
        <w:tc>
          <w:tcPr>
            <w:tcW w:w="101" w:type="dxa"/>
            <w:tcBorders>
              <w:top w:val="nil"/>
              <w:left w:val="nil"/>
              <w:bottom w:val="nil"/>
              <w:right w:val="nil"/>
            </w:tcBorders>
            <w:vAlign w:val="bottom"/>
          </w:tcPr>
          <w:p w:rsidR="0073298C" w:rsidRDefault="0073298C" w:rsidP="0073298C">
            <w:pPr>
              <w:spacing w:before="22" w:after="22"/>
              <w:ind w:left="22" w:right="22"/>
              <w:rPr>
                <w:color w:val="000000"/>
              </w:rPr>
            </w:pPr>
            <w:r>
              <w:rPr>
                <w:color w:val="000000"/>
              </w:rPr>
              <w:t> </w:t>
            </w:r>
          </w:p>
        </w:tc>
        <w:tc>
          <w:tcPr>
            <w:tcW w:w="1426" w:type="dxa"/>
            <w:gridSpan w:val="2"/>
            <w:tcBorders>
              <w:top w:val="nil"/>
              <w:left w:val="nil"/>
              <w:bottom w:val="nil"/>
              <w:right w:val="nil"/>
            </w:tcBorders>
            <w:vAlign w:val="bottom"/>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N/A</w:t>
            </w:r>
          </w:p>
        </w:tc>
        <w:tc>
          <w:tcPr>
            <w:tcW w:w="251" w:type="dxa"/>
            <w:tcBorders>
              <w:top w:val="nil"/>
              <w:left w:val="nil"/>
              <w:bottom w:val="nil"/>
              <w:right w:val="single" w:sz="6" w:space="0" w:color="00467E"/>
            </w:tcBorders>
            <w:vAlign w:val="bottom"/>
          </w:tcPr>
          <w:p w:rsidR="0073298C" w:rsidRDefault="0073298C" w:rsidP="0073298C">
            <w:pPr>
              <w:spacing w:before="22" w:after="22"/>
              <w:ind w:left="22"/>
              <w:jc w:val="right"/>
              <w:rPr>
                <w:rFonts w:ascii="Arial" w:hAnsi="Arial" w:cs="Arial"/>
                <w:color w:val="000000"/>
                <w:sz w:val="18"/>
                <w:szCs w:val="18"/>
              </w:rPr>
            </w:pPr>
          </w:p>
          <w:p w:rsidR="0073298C" w:rsidRDefault="0073298C" w:rsidP="0073298C">
            <w:pPr>
              <w:rPr>
                <w:sz w:val="16"/>
                <w:szCs w:val="16"/>
              </w:rPr>
            </w:pPr>
            <w:r>
              <w:rPr>
                <w:sz w:val="16"/>
                <w:szCs w:val="16"/>
              </w:rPr>
              <w:t> </w:t>
            </w:r>
          </w:p>
        </w:tc>
      </w:tr>
      <w:tr w:rsidR="0073298C" w:rsidTr="0073298C">
        <w:tblPrEx>
          <w:tblCellMar>
            <w:top w:w="0" w:type="dxa"/>
            <w:left w:w="0" w:type="dxa"/>
            <w:bottom w:w="0" w:type="dxa"/>
            <w:right w:w="0" w:type="dxa"/>
          </w:tblCellMar>
        </w:tblPrEx>
        <w:trPr>
          <w:trHeight w:val="281"/>
          <w:jc w:val="center"/>
        </w:trPr>
        <w:tc>
          <w:tcPr>
            <w:tcW w:w="3799" w:type="dxa"/>
            <w:tcBorders>
              <w:top w:val="nil"/>
              <w:left w:val="single" w:sz="6" w:space="0" w:color="00467E"/>
              <w:bottom w:val="nil"/>
              <w:right w:val="nil"/>
            </w:tcBorders>
            <w:shd w:val="clear" w:color="CFD4D8" w:fill="CFD4D8"/>
            <w:vAlign w:val="bottom"/>
          </w:tcPr>
          <w:p w:rsidR="0073298C" w:rsidRDefault="0073298C" w:rsidP="0073298C">
            <w:pPr>
              <w:spacing w:before="22" w:after="22"/>
              <w:ind w:left="22" w:right="22"/>
              <w:rPr>
                <w:rFonts w:ascii="Arial" w:hAnsi="Arial" w:cs="Arial"/>
                <w:color w:val="000000"/>
                <w:sz w:val="16"/>
                <w:szCs w:val="16"/>
                <w:vertAlign w:val="superscript"/>
              </w:rPr>
            </w:pPr>
            <w:r>
              <w:rPr>
                <w:rFonts w:ascii="Arial" w:hAnsi="Arial" w:cs="Arial"/>
                <w:color w:val="000000"/>
                <w:sz w:val="18"/>
                <w:szCs w:val="18"/>
              </w:rPr>
              <w:t>Average length of haul (miles)</w:t>
            </w:r>
            <w:r>
              <w:rPr>
                <w:rFonts w:ascii="Arial" w:hAnsi="Arial" w:cs="Arial"/>
                <w:color w:val="000000"/>
                <w:sz w:val="16"/>
                <w:szCs w:val="16"/>
                <w:vertAlign w:val="superscript"/>
              </w:rPr>
              <w:t> (1)</w:t>
            </w:r>
          </w:p>
        </w:tc>
        <w:tc>
          <w:tcPr>
            <w:tcW w:w="1410" w:type="dxa"/>
            <w:gridSpan w:val="2"/>
            <w:tcBorders>
              <w:top w:val="nil"/>
              <w:left w:val="nil"/>
              <w:bottom w:val="nil"/>
              <w:right w:val="nil"/>
            </w:tcBorders>
            <w:shd w:val="clear" w:color="CFD4D8" w:fill="CFD4D8"/>
            <w:vAlign w:val="bottom"/>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610</w:t>
            </w:r>
          </w:p>
        </w:tc>
        <w:tc>
          <w:tcPr>
            <w:tcW w:w="229" w:type="dxa"/>
            <w:tcBorders>
              <w:top w:val="nil"/>
              <w:left w:val="nil"/>
              <w:bottom w:val="nil"/>
              <w:right w:val="nil"/>
            </w:tcBorders>
            <w:shd w:val="clear" w:color="CFD4D8" w:fill="CFD4D8"/>
            <w:vAlign w:val="bottom"/>
          </w:tcPr>
          <w:p w:rsidR="0073298C" w:rsidRDefault="0073298C" w:rsidP="0073298C">
            <w:pPr>
              <w:spacing w:before="22" w:after="22"/>
              <w:ind w:left="22"/>
              <w:jc w:val="right"/>
              <w:rPr>
                <w:rFonts w:ascii="Arial" w:hAnsi="Arial" w:cs="Arial"/>
                <w:color w:val="000000"/>
                <w:sz w:val="18"/>
                <w:szCs w:val="18"/>
              </w:rPr>
            </w:pPr>
          </w:p>
          <w:p w:rsidR="0073298C" w:rsidRDefault="0073298C" w:rsidP="0073298C">
            <w:pPr>
              <w:rPr>
                <w:sz w:val="16"/>
                <w:szCs w:val="16"/>
              </w:rPr>
            </w:pPr>
            <w:r>
              <w:rPr>
                <w:sz w:val="16"/>
                <w:szCs w:val="16"/>
              </w:rPr>
              <w:t> </w:t>
            </w:r>
          </w:p>
        </w:tc>
        <w:tc>
          <w:tcPr>
            <w:tcW w:w="101" w:type="dxa"/>
            <w:tcBorders>
              <w:top w:val="nil"/>
              <w:left w:val="nil"/>
              <w:bottom w:val="nil"/>
              <w:right w:val="nil"/>
            </w:tcBorders>
            <w:shd w:val="clear" w:color="CFD4D8" w:fill="CFD4D8"/>
            <w:vAlign w:val="bottom"/>
          </w:tcPr>
          <w:p w:rsidR="0073298C" w:rsidRDefault="0073298C" w:rsidP="0073298C">
            <w:pPr>
              <w:spacing w:before="22" w:after="22"/>
              <w:ind w:left="22" w:right="22"/>
              <w:rPr>
                <w:color w:val="000000"/>
              </w:rPr>
            </w:pPr>
            <w:r>
              <w:rPr>
                <w:color w:val="000000"/>
              </w:rPr>
              <w:t> </w:t>
            </w:r>
          </w:p>
        </w:tc>
        <w:tc>
          <w:tcPr>
            <w:tcW w:w="1410" w:type="dxa"/>
            <w:gridSpan w:val="2"/>
            <w:tcBorders>
              <w:top w:val="nil"/>
              <w:left w:val="nil"/>
              <w:bottom w:val="nil"/>
              <w:right w:val="nil"/>
            </w:tcBorders>
            <w:shd w:val="clear" w:color="CFD4D8" w:fill="CFD4D8"/>
            <w:vAlign w:val="bottom"/>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191</w:t>
            </w:r>
          </w:p>
        </w:tc>
        <w:tc>
          <w:tcPr>
            <w:tcW w:w="229" w:type="dxa"/>
            <w:tcBorders>
              <w:top w:val="nil"/>
              <w:left w:val="nil"/>
              <w:bottom w:val="nil"/>
              <w:right w:val="nil"/>
            </w:tcBorders>
            <w:shd w:val="clear" w:color="CFD4D8" w:fill="CFD4D8"/>
            <w:vAlign w:val="bottom"/>
          </w:tcPr>
          <w:p w:rsidR="0073298C" w:rsidRDefault="0073298C" w:rsidP="0073298C">
            <w:pPr>
              <w:spacing w:before="22" w:after="22"/>
              <w:ind w:left="22"/>
              <w:jc w:val="right"/>
              <w:rPr>
                <w:rFonts w:ascii="Arial" w:hAnsi="Arial" w:cs="Arial"/>
                <w:color w:val="000000"/>
                <w:sz w:val="18"/>
                <w:szCs w:val="18"/>
              </w:rPr>
            </w:pPr>
          </w:p>
          <w:p w:rsidR="0073298C" w:rsidRDefault="0073298C" w:rsidP="0073298C">
            <w:pPr>
              <w:rPr>
                <w:sz w:val="16"/>
                <w:szCs w:val="16"/>
              </w:rPr>
            </w:pPr>
            <w:r>
              <w:rPr>
                <w:sz w:val="16"/>
                <w:szCs w:val="16"/>
              </w:rPr>
              <w:t> </w:t>
            </w:r>
          </w:p>
        </w:tc>
        <w:tc>
          <w:tcPr>
            <w:tcW w:w="101" w:type="dxa"/>
            <w:tcBorders>
              <w:top w:val="nil"/>
              <w:left w:val="nil"/>
              <w:bottom w:val="nil"/>
              <w:right w:val="nil"/>
            </w:tcBorders>
            <w:shd w:val="clear" w:color="CFD4D8" w:fill="CFD4D8"/>
            <w:vAlign w:val="bottom"/>
          </w:tcPr>
          <w:p w:rsidR="0073298C" w:rsidRDefault="0073298C" w:rsidP="0073298C">
            <w:pPr>
              <w:spacing w:before="22" w:after="22"/>
              <w:ind w:left="22" w:right="22"/>
              <w:rPr>
                <w:color w:val="000000"/>
              </w:rPr>
            </w:pPr>
            <w:r>
              <w:rPr>
                <w:color w:val="000000"/>
              </w:rPr>
              <w:t> </w:t>
            </w:r>
          </w:p>
        </w:tc>
        <w:tc>
          <w:tcPr>
            <w:tcW w:w="1462" w:type="dxa"/>
            <w:gridSpan w:val="2"/>
            <w:tcBorders>
              <w:top w:val="nil"/>
              <w:left w:val="nil"/>
              <w:bottom w:val="nil"/>
              <w:right w:val="nil"/>
            </w:tcBorders>
            <w:shd w:val="clear" w:color="CFD4D8" w:fill="CFD4D8"/>
            <w:vAlign w:val="bottom"/>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394</w:t>
            </w:r>
          </w:p>
        </w:tc>
        <w:tc>
          <w:tcPr>
            <w:tcW w:w="281" w:type="dxa"/>
            <w:tcBorders>
              <w:top w:val="nil"/>
              <w:left w:val="nil"/>
              <w:bottom w:val="nil"/>
              <w:right w:val="nil"/>
            </w:tcBorders>
            <w:shd w:val="clear" w:color="CFD4D8" w:fill="CFD4D8"/>
            <w:vAlign w:val="bottom"/>
          </w:tcPr>
          <w:p w:rsidR="0073298C" w:rsidRDefault="0073298C" w:rsidP="0073298C">
            <w:pPr>
              <w:spacing w:before="22" w:after="22"/>
              <w:ind w:left="22"/>
              <w:jc w:val="right"/>
              <w:rPr>
                <w:rFonts w:ascii="Arial" w:hAnsi="Arial" w:cs="Arial"/>
                <w:color w:val="000000"/>
                <w:sz w:val="18"/>
                <w:szCs w:val="18"/>
              </w:rPr>
            </w:pPr>
          </w:p>
          <w:p w:rsidR="0073298C" w:rsidRDefault="0073298C" w:rsidP="0073298C">
            <w:pPr>
              <w:rPr>
                <w:sz w:val="16"/>
                <w:szCs w:val="16"/>
              </w:rPr>
            </w:pPr>
            <w:r>
              <w:rPr>
                <w:sz w:val="16"/>
                <w:szCs w:val="16"/>
              </w:rPr>
              <w:t> </w:t>
            </w:r>
          </w:p>
        </w:tc>
        <w:tc>
          <w:tcPr>
            <w:tcW w:w="101" w:type="dxa"/>
            <w:tcBorders>
              <w:top w:val="nil"/>
              <w:left w:val="nil"/>
              <w:bottom w:val="nil"/>
              <w:right w:val="nil"/>
            </w:tcBorders>
            <w:shd w:val="clear" w:color="CFD4D8" w:fill="CFD4D8"/>
            <w:vAlign w:val="bottom"/>
          </w:tcPr>
          <w:p w:rsidR="0073298C" w:rsidRDefault="0073298C" w:rsidP="0073298C">
            <w:pPr>
              <w:spacing w:before="22" w:after="22"/>
              <w:ind w:left="22" w:right="22"/>
              <w:rPr>
                <w:color w:val="000000"/>
              </w:rPr>
            </w:pPr>
            <w:r>
              <w:rPr>
                <w:color w:val="000000"/>
              </w:rPr>
              <w:t> </w:t>
            </w:r>
          </w:p>
        </w:tc>
        <w:tc>
          <w:tcPr>
            <w:tcW w:w="1426" w:type="dxa"/>
            <w:gridSpan w:val="2"/>
            <w:tcBorders>
              <w:top w:val="nil"/>
              <w:left w:val="nil"/>
              <w:bottom w:val="nil"/>
              <w:right w:val="nil"/>
            </w:tcBorders>
            <w:shd w:val="clear" w:color="CFD4D8" w:fill="CFD4D8"/>
            <w:vAlign w:val="bottom"/>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N/A</w:t>
            </w:r>
          </w:p>
        </w:tc>
        <w:tc>
          <w:tcPr>
            <w:tcW w:w="251" w:type="dxa"/>
            <w:tcBorders>
              <w:top w:val="nil"/>
              <w:left w:val="nil"/>
              <w:bottom w:val="nil"/>
              <w:right w:val="single" w:sz="6" w:space="0" w:color="00467E"/>
            </w:tcBorders>
            <w:shd w:val="clear" w:color="CFD4D8" w:fill="CFD4D8"/>
            <w:vAlign w:val="bottom"/>
          </w:tcPr>
          <w:p w:rsidR="0073298C" w:rsidRDefault="0073298C" w:rsidP="0073298C">
            <w:pPr>
              <w:spacing w:before="22" w:after="22"/>
              <w:ind w:left="22"/>
              <w:jc w:val="right"/>
              <w:rPr>
                <w:rFonts w:ascii="Arial" w:hAnsi="Arial" w:cs="Arial"/>
                <w:color w:val="000000"/>
                <w:sz w:val="18"/>
                <w:szCs w:val="18"/>
              </w:rPr>
            </w:pPr>
          </w:p>
          <w:p w:rsidR="0073298C" w:rsidRDefault="0073298C" w:rsidP="0073298C">
            <w:pPr>
              <w:rPr>
                <w:sz w:val="16"/>
                <w:szCs w:val="16"/>
              </w:rPr>
            </w:pPr>
            <w:r>
              <w:rPr>
                <w:sz w:val="16"/>
                <w:szCs w:val="16"/>
              </w:rPr>
              <w:t> </w:t>
            </w:r>
          </w:p>
        </w:tc>
      </w:tr>
      <w:tr w:rsidR="0073298C" w:rsidTr="0073298C">
        <w:tblPrEx>
          <w:tblCellMar>
            <w:top w:w="0" w:type="dxa"/>
            <w:left w:w="0" w:type="dxa"/>
            <w:bottom w:w="0" w:type="dxa"/>
            <w:right w:w="0" w:type="dxa"/>
          </w:tblCellMar>
        </w:tblPrEx>
        <w:trPr>
          <w:trHeight w:val="281"/>
          <w:jc w:val="center"/>
        </w:trPr>
        <w:tc>
          <w:tcPr>
            <w:tcW w:w="3799" w:type="dxa"/>
            <w:tcBorders>
              <w:top w:val="nil"/>
              <w:left w:val="single" w:sz="6" w:space="0" w:color="00467E"/>
              <w:bottom w:val="nil"/>
              <w:right w:val="nil"/>
            </w:tcBorders>
            <w:vAlign w:val="bottom"/>
          </w:tcPr>
          <w:p w:rsidR="0073298C" w:rsidRDefault="0073298C" w:rsidP="0073298C">
            <w:pPr>
              <w:spacing w:before="22" w:after="22"/>
              <w:ind w:left="22" w:right="22"/>
              <w:rPr>
                <w:rFonts w:ascii="Arial" w:hAnsi="Arial" w:cs="Arial"/>
                <w:color w:val="000000"/>
                <w:sz w:val="16"/>
                <w:szCs w:val="16"/>
                <w:vertAlign w:val="superscript"/>
              </w:rPr>
            </w:pPr>
            <w:r>
              <w:rPr>
                <w:rFonts w:ascii="Arial" w:hAnsi="Arial" w:cs="Arial"/>
                <w:color w:val="000000"/>
                <w:sz w:val="18"/>
                <w:szCs w:val="18"/>
              </w:rPr>
              <w:t>Average tractors</w:t>
            </w:r>
            <w:r>
              <w:rPr>
                <w:rFonts w:ascii="Arial" w:hAnsi="Arial" w:cs="Arial"/>
                <w:color w:val="000000"/>
                <w:sz w:val="16"/>
                <w:szCs w:val="16"/>
                <w:vertAlign w:val="superscript"/>
              </w:rPr>
              <w:t> (1) (2)</w:t>
            </w:r>
          </w:p>
        </w:tc>
        <w:tc>
          <w:tcPr>
            <w:tcW w:w="1410" w:type="dxa"/>
            <w:gridSpan w:val="2"/>
            <w:tcBorders>
              <w:top w:val="nil"/>
              <w:left w:val="nil"/>
              <w:bottom w:val="nil"/>
              <w:right w:val="nil"/>
            </w:tcBorders>
            <w:vAlign w:val="bottom"/>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2,727</w:t>
            </w:r>
          </w:p>
        </w:tc>
        <w:tc>
          <w:tcPr>
            <w:tcW w:w="229" w:type="dxa"/>
            <w:tcBorders>
              <w:top w:val="nil"/>
              <w:left w:val="nil"/>
              <w:bottom w:val="nil"/>
              <w:right w:val="nil"/>
            </w:tcBorders>
            <w:vAlign w:val="bottom"/>
          </w:tcPr>
          <w:p w:rsidR="0073298C" w:rsidRDefault="0073298C" w:rsidP="0073298C">
            <w:pPr>
              <w:spacing w:before="22" w:after="22"/>
              <w:ind w:left="22"/>
              <w:jc w:val="right"/>
              <w:rPr>
                <w:rFonts w:ascii="Arial" w:hAnsi="Arial" w:cs="Arial"/>
                <w:color w:val="000000"/>
                <w:sz w:val="18"/>
                <w:szCs w:val="18"/>
              </w:rPr>
            </w:pPr>
          </w:p>
          <w:p w:rsidR="0073298C" w:rsidRDefault="0073298C" w:rsidP="0073298C">
            <w:pPr>
              <w:rPr>
                <w:sz w:val="16"/>
                <w:szCs w:val="16"/>
              </w:rPr>
            </w:pPr>
            <w:r>
              <w:rPr>
                <w:sz w:val="16"/>
                <w:szCs w:val="16"/>
              </w:rPr>
              <w:t> </w:t>
            </w:r>
          </w:p>
        </w:tc>
        <w:tc>
          <w:tcPr>
            <w:tcW w:w="101" w:type="dxa"/>
            <w:tcBorders>
              <w:top w:val="nil"/>
              <w:left w:val="nil"/>
              <w:bottom w:val="nil"/>
              <w:right w:val="nil"/>
            </w:tcBorders>
            <w:vAlign w:val="bottom"/>
          </w:tcPr>
          <w:p w:rsidR="0073298C" w:rsidRDefault="0073298C" w:rsidP="0073298C">
            <w:pPr>
              <w:spacing w:before="22" w:after="22"/>
              <w:ind w:left="22" w:right="22"/>
              <w:rPr>
                <w:color w:val="000000"/>
              </w:rPr>
            </w:pPr>
            <w:r>
              <w:rPr>
                <w:color w:val="000000"/>
              </w:rPr>
              <w:t> </w:t>
            </w:r>
          </w:p>
        </w:tc>
        <w:tc>
          <w:tcPr>
            <w:tcW w:w="1410" w:type="dxa"/>
            <w:gridSpan w:val="2"/>
            <w:tcBorders>
              <w:top w:val="nil"/>
              <w:left w:val="nil"/>
              <w:bottom w:val="nil"/>
              <w:right w:val="nil"/>
            </w:tcBorders>
            <w:vAlign w:val="bottom"/>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957</w:t>
            </w:r>
          </w:p>
        </w:tc>
        <w:tc>
          <w:tcPr>
            <w:tcW w:w="229" w:type="dxa"/>
            <w:tcBorders>
              <w:top w:val="nil"/>
              <w:left w:val="nil"/>
              <w:bottom w:val="nil"/>
              <w:right w:val="nil"/>
            </w:tcBorders>
            <w:vAlign w:val="bottom"/>
          </w:tcPr>
          <w:p w:rsidR="0073298C" w:rsidRDefault="0073298C" w:rsidP="0073298C">
            <w:pPr>
              <w:spacing w:before="22" w:after="22"/>
              <w:ind w:left="22"/>
              <w:jc w:val="right"/>
              <w:rPr>
                <w:rFonts w:ascii="Arial" w:hAnsi="Arial" w:cs="Arial"/>
                <w:color w:val="000000"/>
                <w:sz w:val="18"/>
                <w:szCs w:val="18"/>
              </w:rPr>
            </w:pPr>
          </w:p>
          <w:p w:rsidR="0073298C" w:rsidRDefault="0073298C" w:rsidP="0073298C">
            <w:pPr>
              <w:rPr>
                <w:sz w:val="16"/>
                <w:szCs w:val="16"/>
              </w:rPr>
            </w:pPr>
            <w:r>
              <w:rPr>
                <w:sz w:val="16"/>
                <w:szCs w:val="16"/>
              </w:rPr>
              <w:t> </w:t>
            </w:r>
          </w:p>
        </w:tc>
        <w:tc>
          <w:tcPr>
            <w:tcW w:w="101" w:type="dxa"/>
            <w:tcBorders>
              <w:top w:val="nil"/>
              <w:left w:val="nil"/>
              <w:bottom w:val="nil"/>
              <w:right w:val="nil"/>
            </w:tcBorders>
            <w:vAlign w:val="bottom"/>
          </w:tcPr>
          <w:p w:rsidR="0073298C" w:rsidRDefault="0073298C" w:rsidP="0073298C">
            <w:pPr>
              <w:spacing w:before="22" w:after="22"/>
              <w:ind w:left="22" w:right="22"/>
              <w:rPr>
                <w:color w:val="000000"/>
              </w:rPr>
            </w:pPr>
            <w:r>
              <w:rPr>
                <w:color w:val="000000"/>
              </w:rPr>
              <w:t> </w:t>
            </w:r>
          </w:p>
        </w:tc>
        <w:tc>
          <w:tcPr>
            <w:tcW w:w="1462" w:type="dxa"/>
            <w:gridSpan w:val="2"/>
            <w:tcBorders>
              <w:top w:val="nil"/>
              <w:left w:val="nil"/>
              <w:bottom w:val="nil"/>
              <w:right w:val="nil"/>
            </w:tcBorders>
            <w:vAlign w:val="bottom"/>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1,179</w:t>
            </w:r>
          </w:p>
        </w:tc>
        <w:tc>
          <w:tcPr>
            <w:tcW w:w="281" w:type="dxa"/>
            <w:tcBorders>
              <w:top w:val="nil"/>
              <w:left w:val="nil"/>
              <w:bottom w:val="nil"/>
              <w:right w:val="nil"/>
            </w:tcBorders>
            <w:vAlign w:val="bottom"/>
          </w:tcPr>
          <w:p w:rsidR="0073298C" w:rsidRDefault="0073298C" w:rsidP="0073298C">
            <w:pPr>
              <w:spacing w:before="22" w:after="22"/>
              <w:ind w:left="22"/>
              <w:jc w:val="right"/>
              <w:rPr>
                <w:rFonts w:ascii="Arial" w:hAnsi="Arial" w:cs="Arial"/>
                <w:color w:val="000000"/>
                <w:sz w:val="18"/>
                <w:szCs w:val="18"/>
              </w:rPr>
            </w:pPr>
          </w:p>
          <w:p w:rsidR="0073298C" w:rsidRDefault="0073298C" w:rsidP="0073298C">
            <w:pPr>
              <w:rPr>
                <w:sz w:val="16"/>
                <w:szCs w:val="16"/>
              </w:rPr>
            </w:pPr>
            <w:r>
              <w:rPr>
                <w:sz w:val="16"/>
                <w:szCs w:val="16"/>
              </w:rPr>
              <w:t> </w:t>
            </w:r>
          </w:p>
        </w:tc>
        <w:tc>
          <w:tcPr>
            <w:tcW w:w="101" w:type="dxa"/>
            <w:tcBorders>
              <w:top w:val="nil"/>
              <w:left w:val="nil"/>
              <w:bottom w:val="nil"/>
              <w:right w:val="nil"/>
            </w:tcBorders>
            <w:vAlign w:val="bottom"/>
          </w:tcPr>
          <w:p w:rsidR="0073298C" w:rsidRDefault="0073298C" w:rsidP="0073298C">
            <w:pPr>
              <w:spacing w:before="22" w:after="22"/>
              <w:ind w:left="22" w:right="22"/>
              <w:rPr>
                <w:color w:val="000000"/>
              </w:rPr>
            </w:pPr>
            <w:r>
              <w:rPr>
                <w:color w:val="000000"/>
              </w:rPr>
              <w:t> </w:t>
            </w:r>
          </w:p>
        </w:tc>
        <w:tc>
          <w:tcPr>
            <w:tcW w:w="1426" w:type="dxa"/>
            <w:gridSpan w:val="2"/>
            <w:tcBorders>
              <w:top w:val="nil"/>
              <w:left w:val="nil"/>
              <w:bottom w:val="nil"/>
              <w:right w:val="nil"/>
            </w:tcBorders>
            <w:vAlign w:val="bottom"/>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166</w:t>
            </w:r>
          </w:p>
        </w:tc>
        <w:tc>
          <w:tcPr>
            <w:tcW w:w="251" w:type="dxa"/>
            <w:tcBorders>
              <w:top w:val="nil"/>
              <w:left w:val="nil"/>
              <w:bottom w:val="nil"/>
              <w:right w:val="single" w:sz="6" w:space="0" w:color="00467E"/>
            </w:tcBorders>
            <w:vAlign w:val="bottom"/>
          </w:tcPr>
          <w:p w:rsidR="0073298C" w:rsidRDefault="0073298C" w:rsidP="0073298C">
            <w:pPr>
              <w:spacing w:before="22" w:after="22"/>
              <w:ind w:left="22"/>
              <w:jc w:val="right"/>
              <w:rPr>
                <w:rFonts w:ascii="Arial" w:hAnsi="Arial" w:cs="Arial"/>
                <w:color w:val="000000"/>
                <w:sz w:val="18"/>
                <w:szCs w:val="18"/>
              </w:rPr>
            </w:pPr>
          </w:p>
          <w:p w:rsidR="0073298C" w:rsidRDefault="0073298C" w:rsidP="0073298C">
            <w:pPr>
              <w:rPr>
                <w:sz w:val="16"/>
                <w:szCs w:val="16"/>
              </w:rPr>
            </w:pPr>
            <w:r>
              <w:rPr>
                <w:sz w:val="16"/>
                <w:szCs w:val="16"/>
              </w:rPr>
              <w:t> </w:t>
            </w:r>
          </w:p>
        </w:tc>
      </w:tr>
      <w:tr w:rsidR="0073298C" w:rsidTr="0073298C">
        <w:tblPrEx>
          <w:tblCellMar>
            <w:top w:w="0" w:type="dxa"/>
            <w:left w:w="0" w:type="dxa"/>
            <w:bottom w:w="0" w:type="dxa"/>
            <w:right w:w="0" w:type="dxa"/>
          </w:tblCellMar>
        </w:tblPrEx>
        <w:trPr>
          <w:trHeight w:val="479"/>
          <w:jc w:val="center"/>
        </w:trPr>
        <w:tc>
          <w:tcPr>
            <w:tcW w:w="3799" w:type="dxa"/>
            <w:tcBorders>
              <w:top w:val="nil"/>
              <w:left w:val="single" w:sz="6" w:space="0" w:color="00467E"/>
              <w:bottom w:val="single" w:sz="6" w:space="0" w:color="00467E"/>
              <w:right w:val="nil"/>
            </w:tcBorders>
            <w:shd w:val="clear" w:color="CFD4D8" w:fill="CFD4D8"/>
            <w:vAlign w:val="bottom"/>
          </w:tcPr>
          <w:p w:rsidR="0073298C" w:rsidRDefault="0073298C" w:rsidP="0073298C">
            <w:pPr>
              <w:spacing w:before="22" w:after="22"/>
              <w:ind w:left="22" w:right="22"/>
              <w:rPr>
                <w:rFonts w:ascii="Arial" w:hAnsi="Arial" w:cs="Arial"/>
                <w:color w:val="000000"/>
                <w:sz w:val="16"/>
                <w:szCs w:val="16"/>
                <w:vertAlign w:val="superscript"/>
              </w:rPr>
            </w:pPr>
            <w:r>
              <w:rPr>
                <w:rFonts w:ascii="Arial" w:hAnsi="Arial" w:cs="Arial"/>
                <w:color w:val="000000"/>
                <w:sz w:val="18"/>
                <w:szCs w:val="18"/>
              </w:rPr>
              <w:t>Average trailers (containers for Intermodal)</w:t>
            </w:r>
            <w:r>
              <w:rPr>
                <w:rFonts w:ascii="Arial" w:hAnsi="Arial" w:cs="Arial"/>
                <w:color w:val="000000"/>
                <w:sz w:val="16"/>
                <w:szCs w:val="16"/>
                <w:vertAlign w:val="superscript"/>
              </w:rPr>
              <w:t xml:space="preserve">  (1) (2)</w:t>
            </w:r>
          </w:p>
        </w:tc>
        <w:tc>
          <w:tcPr>
            <w:tcW w:w="1410" w:type="dxa"/>
            <w:gridSpan w:val="2"/>
            <w:tcBorders>
              <w:top w:val="nil"/>
              <w:left w:val="nil"/>
              <w:bottom w:val="single" w:sz="6" w:space="0" w:color="00467E"/>
              <w:right w:val="nil"/>
            </w:tcBorders>
            <w:shd w:val="clear" w:color="CFD4D8" w:fill="CFD4D8"/>
            <w:vAlign w:val="bottom"/>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11,176</w:t>
            </w:r>
          </w:p>
        </w:tc>
        <w:tc>
          <w:tcPr>
            <w:tcW w:w="229" w:type="dxa"/>
            <w:tcBorders>
              <w:top w:val="nil"/>
              <w:left w:val="nil"/>
              <w:bottom w:val="single" w:sz="6" w:space="0" w:color="00467E"/>
              <w:right w:val="nil"/>
            </w:tcBorders>
            <w:shd w:val="clear" w:color="CFD4D8" w:fill="CFD4D8"/>
            <w:vAlign w:val="bottom"/>
          </w:tcPr>
          <w:p w:rsidR="0073298C" w:rsidRDefault="0073298C" w:rsidP="0073298C">
            <w:pPr>
              <w:spacing w:before="22" w:after="22"/>
              <w:ind w:left="22"/>
              <w:jc w:val="right"/>
              <w:rPr>
                <w:rFonts w:ascii="Arial" w:hAnsi="Arial" w:cs="Arial"/>
                <w:color w:val="000000"/>
                <w:sz w:val="18"/>
                <w:szCs w:val="18"/>
              </w:rPr>
            </w:pPr>
          </w:p>
          <w:p w:rsidR="0073298C" w:rsidRDefault="0073298C" w:rsidP="0073298C">
            <w:pPr>
              <w:rPr>
                <w:sz w:val="16"/>
                <w:szCs w:val="16"/>
              </w:rPr>
            </w:pPr>
            <w:r>
              <w:rPr>
                <w:sz w:val="16"/>
                <w:szCs w:val="16"/>
              </w:rPr>
              <w:t> </w:t>
            </w:r>
          </w:p>
        </w:tc>
        <w:tc>
          <w:tcPr>
            <w:tcW w:w="101" w:type="dxa"/>
            <w:tcBorders>
              <w:top w:val="nil"/>
              <w:left w:val="nil"/>
              <w:bottom w:val="single" w:sz="6" w:space="0" w:color="00467E"/>
              <w:right w:val="nil"/>
            </w:tcBorders>
            <w:shd w:val="clear" w:color="CFD4D8" w:fill="CFD4D8"/>
            <w:vAlign w:val="bottom"/>
          </w:tcPr>
          <w:p w:rsidR="0073298C" w:rsidRDefault="0073298C" w:rsidP="0073298C">
            <w:pPr>
              <w:spacing w:before="22" w:after="22"/>
              <w:ind w:left="22" w:right="22"/>
              <w:rPr>
                <w:color w:val="000000"/>
              </w:rPr>
            </w:pPr>
            <w:r>
              <w:rPr>
                <w:color w:val="000000"/>
              </w:rPr>
              <w:t> </w:t>
            </w:r>
          </w:p>
        </w:tc>
        <w:tc>
          <w:tcPr>
            <w:tcW w:w="1410" w:type="dxa"/>
            <w:gridSpan w:val="2"/>
            <w:tcBorders>
              <w:top w:val="nil"/>
              <w:left w:val="nil"/>
              <w:bottom w:val="single" w:sz="6" w:space="0" w:color="00467E"/>
              <w:right w:val="nil"/>
            </w:tcBorders>
            <w:shd w:val="clear" w:color="CFD4D8" w:fill="CFD4D8"/>
            <w:vAlign w:val="bottom"/>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4,667</w:t>
            </w:r>
          </w:p>
        </w:tc>
        <w:tc>
          <w:tcPr>
            <w:tcW w:w="229" w:type="dxa"/>
            <w:tcBorders>
              <w:top w:val="nil"/>
              <w:left w:val="nil"/>
              <w:bottom w:val="single" w:sz="6" w:space="0" w:color="00467E"/>
              <w:right w:val="nil"/>
            </w:tcBorders>
            <w:shd w:val="clear" w:color="CFD4D8" w:fill="CFD4D8"/>
            <w:vAlign w:val="bottom"/>
          </w:tcPr>
          <w:p w:rsidR="0073298C" w:rsidRDefault="0073298C" w:rsidP="0073298C">
            <w:pPr>
              <w:spacing w:before="22" w:after="22"/>
              <w:ind w:left="22"/>
              <w:jc w:val="right"/>
              <w:rPr>
                <w:rFonts w:ascii="Arial" w:hAnsi="Arial" w:cs="Arial"/>
                <w:color w:val="000000"/>
                <w:sz w:val="18"/>
                <w:szCs w:val="18"/>
              </w:rPr>
            </w:pPr>
          </w:p>
          <w:p w:rsidR="0073298C" w:rsidRDefault="0073298C" w:rsidP="0073298C">
            <w:pPr>
              <w:rPr>
                <w:sz w:val="16"/>
                <w:szCs w:val="16"/>
              </w:rPr>
            </w:pPr>
            <w:r>
              <w:rPr>
                <w:sz w:val="16"/>
                <w:szCs w:val="16"/>
              </w:rPr>
              <w:t> </w:t>
            </w:r>
          </w:p>
        </w:tc>
        <w:tc>
          <w:tcPr>
            <w:tcW w:w="101" w:type="dxa"/>
            <w:tcBorders>
              <w:top w:val="nil"/>
              <w:left w:val="nil"/>
              <w:bottom w:val="single" w:sz="6" w:space="0" w:color="00467E"/>
              <w:right w:val="nil"/>
            </w:tcBorders>
            <w:shd w:val="clear" w:color="CFD4D8" w:fill="CFD4D8"/>
            <w:vAlign w:val="bottom"/>
          </w:tcPr>
          <w:p w:rsidR="0073298C" w:rsidRDefault="0073298C" w:rsidP="0073298C">
            <w:pPr>
              <w:spacing w:before="22" w:after="22"/>
              <w:ind w:left="22" w:right="22"/>
              <w:rPr>
                <w:color w:val="000000"/>
              </w:rPr>
            </w:pPr>
            <w:r>
              <w:rPr>
                <w:color w:val="000000"/>
              </w:rPr>
              <w:t> </w:t>
            </w:r>
          </w:p>
        </w:tc>
        <w:tc>
          <w:tcPr>
            <w:tcW w:w="1462" w:type="dxa"/>
            <w:gridSpan w:val="2"/>
            <w:tcBorders>
              <w:top w:val="nil"/>
              <w:left w:val="nil"/>
              <w:bottom w:val="single" w:sz="6" w:space="0" w:color="00467E"/>
              <w:right w:val="nil"/>
            </w:tcBorders>
            <w:shd w:val="clear" w:color="CFD4D8" w:fill="CFD4D8"/>
            <w:vAlign w:val="bottom"/>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1,353</w:t>
            </w:r>
          </w:p>
        </w:tc>
        <w:tc>
          <w:tcPr>
            <w:tcW w:w="281" w:type="dxa"/>
            <w:tcBorders>
              <w:top w:val="nil"/>
              <w:left w:val="nil"/>
              <w:bottom w:val="single" w:sz="6" w:space="0" w:color="00467E"/>
              <w:right w:val="nil"/>
            </w:tcBorders>
            <w:shd w:val="clear" w:color="CFD4D8" w:fill="CFD4D8"/>
            <w:vAlign w:val="bottom"/>
          </w:tcPr>
          <w:p w:rsidR="0073298C" w:rsidRDefault="0073298C" w:rsidP="0073298C">
            <w:pPr>
              <w:spacing w:before="22" w:after="22"/>
              <w:ind w:left="22"/>
              <w:jc w:val="right"/>
              <w:rPr>
                <w:rFonts w:ascii="Arial" w:hAnsi="Arial" w:cs="Arial"/>
                <w:color w:val="000000"/>
                <w:sz w:val="18"/>
                <w:szCs w:val="18"/>
              </w:rPr>
            </w:pPr>
          </w:p>
          <w:p w:rsidR="0073298C" w:rsidRDefault="0073298C" w:rsidP="0073298C">
            <w:pPr>
              <w:rPr>
                <w:sz w:val="16"/>
                <w:szCs w:val="16"/>
              </w:rPr>
            </w:pPr>
            <w:r>
              <w:rPr>
                <w:sz w:val="16"/>
                <w:szCs w:val="16"/>
              </w:rPr>
              <w:t> </w:t>
            </w:r>
          </w:p>
        </w:tc>
        <w:tc>
          <w:tcPr>
            <w:tcW w:w="101" w:type="dxa"/>
            <w:tcBorders>
              <w:top w:val="nil"/>
              <w:left w:val="nil"/>
              <w:bottom w:val="single" w:sz="6" w:space="0" w:color="00467E"/>
              <w:right w:val="nil"/>
            </w:tcBorders>
            <w:shd w:val="clear" w:color="CFD4D8" w:fill="CFD4D8"/>
            <w:vAlign w:val="bottom"/>
          </w:tcPr>
          <w:p w:rsidR="0073298C" w:rsidRDefault="0073298C" w:rsidP="0073298C">
            <w:pPr>
              <w:spacing w:before="22" w:after="22"/>
              <w:ind w:left="22" w:right="22"/>
              <w:rPr>
                <w:color w:val="000000"/>
              </w:rPr>
            </w:pPr>
            <w:r>
              <w:rPr>
                <w:color w:val="000000"/>
              </w:rPr>
              <w:t> </w:t>
            </w:r>
          </w:p>
        </w:tc>
        <w:tc>
          <w:tcPr>
            <w:tcW w:w="1426" w:type="dxa"/>
            <w:gridSpan w:val="2"/>
            <w:tcBorders>
              <w:top w:val="nil"/>
              <w:left w:val="nil"/>
              <w:bottom w:val="single" w:sz="6" w:space="0" w:color="00467E"/>
              <w:right w:val="nil"/>
            </w:tcBorders>
            <w:shd w:val="clear" w:color="CFD4D8" w:fill="CFD4D8"/>
            <w:vAlign w:val="bottom"/>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9,122</w:t>
            </w:r>
          </w:p>
        </w:tc>
        <w:tc>
          <w:tcPr>
            <w:tcW w:w="251" w:type="dxa"/>
            <w:tcBorders>
              <w:top w:val="nil"/>
              <w:left w:val="nil"/>
              <w:bottom w:val="single" w:sz="6" w:space="0" w:color="00467E"/>
              <w:right w:val="single" w:sz="6" w:space="0" w:color="00467E"/>
            </w:tcBorders>
            <w:shd w:val="clear" w:color="CFD4D8" w:fill="CFD4D8"/>
            <w:vAlign w:val="bottom"/>
          </w:tcPr>
          <w:p w:rsidR="0073298C" w:rsidRDefault="0073298C" w:rsidP="0073298C">
            <w:pPr>
              <w:spacing w:before="22" w:after="22"/>
              <w:ind w:left="22"/>
              <w:jc w:val="right"/>
              <w:rPr>
                <w:rFonts w:ascii="Arial" w:hAnsi="Arial" w:cs="Arial"/>
                <w:color w:val="000000"/>
                <w:sz w:val="18"/>
                <w:szCs w:val="18"/>
              </w:rPr>
            </w:pPr>
          </w:p>
          <w:p w:rsidR="0073298C" w:rsidRDefault="0073298C" w:rsidP="0073298C">
            <w:pPr>
              <w:rPr>
                <w:sz w:val="16"/>
                <w:szCs w:val="16"/>
              </w:rPr>
            </w:pPr>
            <w:r>
              <w:rPr>
                <w:sz w:val="16"/>
                <w:szCs w:val="16"/>
              </w:rPr>
              <w:t> </w:t>
            </w:r>
          </w:p>
        </w:tc>
      </w:tr>
    </w:tbl>
    <w:p w:rsidR="000E3B20" w:rsidRDefault="000E3B20" w:rsidP="0073298C">
      <w:pPr>
        <w:spacing w:after="132"/>
        <w:jc w:val="both"/>
        <w:rPr>
          <w:rFonts w:ascii="Arial" w:hAnsi="Arial" w:cs="Arial"/>
          <w:i/>
          <w:iCs/>
          <w:color w:val="000000"/>
          <w:sz w:val="18"/>
          <w:szCs w:val="18"/>
        </w:rPr>
      </w:pPr>
    </w:p>
    <w:p w:rsidR="0073298C" w:rsidRDefault="0073298C" w:rsidP="0073298C">
      <w:pPr>
        <w:spacing w:after="132"/>
        <w:jc w:val="both"/>
        <w:rPr>
          <w:rFonts w:ascii="Arial" w:hAnsi="Arial" w:cs="Arial"/>
          <w:color w:val="000000"/>
          <w:sz w:val="18"/>
          <w:szCs w:val="18"/>
        </w:rPr>
      </w:pPr>
      <w:r>
        <w:rPr>
          <w:rFonts w:ascii="Arial" w:hAnsi="Arial" w:cs="Arial"/>
          <w:i/>
          <w:iCs/>
          <w:color w:val="000000"/>
          <w:sz w:val="18"/>
          <w:szCs w:val="18"/>
        </w:rPr>
        <w:t>Swift Truckload, Swift Dedicated, and Swift Refrigerated</w:t>
      </w:r>
      <w:r>
        <w:rPr>
          <w:rFonts w:ascii="Arial" w:hAnsi="Arial" w:cs="Arial"/>
          <w:color w:val="000000"/>
          <w:sz w:val="18"/>
          <w:szCs w:val="18"/>
        </w:rPr>
        <w:t xml:space="preserve"> — For September 9, 2017 through December 31, 2017, the strong freight market positively affected revenue, net of fuel surcharge, in our Swift Truckload, Swift Dedicated, and Swift Refrigerated segments, as evidenced by average revenue per tractor in these segments. Operating and Adjusted Operating Ratios in the Swift trucking segments have been improving, but are facing headwinds largely due to the challenging driver market we are experiencing. Sourcing and retaining high-quality driving associates remains a significant challenge and tractor counts have been accordingly decreasing in these segments. This has increased pressure on our recruiting efforts, as well as driving associate wage expenses. In addition, Swift adopted more stringent hiring practices in October 2017 that negatively impacted operating results in the current period, but are expected to improve operating costs in the future. In an effort to combat these headwinds, we remain disciplined with our cost control initiatives, as well as improving yield, asset efficiency, and return on investment in Swift's trucking segments.</w:t>
      </w:r>
    </w:p>
    <w:p w:rsidR="0073298C" w:rsidRDefault="0073298C" w:rsidP="0073298C">
      <w:pPr>
        <w:spacing w:after="132"/>
        <w:jc w:val="both"/>
        <w:rPr>
          <w:rFonts w:ascii="Arial" w:hAnsi="Arial" w:cs="Arial"/>
          <w:color w:val="000000"/>
          <w:sz w:val="18"/>
          <w:szCs w:val="18"/>
        </w:rPr>
      </w:pPr>
      <w:r>
        <w:rPr>
          <w:rFonts w:ascii="Arial" w:hAnsi="Arial" w:cs="Arial"/>
          <w:i/>
          <w:iCs/>
          <w:color w:val="000000"/>
          <w:sz w:val="18"/>
          <w:szCs w:val="18"/>
        </w:rPr>
        <w:t>Swift Intermodal</w:t>
      </w:r>
      <w:r>
        <w:rPr>
          <w:rFonts w:ascii="Arial" w:hAnsi="Arial" w:cs="Arial"/>
          <w:color w:val="000000"/>
          <w:sz w:val="18"/>
          <w:szCs w:val="18"/>
        </w:rPr>
        <w:t xml:space="preserve"> — For September 9, 2017 through December 31, 2017, we saw improvements in the Swift Intermodal segment's revenue, net of fuel surcharge, driven by </w:t>
      </w:r>
      <w:proofErr w:type="gramStart"/>
      <w:r>
        <w:rPr>
          <w:rFonts w:ascii="Arial" w:hAnsi="Arial" w:cs="Arial"/>
          <w:color w:val="000000"/>
          <w:sz w:val="18"/>
          <w:szCs w:val="18"/>
        </w:rPr>
        <w:t>a strong</w:t>
      </w:r>
      <w:proofErr w:type="gramEnd"/>
      <w:r>
        <w:rPr>
          <w:rFonts w:ascii="Arial" w:hAnsi="Arial" w:cs="Arial"/>
          <w:color w:val="000000"/>
          <w:sz w:val="18"/>
          <w:szCs w:val="18"/>
        </w:rPr>
        <w:t xml:space="preserve"> revenue per container. This segment's operating and Adjusted Operating Ratios were positively affected by the aforementioned increase in load count as well as improved drayage efficiencies. Additionally, Swift Intermodal benefited from the impact of fuel prices on fuel surcharge revenue. We are focused on improving Swift Intermodal by right-sizing its cost infrastructure, increasing container turns, and driving operational efficiencies.</w:t>
      </w:r>
    </w:p>
    <w:p w:rsidR="0073298C" w:rsidRDefault="0073298C" w:rsidP="000E3B20">
      <w:pPr>
        <w:spacing w:after="132"/>
        <w:jc w:val="both"/>
        <w:rPr>
          <w:sz w:val="16"/>
          <w:szCs w:val="16"/>
        </w:rPr>
      </w:pPr>
      <w:r>
        <w:rPr>
          <w:rFonts w:ascii="Arial" w:hAnsi="Arial" w:cs="Arial"/>
          <w:i/>
          <w:iCs/>
          <w:color w:val="000000"/>
          <w:sz w:val="18"/>
          <w:szCs w:val="18"/>
        </w:rPr>
        <w:t>Swift Non-reportable Segments</w:t>
      </w:r>
      <w:r>
        <w:rPr>
          <w:rFonts w:ascii="Arial" w:hAnsi="Arial" w:cs="Arial"/>
          <w:color w:val="000000"/>
          <w:sz w:val="18"/>
          <w:szCs w:val="18"/>
        </w:rPr>
        <w:t>—A $16.7 million impairment related to terminating Swift's ERP system was included within the operating expenses of the Swift non-reportable segments in the September 9, 2017 through December 31, 2017 period.</w:t>
      </w:r>
      <w:bookmarkStart w:id="36" w:name="seb37e62bd9d358f683a5d257462085f"/>
      <w:bookmarkEnd w:id="36"/>
      <w:r w:rsidR="000E3B20">
        <w:t xml:space="preserve"> </w:t>
      </w:r>
    </w:p>
    <w:p w:rsidR="0073298C" w:rsidRDefault="0073298C" w:rsidP="000E3B20">
      <w:pPr>
        <w:pStyle w:val="Heading2"/>
      </w:pPr>
      <w:bookmarkStart w:id="37" w:name="_Toc526330231"/>
      <w:r>
        <w:t>Consolidated Operating Expenses</w:t>
      </w:r>
      <w:bookmarkEnd w:id="37"/>
    </w:p>
    <w:p w:rsidR="0073298C" w:rsidRDefault="0073298C" w:rsidP="0073298C">
      <w:pPr>
        <w:spacing w:after="132"/>
        <w:jc w:val="both"/>
        <w:rPr>
          <w:rFonts w:ascii="Arial" w:hAnsi="Arial" w:cs="Arial"/>
          <w:color w:val="000000"/>
          <w:sz w:val="18"/>
          <w:szCs w:val="18"/>
        </w:rPr>
      </w:pPr>
      <w:r>
        <w:rPr>
          <w:rFonts w:ascii="Arial" w:hAnsi="Arial" w:cs="Arial"/>
          <w:color w:val="000000"/>
          <w:sz w:val="18"/>
          <w:szCs w:val="18"/>
        </w:rPr>
        <w:t xml:space="preserve">The following tables present certain operating expenses from our consolidated income statements, including each operating expense as a percentage of total revenue and as a percentage of revenue before fuel surcharge. Fuel surcharge revenue can be volatile and is primarily dependent upon the cost of fuel, rather than operation expenses </w:t>
      </w:r>
      <w:r>
        <w:rPr>
          <w:rFonts w:ascii="Arial" w:hAnsi="Arial" w:cs="Arial"/>
          <w:color w:val="000000"/>
          <w:sz w:val="18"/>
          <w:szCs w:val="18"/>
        </w:rPr>
        <w:lastRenderedPageBreak/>
        <w:t>unrelated to fuel. Therefore, we believe that revenue before fuel surcharge is a better measure for analyzing many of our expenses and operating metrics.</w:t>
      </w:r>
    </w:p>
    <w:p w:rsidR="0073298C" w:rsidRDefault="0073298C" w:rsidP="0073298C">
      <w:pPr>
        <w:spacing w:after="132"/>
        <w:jc w:val="both"/>
        <w:rPr>
          <w:rFonts w:ascii="Arial" w:hAnsi="Arial" w:cs="Arial"/>
          <w:color w:val="000000"/>
          <w:sz w:val="18"/>
          <w:szCs w:val="18"/>
        </w:rPr>
      </w:pPr>
      <w:r>
        <w:rPr>
          <w:rFonts w:ascii="Arial" w:hAnsi="Arial" w:cs="Arial"/>
          <w:b/>
          <w:bCs w:val="0"/>
          <w:color w:val="000000"/>
          <w:sz w:val="18"/>
          <w:szCs w:val="18"/>
        </w:rPr>
        <w:t>Note:</w:t>
      </w:r>
      <w:r>
        <w:rPr>
          <w:rFonts w:ascii="Arial" w:hAnsi="Arial" w:cs="Arial"/>
          <w:color w:val="000000"/>
          <w:sz w:val="18"/>
          <w:szCs w:val="18"/>
        </w:rPr>
        <w:t xml:space="preserve"> Our 2017 results of operations include the results of operations of Swift after September 8, 2017. Results for periods on and prior to September 8, 2017 reflect only those of Knight and do not include the results of operations of Swift. Accordingly, comparisons between our 2017 results and prior periods may not be meaningful.</w:t>
      </w:r>
    </w:p>
    <w:tbl>
      <w:tblPr>
        <w:tblW w:w="0" w:type="auto"/>
        <w:tblLayout w:type="fixed"/>
        <w:tblCellMar>
          <w:left w:w="0" w:type="dxa"/>
          <w:right w:w="0" w:type="dxa"/>
        </w:tblCellMar>
        <w:tblLook w:val="0000"/>
      </w:tblPr>
      <w:tblGrid>
        <w:gridCol w:w="3169"/>
        <w:gridCol w:w="120"/>
        <w:gridCol w:w="1226"/>
        <w:gridCol w:w="180"/>
        <w:gridCol w:w="103"/>
        <w:gridCol w:w="120"/>
        <w:gridCol w:w="1226"/>
        <w:gridCol w:w="180"/>
        <w:gridCol w:w="103"/>
        <w:gridCol w:w="120"/>
        <w:gridCol w:w="1226"/>
        <w:gridCol w:w="182"/>
        <w:gridCol w:w="103"/>
        <w:gridCol w:w="1011"/>
        <w:gridCol w:w="231"/>
        <w:gridCol w:w="103"/>
        <w:gridCol w:w="1034"/>
        <w:gridCol w:w="366"/>
      </w:tblGrid>
      <w:tr w:rsidR="0073298C" w:rsidTr="0073298C">
        <w:tblPrEx>
          <w:tblCellMar>
            <w:top w:w="0" w:type="dxa"/>
            <w:left w:w="0" w:type="dxa"/>
            <w:bottom w:w="0" w:type="dxa"/>
            <w:right w:w="0" w:type="dxa"/>
          </w:tblCellMar>
        </w:tblPrEx>
        <w:trPr>
          <w:trHeight w:val="66"/>
        </w:trPr>
        <w:tc>
          <w:tcPr>
            <w:tcW w:w="10800" w:type="dxa"/>
            <w:gridSpan w:val="18"/>
            <w:tcBorders>
              <w:top w:val="nil"/>
              <w:left w:val="nil"/>
              <w:bottom w:val="nil"/>
              <w:right w:val="nil"/>
            </w:tcBorders>
            <w:vAlign w:val="center"/>
          </w:tcPr>
          <w:p w:rsidR="0073298C" w:rsidRDefault="0073298C" w:rsidP="0073298C">
            <w:pPr>
              <w:rPr>
                <w:sz w:val="16"/>
                <w:szCs w:val="16"/>
              </w:rPr>
            </w:pPr>
            <w:r>
              <w:rPr>
                <w:sz w:val="16"/>
                <w:szCs w:val="16"/>
              </w:rPr>
              <w:t> </w:t>
            </w:r>
          </w:p>
        </w:tc>
      </w:tr>
      <w:tr w:rsidR="0073298C" w:rsidTr="0073298C">
        <w:tblPrEx>
          <w:tblCellMar>
            <w:top w:w="0" w:type="dxa"/>
            <w:left w:w="0" w:type="dxa"/>
            <w:bottom w:w="0" w:type="dxa"/>
            <w:right w:w="0" w:type="dxa"/>
          </w:tblCellMar>
        </w:tblPrEx>
        <w:trPr>
          <w:trHeight w:val="66"/>
        </w:trPr>
        <w:tc>
          <w:tcPr>
            <w:tcW w:w="3169" w:type="dxa"/>
            <w:tcBorders>
              <w:top w:val="nil"/>
              <w:left w:val="nil"/>
              <w:bottom w:val="nil"/>
              <w:right w:val="nil"/>
            </w:tcBorders>
            <w:vAlign w:val="center"/>
          </w:tcPr>
          <w:p w:rsidR="0073298C" w:rsidRDefault="0073298C" w:rsidP="0073298C">
            <w:pPr>
              <w:rPr>
                <w:sz w:val="16"/>
                <w:szCs w:val="16"/>
              </w:rPr>
            </w:pPr>
            <w:r>
              <w:rPr>
                <w:sz w:val="16"/>
                <w:szCs w:val="16"/>
              </w:rPr>
              <w:t> </w:t>
            </w:r>
          </w:p>
        </w:tc>
        <w:tc>
          <w:tcPr>
            <w:tcW w:w="120" w:type="dxa"/>
            <w:tcBorders>
              <w:top w:val="nil"/>
              <w:left w:val="nil"/>
              <w:bottom w:val="nil"/>
              <w:right w:val="nil"/>
            </w:tcBorders>
            <w:vAlign w:val="center"/>
          </w:tcPr>
          <w:p w:rsidR="0073298C" w:rsidRDefault="0073298C" w:rsidP="0073298C">
            <w:pPr>
              <w:rPr>
                <w:sz w:val="16"/>
                <w:szCs w:val="16"/>
              </w:rPr>
            </w:pPr>
            <w:r>
              <w:rPr>
                <w:sz w:val="16"/>
                <w:szCs w:val="16"/>
              </w:rPr>
              <w:t> </w:t>
            </w:r>
          </w:p>
        </w:tc>
        <w:tc>
          <w:tcPr>
            <w:tcW w:w="1226" w:type="dxa"/>
            <w:tcBorders>
              <w:top w:val="nil"/>
              <w:left w:val="nil"/>
              <w:bottom w:val="nil"/>
              <w:right w:val="nil"/>
            </w:tcBorders>
            <w:vAlign w:val="center"/>
          </w:tcPr>
          <w:p w:rsidR="0073298C" w:rsidRDefault="0073298C" w:rsidP="0073298C">
            <w:pPr>
              <w:rPr>
                <w:sz w:val="16"/>
                <w:szCs w:val="16"/>
              </w:rPr>
            </w:pPr>
            <w:r>
              <w:rPr>
                <w:sz w:val="16"/>
                <w:szCs w:val="16"/>
              </w:rPr>
              <w:t> </w:t>
            </w:r>
          </w:p>
        </w:tc>
        <w:tc>
          <w:tcPr>
            <w:tcW w:w="180" w:type="dxa"/>
            <w:tcBorders>
              <w:top w:val="nil"/>
              <w:left w:val="nil"/>
              <w:bottom w:val="nil"/>
              <w:right w:val="nil"/>
            </w:tcBorders>
            <w:vAlign w:val="center"/>
          </w:tcPr>
          <w:p w:rsidR="0073298C" w:rsidRDefault="0073298C" w:rsidP="0073298C">
            <w:pPr>
              <w:rPr>
                <w:sz w:val="16"/>
                <w:szCs w:val="16"/>
              </w:rPr>
            </w:pPr>
            <w:r>
              <w:rPr>
                <w:sz w:val="16"/>
                <w:szCs w:val="16"/>
              </w:rPr>
              <w:t> </w:t>
            </w:r>
          </w:p>
        </w:tc>
        <w:tc>
          <w:tcPr>
            <w:tcW w:w="103" w:type="dxa"/>
            <w:tcBorders>
              <w:top w:val="nil"/>
              <w:left w:val="nil"/>
              <w:bottom w:val="nil"/>
              <w:right w:val="nil"/>
            </w:tcBorders>
            <w:vAlign w:val="center"/>
          </w:tcPr>
          <w:p w:rsidR="0073298C" w:rsidRDefault="0073298C" w:rsidP="0073298C">
            <w:pPr>
              <w:rPr>
                <w:sz w:val="16"/>
                <w:szCs w:val="16"/>
              </w:rPr>
            </w:pPr>
            <w:r>
              <w:rPr>
                <w:sz w:val="16"/>
                <w:szCs w:val="16"/>
              </w:rPr>
              <w:t> </w:t>
            </w:r>
          </w:p>
        </w:tc>
        <w:tc>
          <w:tcPr>
            <w:tcW w:w="120" w:type="dxa"/>
            <w:tcBorders>
              <w:top w:val="nil"/>
              <w:left w:val="nil"/>
              <w:bottom w:val="nil"/>
              <w:right w:val="nil"/>
            </w:tcBorders>
            <w:vAlign w:val="center"/>
          </w:tcPr>
          <w:p w:rsidR="0073298C" w:rsidRDefault="0073298C" w:rsidP="0073298C">
            <w:pPr>
              <w:rPr>
                <w:sz w:val="16"/>
                <w:szCs w:val="16"/>
              </w:rPr>
            </w:pPr>
            <w:r>
              <w:rPr>
                <w:sz w:val="16"/>
                <w:szCs w:val="16"/>
              </w:rPr>
              <w:t> </w:t>
            </w:r>
          </w:p>
        </w:tc>
        <w:tc>
          <w:tcPr>
            <w:tcW w:w="1226" w:type="dxa"/>
            <w:tcBorders>
              <w:top w:val="nil"/>
              <w:left w:val="nil"/>
              <w:bottom w:val="nil"/>
              <w:right w:val="nil"/>
            </w:tcBorders>
            <w:vAlign w:val="center"/>
          </w:tcPr>
          <w:p w:rsidR="0073298C" w:rsidRDefault="0073298C" w:rsidP="0073298C">
            <w:pPr>
              <w:rPr>
                <w:sz w:val="16"/>
                <w:szCs w:val="16"/>
              </w:rPr>
            </w:pPr>
            <w:r>
              <w:rPr>
                <w:sz w:val="16"/>
                <w:szCs w:val="16"/>
              </w:rPr>
              <w:t> </w:t>
            </w:r>
          </w:p>
        </w:tc>
        <w:tc>
          <w:tcPr>
            <w:tcW w:w="180" w:type="dxa"/>
            <w:tcBorders>
              <w:top w:val="nil"/>
              <w:left w:val="nil"/>
              <w:bottom w:val="nil"/>
              <w:right w:val="nil"/>
            </w:tcBorders>
            <w:vAlign w:val="center"/>
          </w:tcPr>
          <w:p w:rsidR="0073298C" w:rsidRDefault="0073298C" w:rsidP="0073298C">
            <w:pPr>
              <w:rPr>
                <w:sz w:val="16"/>
                <w:szCs w:val="16"/>
              </w:rPr>
            </w:pPr>
            <w:r>
              <w:rPr>
                <w:sz w:val="16"/>
                <w:szCs w:val="16"/>
              </w:rPr>
              <w:t> </w:t>
            </w:r>
          </w:p>
        </w:tc>
        <w:tc>
          <w:tcPr>
            <w:tcW w:w="103" w:type="dxa"/>
            <w:tcBorders>
              <w:top w:val="nil"/>
              <w:left w:val="nil"/>
              <w:bottom w:val="nil"/>
              <w:right w:val="nil"/>
            </w:tcBorders>
            <w:vAlign w:val="center"/>
          </w:tcPr>
          <w:p w:rsidR="0073298C" w:rsidRDefault="0073298C" w:rsidP="0073298C">
            <w:pPr>
              <w:rPr>
                <w:sz w:val="16"/>
                <w:szCs w:val="16"/>
              </w:rPr>
            </w:pPr>
            <w:r>
              <w:rPr>
                <w:sz w:val="16"/>
                <w:szCs w:val="16"/>
              </w:rPr>
              <w:t> </w:t>
            </w:r>
          </w:p>
        </w:tc>
        <w:tc>
          <w:tcPr>
            <w:tcW w:w="120" w:type="dxa"/>
            <w:tcBorders>
              <w:top w:val="nil"/>
              <w:left w:val="nil"/>
              <w:bottom w:val="nil"/>
              <w:right w:val="nil"/>
            </w:tcBorders>
            <w:vAlign w:val="center"/>
          </w:tcPr>
          <w:p w:rsidR="0073298C" w:rsidRDefault="0073298C" w:rsidP="0073298C">
            <w:pPr>
              <w:rPr>
                <w:sz w:val="16"/>
                <w:szCs w:val="16"/>
              </w:rPr>
            </w:pPr>
            <w:r>
              <w:rPr>
                <w:sz w:val="16"/>
                <w:szCs w:val="16"/>
              </w:rPr>
              <w:t> </w:t>
            </w:r>
          </w:p>
        </w:tc>
        <w:tc>
          <w:tcPr>
            <w:tcW w:w="1226" w:type="dxa"/>
            <w:tcBorders>
              <w:top w:val="nil"/>
              <w:left w:val="nil"/>
              <w:bottom w:val="nil"/>
              <w:right w:val="nil"/>
            </w:tcBorders>
            <w:vAlign w:val="center"/>
          </w:tcPr>
          <w:p w:rsidR="0073298C" w:rsidRDefault="0073298C" w:rsidP="0073298C">
            <w:pPr>
              <w:rPr>
                <w:sz w:val="16"/>
                <w:szCs w:val="16"/>
              </w:rPr>
            </w:pPr>
            <w:r>
              <w:rPr>
                <w:sz w:val="16"/>
                <w:szCs w:val="16"/>
              </w:rPr>
              <w:t> </w:t>
            </w:r>
          </w:p>
        </w:tc>
        <w:tc>
          <w:tcPr>
            <w:tcW w:w="180" w:type="dxa"/>
            <w:tcBorders>
              <w:top w:val="nil"/>
              <w:left w:val="nil"/>
              <w:bottom w:val="nil"/>
              <w:right w:val="nil"/>
            </w:tcBorders>
            <w:vAlign w:val="center"/>
          </w:tcPr>
          <w:p w:rsidR="0073298C" w:rsidRDefault="0073298C" w:rsidP="0073298C">
            <w:pPr>
              <w:rPr>
                <w:sz w:val="16"/>
                <w:szCs w:val="16"/>
              </w:rPr>
            </w:pPr>
            <w:r>
              <w:rPr>
                <w:sz w:val="16"/>
                <w:szCs w:val="16"/>
              </w:rPr>
              <w:t> </w:t>
            </w:r>
          </w:p>
        </w:tc>
        <w:tc>
          <w:tcPr>
            <w:tcW w:w="103" w:type="dxa"/>
            <w:tcBorders>
              <w:top w:val="nil"/>
              <w:left w:val="nil"/>
              <w:bottom w:val="nil"/>
              <w:right w:val="nil"/>
            </w:tcBorders>
            <w:vAlign w:val="center"/>
          </w:tcPr>
          <w:p w:rsidR="0073298C" w:rsidRDefault="0073298C" w:rsidP="0073298C">
            <w:pPr>
              <w:rPr>
                <w:sz w:val="16"/>
                <w:szCs w:val="16"/>
              </w:rPr>
            </w:pPr>
            <w:r>
              <w:rPr>
                <w:sz w:val="16"/>
                <w:szCs w:val="16"/>
              </w:rPr>
              <w:t> </w:t>
            </w:r>
          </w:p>
        </w:tc>
        <w:tc>
          <w:tcPr>
            <w:tcW w:w="1011" w:type="dxa"/>
            <w:tcBorders>
              <w:top w:val="nil"/>
              <w:left w:val="nil"/>
              <w:bottom w:val="nil"/>
              <w:right w:val="nil"/>
            </w:tcBorders>
            <w:vAlign w:val="center"/>
          </w:tcPr>
          <w:p w:rsidR="0073298C" w:rsidRDefault="0073298C" w:rsidP="0073298C">
            <w:pPr>
              <w:rPr>
                <w:sz w:val="16"/>
                <w:szCs w:val="16"/>
              </w:rPr>
            </w:pPr>
            <w:r>
              <w:rPr>
                <w:sz w:val="16"/>
                <w:szCs w:val="16"/>
              </w:rPr>
              <w:t> </w:t>
            </w:r>
          </w:p>
        </w:tc>
        <w:tc>
          <w:tcPr>
            <w:tcW w:w="230" w:type="dxa"/>
            <w:tcBorders>
              <w:top w:val="nil"/>
              <w:left w:val="nil"/>
              <w:bottom w:val="nil"/>
              <w:right w:val="nil"/>
            </w:tcBorders>
            <w:vAlign w:val="center"/>
          </w:tcPr>
          <w:p w:rsidR="0073298C" w:rsidRDefault="0073298C" w:rsidP="0073298C">
            <w:pPr>
              <w:rPr>
                <w:sz w:val="16"/>
                <w:szCs w:val="16"/>
              </w:rPr>
            </w:pPr>
            <w:r>
              <w:rPr>
                <w:sz w:val="16"/>
                <w:szCs w:val="16"/>
              </w:rPr>
              <w:t> </w:t>
            </w:r>
          </w:p>
        </w:tc>
        <w:tc>
          <w:tcPr>
            <w:tcW w:w="103" w:type="dxa"/>
            <w:tcBorders>
              <w:top w:val="nil"/>
              <w:left w:val="nil"/>
              <w:bottom w:val="nil"/>
              <w:right w:val="nil"/>
            </w:tcBorders>
            <w:vAlign w:val="center"/>
          </w:tcPr>
          <w:p w:rsidR="0073298C" w:rsidRDefault="0073298C" w:rsidP="0073298C">
            <w:pPr>
              <w:rPr>
                <w:sz w:val="16"/>
                <w:szCs w:val="16"/>
              </w:rPr>
            </w:pPr>
            <w:r>
              <w:rPr>
                <w:sz w:val="16"/>
                <w:szCs w:val="16"/>
              </w:rPr>
              <w:t> </w:t>
            </w:r>
          </w:p>
        </w:tc>
        <w:tc>
          <w:tcPr>
            <w:tcW w:w="1034" w:type="dxa"/>
            <w:tcBorders>
              <w:top w:val="nil"/>
              <w:left w:val="nil"/>
              <w:bottom w:val="nil"/>
              <w:right w:val="nil"/>
            </w:tcBorders>
            <w:vAlign w:val="center"/>
          </w:tcPr>
          <w:p w:rsidR="0073298C" w:rsidRDefault="0073298C" w:rsidP="0073298C">
            <w:pPr>
              <w:rPr>
                <w:sz w:val="16"/>
                <w:szCs w:val="16"/>
              </w:rPr>
            </w:pPr>
            <w:r>
              <w:rPr>
                <w:sz w:val="16"/>
                <w:szCs w:val="16"/>
              </w:rPr>
              <w:t> </w:t>
            </w:r>
          </w:p>
        </w:tc>
        <w:tc>
          <w:tcPr>
            <w:tcW w:w="366" w:type="dxa"/>
            <w:tcBorders>
              <w:top w:val="nil"/>
              <w:left w:val="nil"/>
              <w:bottom w:val="nil"/>
              <w:right w:val="nil"/>
            </w:tcBorders>
            <w:vAlign w:val="center"/>
          </w:tcPr>
          <w:p w:rsidR="0073298C" w:rsidRDefault="0073298C" w:rsidP="0073298C">
            <w:pPr>
              <w:rPr>
                <w:sz w:val="16"/>
                <w:szCs w:val="16"/>
              </w:rPr>
            </w:pPr>
            <w:r>
              <w:rPr>
                <w:sz w:val="16"/>
                <w:szCs w:val="16"/>
              </w:rPr>
              <w:t> </w:t>
            </w:r>
          </w:p>
        </w:tc>
      </w:tr>
      <w:tr w:rsidR="0073298C" w:rsidTr="0073298C">
        <w:tblPrEx>
          <w:tblCellMar>
            <w:top w:w="0" w:type="dxa"/>
            <w:left w:w="0" w:type="dxa"/>
            <w:bottom w:w="0" w:type="dxa"/>
            <w:right w:w="0" w:type="dxa"/>
          </w:tblCellMar>
        </w:tblPrEx>
        <w:trPr>
          <w:trHeight w:val="298"/>
        </w:trPr>
        <w:tc>
          <w:tcPr>
            <w:tcW w:w="3169" w:type="dxa"/>
            <w:tcBorders>
              <w:top w:val="single" w:sz="6" w:space="0" w:color="00467E"/>
              <w:left w:val="single" w:sz="6" w:space="0" w:color="00467E"/>
              <w:bottom w:val="nil"/>
              <w:right w:val="nil"/>
            </w:tcBorders>
            <w:vAlign w:val="center"/>
          </w:tcPr>
          <w:p w:rsidR="0073298C" w:rsidRDefault="0073298C" w:rsidP="0073298C">
            <w:pPr>
              <w:spacing w:before="22" w:after="22"/>
              <w:ind w:left="22" w:right="22"/>
              <w:rPr>
                <w:rFonts w:ascii="Arial" w:hAnsi="Arial" w:cs="Arial"/>
                <w:b/>
                <w:bCs w:val="0"/>
                <w:color w:val="000000"/>
                <w:sz w:val="16"/>
                <w:szCs w:val="16"/>
              </w:rPr>
            </w:pPr>
            <w:r>
              <w:rPr>
                <w:rFonts w:ascii="Arial" w:hAnsi="Arial" w:cs="Arial"/>
                <w:b/>
                <w:bCs w:val="0"/>
                <w:color w:val="000000"/>
                <w:sz w:val="16"/>
                <w:szCs w:val="16"/>
              </w:rPr>
              <w:t> </w:t>
            </w:r>
          </w:p>
        </w:tc>
        <w:tc>
          <w:tcPr>
            <w:tcW w:w="1526" w:type="dxa"/>
            <w:gridSpan w:val="3"/>
            <w:tcBorders>
              <w:top w:val="single" w:sz="6" w:space="0" w:color="00467E"/>
              <w:left w:val="nil"/>
              <w:bottom w:val="single" w:sz="6" w:space="0" w:color="000000"/>
              <w:right w:val="nil"/>
            </w:tcBorders>
            <w:vAlign w:val="center"/>
          </w:tcPr>
          <w:p w:rsidR="0073298C" w:rsidRDefault="0073298C" w:rsidP="0073298C">
            <w:pPr>
              <w:spacing w:before="22" w:after="22"/>
              <w:ind w:left="22" w:right="22"/>
              <w:jc w:val="center"/>
              <w:rPr>
                <w:rFonts w:ascii="Arial" w:hAnsi="Arial" w:cs="Arial"/>
                <w:b/>
                <w:bCs w:val="0"/>
                <w:color w:val="000000"/>
                <w:sz w:val="14"/>
                <w:szCs w:val="14"/>
              </w:rPr>
            </w:pPr>
            <w:r>
              <w:rPr>
                <w:rFonts w:ascii="Arial" w:hAnsi="Arial" w:cs="Arial"/>
                <w:b/>
                <w:bCs w:val="0"/>
                <w:color w:val="000000"/>
                <w:sz w:val="14"/>
                <w:szCs w:val="14"/>
              </w:rPr>
              <w:t>2017</w:t>
            </w:r>
          </w:p>
        </w:tc>
        <w:tc>
          <w:tcPr>
            <w:tcW w:w="103" w:type="dxa"/>
            <w:tcBorders>
              <w:top w:val="single" w:sz="6" w:space="0" w:color="00467E"/>
              <w:left w:val="nil"/>
              <w:bottom w:val="nil"/>
              <w:right w:val="nil"/>
            </w:tcBorders>
            <w:vAlign w:val="bottom"/>
          </w:tcPr>
          <w:p w:rsidR="0073298C" w:rsidRDefault="0073298C" w:rsidP="0073298C">
            <w:pPr>
              <w:spacing w:before="22" w:after="22"/>
              <w:ind w:left="22" w:right="22"/>
              <w:rPr>
                <w:color w:val="000000"/>
              </w:rPr>
            </w:pPr>
            <w:r>
              <w:rPr>
                <w:color w:val="000000"/>
              </w:rPr>
              <w:t> </w:t>
            </w:r>
          </w:p>
        </w:tc>
        <w:tc>
          <w:tcPr>
            <w:tcW w:w="1526" w:type="dxa"/>
            <w:gridSpan w:val="3"/>
            <w:tcBorders>
              <w:top w:val="single" w:sz="6" w:space="0" w:color="00467E"/>
              <w:left w:val="nil"/>
              <w:bottom w:val="single" w:sz="6" w:space="0" w:color="000000"/>
              <w:right w:val="nil"/>
            </w:tcBorders>
            <w:vAlign w:val="center"/>
          </w:tcPr>
          <w:p w:rsidR="0073298C" w:rsidRDefault="0073298C" w:rsidP="0073298C">
            <w:pPr>
              <w:spacing w:before="22" w:after="22"/>
              <w:ind w:left="22" w:right="22"/>
              <w:jc w:val="center"/>
              <w:rPr>
                <w:rFonts w:ascii="Arial" w:hAnsi="Arial" w:cs="Arial"/>
                <w:b/>
                <w:bCs w:val="0"/>
                <w:color w:val="000000"/>
                <w:sz w:val="14"/>
                <w:szCs w:val="14"/>
              </w:rPr>
            </w:pPr>
            <w:r>
              <w:rPr>
                <w:rFonts w:ascii="Arial" w:hAnsi="Arial" w:cs="Arial"/>
                <w:b/>
                <w:bCs w:val="0"/>
                <w:color w:val="000000"/>
                <w:sz w:val="14"/>
                <w:szCs w:val="14"/>
              </w:rPr>
              <w:t>2016</w:t>
            </w:r>
          </w:p>
        </w:tc>
        <w:tc>
          <w:tcPr>
            <w:tcW w:w="103" w:type="dxa"/>
            <w:tcBorders>
              <w:top w:val="single" w:sz="6" w:space="0" w:color="00467E"/>
              <w:left w:val="nil"/>
              <w:bottom w:val="nil"/>
              <w:right w:val="nil"/>
            </w:tcBorders>
            <w:vAlign w:val="bottom"/>
          </w:tcPr>
          <w:p w:rsidR="0073298C" w:rsidRDefault="0073298C" w:rsidP="0073298C">
            <w:pPr>
              <w:spacing w:before="22" w:after="22"/>
              <w:ind w:left="22" w:right="22"/>
              <w:rPr>
                <w:color w:val="000000"/>
              </w:rPr>
            </w:pPr>
            <w:r>
              <w:rPr>
                <w:color w:val="000000"/>
              </w:rPr>
              <w:t> </w:t>
            </w:r>
          </w:p>
        </w:tc>
        <w:tc>
          <w:tcPr>
            <w:tcW w:w="1526" w:type="dxa"/>
            <w:gridSpan w:val="3"/>
            <w:tcBorders>
              <w:top w:val="single" w:sz="6" w:space="0" w:color="00467E"/>
              <w:left w:val="nil"/>
              <w:bottom w:val="single" w:sz="6" w:space="0" w:color="000000"/>
              <w:right w:val="nil"/>
            </w:tcBorders>
            <w:vAlign w:val="center"/>
          </w:tcPr>
          <w:p w:rsidR="0073298C" w:rsidRDefault="0073298C" w:rsidP="0073298C">
            <w:pPr>
              <w:spacing w:before="22" w:after="22"/>
              <w:ind w:left="22" w:right="22"/>
              <w:jc w:val="center"/>
              <w:rPr>
                <w:rFonts w:ascii="Arial" w:hAnsi="Arial" w:cs="Arial"/>
                <w:b/>
                <w:bCs w:val="0"/>
                <w:color w:val="000000"/>
                <w:sz w:val="14"/>
                <w:szCs w:val="14"/>
              </w:rPr>
            </w:pPr>
            <w:r>
              <w:rPr>
                <w:rFonts w:ascii="Arial" w:hAnsi="Arial" w:cs="Arial"/>
                <w:b/>
                <w:bCs w:val="0"/>
                <w:color w:val="000000"/>
                <w:sz w:val="14"/>
                <w:szCs w:val="14"/>
              </w:rPr>
              <w:t>2015</w:t>
            </w:r>
          </w:p>
        </w:tc>
        <w:tc>
          <w:tcPr>
            <w:tcW w:w="103" w:type="dxa"/>
            <w:tcBorders>
              <w:top w:val="single" w:sz="6" w:space="0" w:color="00467E"/>
              <w:left w:val="nil"/>
              <w:bottom w:val="nil"/>
              <w:right w:val="nil"/>
            </w:tcBorders>
            <w:shd w:val="clear" w:color="00467E" w:fill="00467E"/>
            <w:vAlign w:val="bottom"/>
          </w:tcPr>
          <w:p w:rsidR="0073298C" w:rsidRDefault="0073298C" w:rsidP="0073298C">
            <w:pPr>
              <w:spacing w:before="22" w:after="22"/>
              <w:ind w:left="22" w:right="22"/>
              <w:rPr>
                <w:color w:val="000000"/>
              </w:rPr>
            </w:pPr>
            <w:r>
              <w:rPr>
                <w:color w:val="000000"/>
              </w:rPr>
              <w:t> </w:t>
            </w:r>
          </w:p>
        </w:tc>
        <w:tc>
          <w:tcPr>
            <w:tcW w:w="1242" w:type="dxa"/>
            <w:gridSpan w:val="2"/>
            <w:tcBorders>
              <w:top w:val="single" w:sz="6" w:space="0" w:color="00467E"/>
              <w:left w:val="nil"/>
              <w:bottom w:val="single" w:sz="6" w:space="0" w:color="000000"/>
              <w:right w:val="nil"/>
            </w:tcBorders>
            <w:vAlign w:val="center"/>
          </w:tcPr>
          <w:p w:rsidR="0073298C" w:rsidRDefault="0073298C" w:rsidP="0073298C">
            <w:pPr>
              <w:spacing w:before="22" w:after="22"/>
              <w:ind w:left="22" w:right="22"/>
              <w:jc w:val="center"/>
              <w:rPr>
                <w:rFonts w:ascii="Arial" w:hAnsi="Arial" w:cs="Arial"/>
                <w:b/>
                <w:bCs w:val="0"/>
                <w:color w:val="000000"/>
                <w:sz w:val="14"/>
                <w:szCs w:val="14"/>
              </w:rPr>
            </w:pPr>
            <w:r>
              <w:rPr>
                <w:rFonts w:ascii="Arial" w:hAnsi="Arial" w:cs="Arial"/>
                <w:b/>
                <w:bCs w:val="0"/>
                <w:color w:val="000000"/>
                <w:sz w:val="14"/>
                <w:szCs w:val="14"/>
              </w:rPr>
              <w:t>2017 vs. 2016</w:t>
            </w:r>
          </w:p>
        </w:tc>
        <w:tc>
          <w:tcPr>
            <w:tcW w:w="103" w:type="dxa"/>
            <w:tcBorders>
              <w:top w:val="single" w:sz="6" w:space="0" w:color="00467E"/>
              <w:left w:val="nil"/>
              <w:bottom w:val="nil"/>
              <w:right w:val="nil"/>
            </w:tcBorders>
            <w:vAlign w:val="bottom"/>
          </w:tcPr>
          <w:p w:rsidR="0073298C" w:rsidRDefault="0073298C" w:rsidP="0073298C">
            <w:pPr>
              <w:spacing w:before="22" w:after="22"/>
              <w:ind w:left="22" w:right="22"/>
              <w:rPr>
                <w:color w:val="000000"/>
              </w:rPr>
            </w:pPr>
            <w:r>
              <w:rPr>
                <w:color w:val="000000"/>
              </w:rPr>
              <w:t> </w:t>
            </w:r>
          </w:p>
        </w:tc>
        <w:tc>
          <w:tcPr>
            <w:tcW w:w="1394" w:type="dxa"/>
            <w:gridSpan w:val="2"/>
            <w:tcBorders>
              <w:top w:val="single" w:sz="6" w:space="0" w:color="00467E"/>
              <w:left w:val="nil"/>
              <w:bottom w:val="single" w:sz="6" w:space="0" w:color="000000"/>
              <w:right w:val="single" w:sz="6" w:space="0" w:color="00467E"/>
            </w:tcBorders>
            <w:vAlign w:val="center"/>
          </w:tcPr>
          <w:p w:rsidR="0073298C" w:rsidRDefault="0073298C" w:rsidP="0073298C">
            <w:pPr>
              <w:spacing w:before="22" w:after="22"/>
              <w:ind w:left="22" w:right="22"/>
              <w:jc w:val="center"/>
              <w:rPr>
                <w:rFonts w:ascii="Arial" w:hAnsi="Arial" w:cs="Arial"/>
                <w:b/>
                <w:bCs w:val="0"/>
                <w:color w:val="000000"/>
                <w:sz w:val="14"/>
                <w:szCs w:val="14"/>
              </w:rPr>
            </w:pPr>
            <w:r>
              <w:rPr>
                <w:rFonts w:ascii="Arial" w:hAnsi="Arial" w:cs="Arial"/>
                <w:b/>
                <w:bCs w:val="0"/>
                <w:color w:val="000000"/>
                <w:sz w:val="14"/>
                <w:szCs w:val="14"/>
              </w:rPr>
              <w:t>2016 vs. 2015</w:t>
            </w:r>
          </w:p>
        </w:tc>
      </w:tr>
      <w:tr w:rsidR="0073298C" w:rsidTr="0073298C">
        <w:tblPrEx>
          <w:tblCellMar>
            <w:top w:w="0" w:type="dxa"/>
            <w:left w:w="0" w:type="dxa"/>
            <w:bottom w:w="0" w:type="dxa"/>
            <w:right w:w="0" w:type="dxa"/>
          </w:tblCellMar>
        </w:tblPrEx>
        <w:trPr>
          <w:trHeight w:val="298"/>
        </w:trPr>
        <w:tc>
          <w:tcPr>
            <w:tcW w:w="3169" w:type="dxa"/>
            <w:tcBorders>
              <w:top w:val="nil"/>
              <w:left w:val="single" w:sz="6" w:space="0" w:color="00467E"/>
              <w:bottom w:val="nil"/>
              <w:right w:val="nil"/>
            </w:tcBorders>
            <w:vAlign w:val="bottom"/>
          </w:tcPr>
          <w:p w:rsidR="0073298C" w:rsidRDefault="0073298C" w:rsidP="0073298C">
            <w:pPr>
              <w:spacing w:before="22" w:after="22"/>
              <w:ind w:left="22" w:right="22"/>
              <w:rPr>
                <w:color w:val="000000"/>
              </w:rPr>
            </w:pPr>
            <w:r>
              <w:rPr>
                <w:color w:val="000000"/>
              </w:rPr>
              <w:t> </w:t>
            </w:r>
          </w:p>
        </w:tc>
        <w:tc>
          <w:tcPr>
            <w:tcW w:w="4786" w:type="dxa"/>
            <w:gridSpan w:val="11"/>
            <w:tcBorders>
              <w:top w:val="nil"/>
              <w:left w:val="nil"/>
              <w:bottom w:val="single" w:sz="6" w:space="0" w:color="000000"/>
              <w:right w:val="nil"/>
            </w:tcBorders>
            <w:vAlign w:val="center"/>
          </w:tcPr>
          <w:p w:rsidR="0073298C" w:rsidRDefault="0073298C" w:rsidP="0073298C">
            <w:pPr>
              <w:spacing w:before="22" w:after="22"/>
              <w:ind w:left="22"/>
              <w:jc w:val="center"/>
              <w:rPr>
                <w:rFonts w:ascii="Arial" w:hAnsi="Arial" w:cs="Arial"/>
                <w:b/>
                <w:bCs w:val="0"/>
                <w:color w:val="000000"/>
                <w:sz w:val="14"/>
                <w:szCs w:val="14"/>
              </w:rPr>
            </w:pPr>
            <w:r>
              <w:rPr>
                <w:rFonts w:ascii="Arial" w:hAnsi="Arial" w:cs="Arial"/>
                <w:b/>
                <w:bCs w:val="0"/>
                <w:color w:val="000000"/>
                <w:sz w:val="14"/>
                <w:szCs w:val="14"/>
              </w:rPr>
              <w:t>(Dollars in thousands)</w:t>
            </w:r>
          </w:p>
        </w:tc>
        <w:tc>
          <w:tcPr>
            <w:tcW w:w="103" w:type="dxa"/>
            <w:tcBorders>
              <w:top w:val="single" w:sz="6" w:space="0" w:color="00467E"/>
              <w:left w:val="nil"/>
              <w:bottom w:val="nil"/>
              <w:right w:val="nil"/>
            </w:tcBorders>
            <w:shd w:val="clear" w:color="00467E" w:fill="00467E"/>
            <w:vAlign w:val="bottom"/>
          </w:tcPr>
          <w:p w:rsidR="0073298C" w:rsidRDefault="0073298C" w:rsidP="0073298C">
            <w:pPr>
              <w:spacing w:before="22" w:after="22"/>
              <w:ind w:left="22" w:right="22"/>
              <w:rPr>
                <w:color w:val="000000"/>
              </w:rPr>
            </w:pPr>
            <w:r>
              <w:rPr>
                <w:color w:val="000000"/>
              </w:rPr>
              <w:t> </w:t>
            </w:r>
          </w:p>
        </w:tc>
        <w:tc>
          <w:tcPr>
            <w:tcW w:w="2740" w:type="dxa"/>
            <w:gridSpan w:val="5"/>
            <w:tcBorders>
              <w:top w:val="nil"/>
              <w:left w:val="nil"/>
              <w:bottom w:val="single" w:sz="6" w:space="0" w:color="000000"/>
              <w:right w:val="single" w:sz="6" w:space="0" w:color="00467E"/>
            </w:tcBorders>
            <w:vAlign w:val="center"/>
          </w:tcPr>
          <w:p w:rsidR="0073298C" w:rsidRDefault="0073298C" w:rsidP="0073298C">
            <w:pPr>
              <w:spacing w:before="22" w:after="22"/>
              <w:ind w:left="22"/>
              <w:jc w:val="center"/>
              <w:rPr>
                <w:rFonts w:ascii="Arial" w:hAnsi="Arial" w:cs="Arial"/>
                <w:b/>
                <w:bCs w:val="0"/>
                <w:color w:val="000000"/>
                <w:sz w:val="14"/>
                <w:szCs w:val="14"/>
              </w:rPr>
            </w:pPr>
            <w:r>
              <w:rPr>
                <w:rFonts w:ascii="Arial" w:hAnsi="Arial" w:cs="Arial"/>
                <w:b/>
                <w:bCs w:val="0"/>
                <w:color w:val="000000"/>
                <w:sz w:val="14"/>
                <w:szCs w:val="14"/>
              </w:rPr>
              <w:t>Increase (decrease)</w:t>
            </w:r>
          </w:p>
        </w:tc>
      </w:tr>
      <w:tr w:rsidR="0073298C" w:rsidTr="0073298C">
        <w:tblPrEx>
          <w:tblCellMar>
            <w:top w:w="0" w:type="dxa"/>
            <w:left w:w="0" w:type="dxa"/>
            <w:bottom w:w="0" w:type="dxa"/>
            <w:right w:w="0" w:type="dxa"/>
          </w:tblCellMar>
        </w:tblPrEx>
        <w:trPr>
          <w:trHeight w:val="298"/>
        </w:trPr>
        <w:tc>
          <w:tcPr>
            <w:tcW w:w="3169" w:type="dxa"/>
            <w:tcBorders>
              <w:top w:val="nil"/>
              <w:left w:val="single" w:sz="6" w:space="0" w:color="00467E"/>
              <w:bottom w:val="nil"/>
              <w:right w:val="nil"/>
            </w:tcBorders>
            <w:shd w:val="clear" w:color="CFD4D8" w:fill="CFD4D8"/>
            <w:vAlign w:val="center"/>
          </w:tcPr>
          <w:p w:rsidR="0073298C" w:rsidRDefault="0073298C" w:rsidP="0073298C">
            <w:pPr>
              <w:spacing w:before="22" w:after="22"/>
              <w:ind w:left="22" w:right="22"/>
              <w:rPr>
                <w:rFonts w:ascii="Arial" w:hAnsi="Arial" w:cs="Arial"/>
                <w:b/>
                <w:bCs w:val="0"/>
                <w:i/>
                <w:iCs/>
                <w:color w:val="9D1B11"/>
                <w:sz w:val="18"/>
                <w:szCs w:val="18"/>
              </w:rPr>
            </w:pPr>
            <w:r>
              <w:rPr>
                <w:rFonts w:ascii="Arial" w:hAnsi="Arial" w:cs="Arial"/>
                <w:b/>
                <w:bCs w:val="0"/>
                <w:i/>
                <w:iCs/>
                <w:color w:val="9D1B11"/>
                <w:sz w:val="18"/>
                <w:szCs w:val="18"/>
              </w:rPr>
              <w:t>Salaries, wages, and benefits</w:t>
            </w:r>
          </w:p>
        </w:tc>
        <w:tc>
          <w:tcPr>
            <w:tcW w:w="120" w:type="dxa"/>
            <w:tcBorders>
              <w:top w:val="nil"/>
              <w:left w:val="nil"/>
              <w:bottom w:val="nil"/>
              <w:right w:val="nil"/>
            </w:tcBorders>
            <w:shd w:val="clear" w:color="CFD4D8" w:fill="CFD4D8"/>
            <w:vAlign w:val="center"/>
          </w:tcPr>
          <w:p w:rsidR="0073298C" w:rsidRDefault="0073298C" w:rsidP="0073298C">
            <w:pPr>
              <w:spacing w:before="22" w:after="22"/>
              <w:ind w:left="22"/>
              <w:rPr>
                <w:rFonts w:ascii="Arial" w:hAnsi="Arial" w:cs="Arial"/>
                <w:color w:val="000000"/>
                <w:sz w:val="18"/>
                <w:szCs w:val="18"/>
              </w:rPr>
            </w:pPr>
            <w:r>
              <w:rPr>
                <w:rFonts w:ascii="Arial" w:hAnsi="Arial" w:cs="Arial"/>
                <w:color w:val="000000"/>
                <w:sz w:val="18"/>
                <w:szCs w:val="18"/>
              </w:rPr>
              <w:t>$</w:t>
            </w:r>
          </w:p>
        </w:tc>
        <w:tc>
          <w:tcPr>
            <w:tcW w:w="1226" w:type="dxa"/>
            <w:tcBorders>
              <w:top w:val="nil"/>
              <w:left w:val="nil"/>
              <w:bottom w:val="nil"/>
              <w:right w:val="nil"/>
            </w:tcBorders>
            <w:shd w:val="clear" w:color="CFD4D8" w:fill="CFD4D8"/>
            <w:vAlign w:val="center"/>
          </w:tcPr>
          <w:p w:rsidR="0073298C" w:rsidRDefault="0073298C" w:rsidP="0073298C">
            <w:pPr>
              <w:spacing w:before="22" w:after="22"/>
              <w:jc w:val="right"/>
              <w:rPr>
                <w:rFonts w:ascii="Arial" w:hAnsi="Arial" w:cs="Arial"/>
                <w:color w:val="000000"/>
                <w:sz w:val="18"/>
                <w:szCs w:val="18"/>
              </w:rPr>
            </w:pPr>
            <w:r>
              <w:rPr>
                <w:rFonts w:ascii="Arial" w:hAnsi="Arial" w:cs="Arial"/>
                <w:color w:val="000000"/>
                <w:sz w:val="18"/>
                <w:szCs w:val="18"/>
              </w:rPr>
              <w:t>688,543</w:t>
            </w:r>
          </w:p>
        </w:tc>
        <w:tc>
          <w:tcPr>
            <w:tcW w:w="180" w:type="dxa"/>
            <w:tcBorders>
              <w:top w:val="nil"/>
              <w:left w:val="nil"/>
              <w:bottom w:val="nil"/>
              <w:right w:val="nil"/>
            </w:tcBorders>
            <w:shd w:val="clear" w:color="CFD4D8" w:fill="CFD4D8"/>
            <w:vAlign w:val="bottom"/>
          </w:tcPr>
          <w:p w:rsidR="0073298C" w:rsidRDefault="0073298C" w:rsidP="0073298C">
            <w:pPr>
              <w:spacing w:before="22" w:after="22"/>
              <w:jc w:val="right"/>
              <w:rPr>
                <w:rFonts w:ascii="Arial" w:hAnsi="Arial" w:cs="Arial"/>
                <w:color w:val="000000"/>
                <w:sz w:val="18"/>
                <w:szCs w:val="18"/>
              </w:rPr>
            </w:pPr>
          </w:p>
          <w:p w:rsidR="0073298C" w:rsidRDefault="0073298C" w:rsidP="0073298C">
            <w:pPr>
              <w:rPr>
                <w:sz w:val="16"/>
                <w:szCs w:val="16"/>
              </w:rPr>
            </w:pPr>
            <w:r>
              <w:rPr>
                <w:sz w:val="16"/>
                <w:szCs w:val="16"/>
              </w:rPr>
              <w:t> </w:t>
            </w:r>
          </w:p>
        </w:tc>
        <w:tc>
          <w:tcPr>
            <w:tcW w:w="103" w:type="dxa"/>
            <w:tcBorders>
              <w:top w:val="nil"/>
              <w:left w:val="nil"/>
              <w:bottom w:val="nil"/>
              <w:right w:val="nil"/>
            </w:tcBorders>
            <w:shd w:val="clear" w:color="CFD4D8" w:fill="CFD4D8"/>
            <w:vAlign w:val="bottom"/>
          </w:tcPr>
          <w:p w:rsidR="0073298C" w:rsidRDefault="0073298C" w:rsidP="0073298C">
            <w:pPr>
              <w:spacing w:before="22" w:after="22"/>
              <w:ind w:left="22" w:right="22"/>
              <w:rPr>
                <w:color w:val="000000"/>
              </w:rPr>
            </w:pPr>
            <w:r>
              <w:rPr>
                <w:color w:val="000000"/>
              </w:rPr>
              <w:t> </w:t>
            </w:r>
          </w:p>
        </w:tc>
        <w:tc>
          <w:tcPr>
            <w:tcW w:w="120" w:type="dxa"/>
            <w:tcBorders>
              <w:top w:val="nil"/>
              <w:left w:val="nil"/>
              <w:bottom w:val="nil"/>
              <w:right w:val="nil"/>
            </w:tcBorders>
            <w:shd w:val="clear" w:color="CFD4D8" w:fill="CFD4D8"/>
            <w:vAlign w:val="center"/>
          </w:tcPr>
          <w:p w:rsidR="0073298C" w:rsidRDefault="0073298C" w:rsidP="0073298C">
            <w:pPr>
              <w:spacing w:before="22" w:after="22"/>
              <w:ind w:left="22"/>
              <w:rPr>
                <w:rFonts w:ascii="Arial" w:hAnsi="Arial" w:cs="Arial"/>
                <w:color w:val="000000"/>
                <w:sz w:val="18"/>
                <w:szCs w:val="18"/>
              </w:rPr>
            </w:pPr>
            <w:r>
              <w:rPr>
                <w:rFonts w:ascii="Arial" w:hAnsi="Arial" w:cs="Arial"/>
                <w:color w:val="000000"/>
                <w:sz w:val="18"/>
                <w:szCs w:val="18"/>
              </w:rPr>
              <w:t>$</w:t>
            </w:r>
          </w:p>
        </w:tc>
        <w:tc>
          <w:tcPr>
            <w:tcW w:w="1226" w:type="dxa"/>
            <w:tcBorders>
              <w:top w:val="nil"/>
              <w:left w:val="nil"/>
              <w:bottom w:val="nil"/>
              <w:right w:val="nil"/>
            </w:tcBorders>
            <w:shd w:val="clear" w:color="CFD4D8" w:fill="CFD4D8"/>
            <w:vAlign w:val="center"/>
          </w:tcPr>
          <w:p w:rsidR="0073298C" w:rsidRDefault="0073298C" w:rsidP="0073298C">
            <w:pPr>
              <w:spacing w:before="22" w:after="22"/>
              <w:jc w:val="right"/>
              <w:rPr>
                <w:rFonts w:ascii="Arial" w:hAnsi="Arial" w:cs="Arial"/>
                <w:color w:val="000000"/>
                <w:sz w:val="18"/>
                <w:szCs w:val="18"/>
              </w:rPr>
            </w:pPr>
            <w:r>
              <w:rPr>
                <w:rFonts w:ascii="Arial" w:hAnsi="Arial" w:cs="Arial"/>
                <w:color w:val="000000"/>
                <w:sz w:val="18"/>
                <w:szCs w:val="18"/>
              </w:rPr>
              <w:t>333,929</w:t>
            </w:r>
          </w:p>
        </w:tc>
        <w:tc>
          <w:tcPr>
            <w:tcW w:w="180" w:type="dxa"/>
            <w:tcBorders>
              <w:top w:val="nil"/>
              <w:left w:val="nil"/>
              <w:bottom w:val="nil"/>
              <w:right w:val="nil"/>
            </w:tcBorders>
            <w:shd w:val="clear" w:color="CFD4D8" w:fill="CFD4D8"/>
            <w:vAlign w:val="bottom"/>
          </w:tcPr>
          <w:p w:rsidR="0073298C" w:rsidRDefault="0073298C" w:rsidP="0073298C">
            <w:pPr>
              <w:spacing w:before="22" w:after="22"/>
              <w:jc w:val="right"/>
              <w:rPr>
                <w:rFonts w:ascii="Arial" w:hAnsi="Arial" w:cs="Arial"/>
                <w:color w:val="000000"/>
                <w:sz w:val="18"/>
                <w:szCs w:val="18"/>
              </w:rPr>
            </w:pPr>
          </w:p>
          <w:p w:rsidR="0073298C" w:rsidRDefault="0073298C" w:rsidP="0073298C">
            <w:pPr>
              <w:rPr>
                <w:sz w:val="16"/>
                <w:szCs w:val="16"/>
              </w:rPr>
            </w:pPr>
            <w:r>
              <w:rPr>
                <w:sz w:val="16"/>
                <w:szCs w:val="16"/>
              </w:rPr>
              <w:t> </w:t>
            </w:r>
          </w:p>
        </w:tc>
        <w:tc>
          <w:tcPr>
            <w:tcW w:w="103" w:type="dxa"/>
            <w:tcBorders>
              <w:top w:val="nil"/>
              <w:left w:val="nil"/>
              <w:bottom w:val="nil"/>
              <w:right w:val="nil"/>
            </w:tcBorders>
            <w:shd w:val="clear" w:color="CFD4D8" w:fill="CFD4D8"/>
            <w:vAlign w:val="bottom"/>
          </w:tcPr>
          <w:p w:rsidR="0073298C" w:rsidRDefault="0073298C" w:rsidP="0073298C">
            <w:pPr>
              <w:spacing w:before="22" w:after="22"/>
              <w:ind w:left="22" w:right="22"/>
              <w:rPr>
                <w:color w:val="000000"/>
              </w:rPr>
            </w:pPr>
            <w:r>
              <w:rPr>
                <w:color w:val="000000"/>
              </w:rPr>
              <w:t> </w:t>
            </w:r>
          </w:p>
        </w:tc>
        <w:tc>
          <w:tcPr>
            <w:tcW w:w="120" w:type="dxa"/>
            <w:tcBorders>
              <w:top w:val="nil"/>
              <w:left w:val="nil"/>
              <w:bottom w:val="nil"/>
              <w:right w:val="nil"/>
            </w:tcBorders>
            <w:shd w:val="clear" w:color="CFD4D8" w:fill="CFD4D8"/>
            <w:vAlign w:val="center"/>
          </w:tcPr>
          <w:p w:rsidR="0073298C" w:rsidRDefault="0073298C" w:rsidP="0073298C">
            <w:pPr>
              <w:spacing w:before="22" w:after="22"/>
              <w:ind w:left="22"/>
              <w:rPr>
                <w:rFonts w:ascii="Arial" w:hAnsi="Arial" w:cs="Arial"/>
                <w:color w:val="000000"/>
                <w:sz w:val="18"/>
                <w:szCs w:val="18"/>
              </w:rPr>
            </w:pPr>
            <w:r>
              <w:rPr>
                <w:rFonts w:ascii="Arial" w:hAnsi="Arial" w:cs="Arial"/>
                <w:color w:val="000000"/>
                <w:sz w:val="18"/>
                <w:szCs w:val="18"/>
              </w:rPr>
              <w:t>$</w:t>
            </w:r>
          </w:p>
        </w:tc>
        <w:tc>
          <w:tcPr>
            <w:tcW w:w="1226" w:type="dxa"/>
            <w:tcBorders>
              <w:top w:val="nil"/>
              <w:left w:val="nil"/>
              <w:bottom w:val="nil"/>
              <w:right w:val="nil"/>
            </w:tcBorders>
            <w:shd w:val="clear" w:color="CFD4D8" w:fill="CFD4D8"/>
            <w:vAlign w:val="center"/>
          </w:tcPr>
          <w:p w:rsidR="0073298C" w:rsidRDefault="0073298C" w:rsidP="0073298C">
            <w:pPr>
              <w:spacing w:before="22" w:after="22"/>
              <w:jc w:val="right"/>
              <w:rPr>
                <w:rFonts w:ascii="Arial" w:hAnsi="Arial" w:cs="Arial"/>
                <w:color w:val="000000"/>
                <w:sz w:val="18"/>
                <w:szCs w:val="18"/>
              </w:rPr>
            </w:pPr>
            <w:r>
              <w:rPr>
                <w:rFonts w:ascii="Arial" w:hAnsi="Arial" w:cs="Arial"/>
                <w:color w:val="000000"/>
                <w:sz w:val="18"/>
                <w:szCs w:val="18"/>
              </w:rPr>
              <w:t>334,069</w:t>
            </w:r>
          </w:p>
        </w:tc>
        <w:tc>
          <w:tcPr>
            <w:tcW w:w="180" w:type="dxa"/>
            <w:tcBorders>
              <w:top w:val="nil"/>
              <w:left w:val="nil"/>
              <w:bottom w:val="nil"/>
              <w:right w:val="nil"/>
            </w:tcBorders>
            <w:shd w:val="clear" w:color="CFD4D8" w:fill="CFD4D8"/>
            <w:vAlign w:val="bottom"/>
          </w:tcPr>
          <w:p w:rsidR="0073298C" w:rsidRDefault="0073298C" w:rsidP="0073298C">
            <w:pPr>
              <w:spacing w:before="22" w:after="22"/>
              <w:jc w:val="right"/>
              <w:rPr>
                <w:rFonts w:ascii="Arial" w:hAnsi="Arial" w:cs="Arial"/>
                <w:color w:val="000000"/>
                <w:sz w:val="18"/>
                <w:szCs w:val="18"/>
              </w:rPr>
            </w:pPr>
          </w:p>
          <w:p w:rsidR="0073298C" w:rsidRDefault="0073298C" w:rsidP="0073298C">
            <w:pPr>
              <w:rPr>
                <w:sz w:val="16"/>
                <w:szCs w:val="16"/>
              </w:rPr>
            </w:pPr>
            <w:r>
              <w:rPr>
                <w:sz w:val="16"/>
                <w:szCs w:val="16"/>
              </w:rPr>
              <w:t> </w:t>
            </w:r>
          </w:p>
        </w:tc>
        <w:tc>
          <w:tcPr>
            <w:tcW w:w="103" w:type="dxa"/>
            <w:tcBorders>
              <w:top w:val="single" w:sz="6" w:space="0" w:color="00467E"/>
              <w:left w:val="nil"/>
              <w:bottom w:val="nil"/>
              <w:right w:val="nil"/>
            </w:tcBorders>
            <w:shd w:val="clear" w:color="00467E" w:fill="00467E"/>
            <w:vAlign w:val="bottom"/>
          </w:tcPr>
          <w:p w:rsidR="0073298C" w:rsidRDefault="0073298C" w:rsidP="0073298C">
            <w:pPr>
              <w:spacing w:before="22" w:after="22"/>
              <w:ind w:left="22" w:right="22"/>
              <w:rPr>
                <w:color w:val="000000"/>
              </w:rPr>
            </w:pPr>
            <w:r>
              <w:rPr>
                <w:color w:val="000000"/>
              </w:rPr>
              <w:t> </w:t>
            </w:r>
          </w:p>
        </w:tc>
        <w:tc>
          <w:tcPr>
            <w:tcW w:w="1011" w:type="dxa"/>
            <w:tcBorders>
              <w:top w:val="nil"/>
              <w:left w:val="nil"/>
              <w:bottom w:val="nil"/>
              <w:right w:val="nil"/>
            </w:tcBorders>
            <w:shd w:val="clear" w:color="CFD4D8" w:fill="CFD4D8"/>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106.2</w:t>
            </w:r>
          </w:p>
        </w:tc>
        <w:tc>
          <w:tcPr>
            <w:tcW w:w="230" w:type="dxa"/>
            <w:tcBorders>
              <w:top w:val="nil"/>
              <w:left w:val="nil"/>
              <w:bottom w:val="nil"/>
              <w:right w:val="nil"/>
            </w:tcBorders>
            <w:shd w:val="clear" w:color="CFD4D8" w:fill="CFD4D8"/>
            <w:vAlign w:val="center"/>
          </w:tcPr>
          <w:p w:rsidR="0073298C" w:rsidRDefault="0073298C" w:rsidP="0073298C">
            <w:pPr>
              <w:spacing w:before="22" w:after="22"/>
              <w:ind w:right="22"/>
              <w:rPr>
                <w:rFonts w:ascii="Arial" w:hAnsi="Arial" w:cs="Arial"/>
                <w:color w:val="000000"/>
                <w:sz w:val="18"/>
                <w:szCs w:val="18"/>
              </w:rPr>
            </w:pPr>
            <w:r>
              <w:rPr>
                <w:rFonts w:ascii="Arial" w:hAnsi="Arial" w:cs="Arial"/>
                <w:color w:val="000000"/>
                <w:sz w:val="18"/>
                <w:szCs w:val="18"/>
              </w:rPr>
              <w:t> %</w:t>
            </w:r>
          </w:p>
        </w:tc>
        <w:tc>
          <w:tcPr>
            <w:tcW w:w="103" w:type="dxa"/>
            <w:tcBorders>
              <w:top w:val="nil"/>
              <w:left w:val="nil"/>
              <w:bottom w:val="nil"/>
              <w:right w:val="nil"/>
            </w:tcBorders>
            <w:shd w:val="clear" w:color="CFD4D8" w:fill="CFD4D8"/>
            <w:vAlign w:val="bottom"/>
          </w:tcPr>
          <w:p w:rsidR="0073298C" w:rsidRDefault="0073298C" w:rsidP="0073298C">
            <w:pPr>
              <w:spacing w:before="22" w:after="22"/>
              <w:ind w:left="22" w:right="22"/>
              <w:rPr>
                <w:color w:val="000000"/>
              </w:rPr>
            </w:pPr>
            <w:r>
              <w:rPr>
                <w:color w:val="000000"/>
              </w:rPr>
              <w:t> </w:t>
            </w:r>
          </w:p>
        </w:tc>
        <w:tc>
          <w:tcPr>
            <w:tcW w:w="1034" w:type="dxa"/>
            <w:tcBorders>
              <w:top w:val="nil"/>
              <w:left w:val="nil"/>
              <w:bottom w:val="nil"/>
              <w:right w:val="nil"/>
            </w:tcBorders>
            <w:shd w:val="clear" w:color="CFD4D8" w:fill="CFD4D8"/>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w:t>
            </w:r>
          </w:p>
        </w:tc>
        <w:tc>
          <w:tcPr>
            <w:tcW w:w="366" w:type="dxa"/>
            <w:tcBorders>
              <w:top w:val="nil"/>
              <w:left w:val="nil"/>
              <w:bottom w:val="nil"/>
              <w:right w:val="single" w:sz="6" w:space="0" w:color="00467E"/>
            </w:tcBorders>
            <w:shd w:val="clear" w:color="CFD4D8" w:fill="CFD4D8"/>
            <w:vAlign w:val="bottom"/>
          </w:tcPr>
          <w:p w:rsidR="0073298C" w:rsidRDefault="0073298C" w:rsidP="0073298C">
            <w:pPr>
              <w:spacing w:before="22" w:after="22"/>
              <w:ind w:left="22"/>
              <w:jc w:val="right"/>
              <w:rPr>
                <w:rFonts w:ascii="Arial" w:hAnsi="Arial" w:cs="Arial"/>
                <w:color w:val="000000"/>
                <w:sz w:val="18"/>
                <w:szCs w:val="18"/>
              </w:rPr>
            </w:pPr>
          </w:p>
          <w:p w:rsidR="0073298C" w:rsidRDefault="0073298C" w:rsidP="0073298C">
            <w:pPr>
              <w:rPr>
                <w:sz w:val="16"/>
                <w:szCs w:val="16"/>
              </w:rPr>
            </w:pPr>
            <w:r>
              <w:rPr>
                <w:sz w:val="16"/>
                <w:szCs w:val="16"/>
              </w:rPr>
              <w:t> </w:t>
            </w:r>
          </w:p>
        </w:tc>
      </w:tr>
      <w:tr w:rsidR="0073298C" w:rsidTr="0073298C">
        <w:tblPrEx>
          <w:tblCellMar>
            <w:top w:w="0" w:type="dxa"/>
            <w:left w:w="0" w:type="dxa"/>
            <w:bottom w:w="0" w:type="dxa"/>
            <w:right w:w="0" w:type="dxa"/>
          </w:tblCellMar>
        </w:tblPrEx>
        <w:trPr>
          <w:trHeight w:val="298"/>
        </w:trPr>
        <w:tc>
          <w:tcPr>
            <w:tcW w:w="3169" w:type="dxa"/>
            <w:tcBorders>
              <w:top w:val="nil"/>
              <w:left w:val="single" w:sz="6" w:space="0" w:color="00467E"/>
              <w:bottom w:val="nil"/>
              <w:right w:val="nil"/>
            </w:tcBorders>
            <w:vAlign w:val="center"/>
          </w:tcPr>
          <w:p w:rsidR="0073298C" w:rsidRDefault="0073298C" w:rsidP="0073298C">
            <w:pPr>
              <w:spacing w:before="22" w:after="22"/>
              <w:ind w:left="330" w:right="22"/>
              <w:rPr>
                <w:rFonts w:ascii="Arial" w:hAnsi="Arial" w:cs="Arial"/>
                <w:color w:val="000000"/>
                <w:sz w:val="18"/>
                <w:szCs w:val="18"/>
              </w:rPr>
            </w:pPr>
            <w:r>
              <w:rPr>
                <w:rFonts w:ascii="Arial" w:hAnsi="Arial" w:cs="Arial"/>
                <w:color w:val="000000"/>
                <w:sz w:val="18"/>
                <w:szCs w:val="18"/>
              </w:rPr>
              <w:t>% of total revenue</w:t>
            </w:r>
          </w:p>
        </w:tc>
        <w:tc>
          <w:tcPr>
            <w:tcW w:w="1346" w:type="dxa"/>
            <w:gridSpan w:val="2"/>
            <w:tcBorders>
              <w:top w:val="nil"/>
              <w:left w:val="nil"/>
              <w:bottom w:val="nil"/>
              <w:right w:val="nil"/>
            </w:tcBorders>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28.4</w:t>
            </w:r>
          </w:p>
        </w:tc>
        <w:tc>
          <w:tcPr>
            <w:tcW w:w="180" w:type="dxa"/>
            <w:tcBorders>
              <w:top w:val="nil"/>
              <w:left w:val="nil"/>
              <w:bottom w:val="nil"/>
              <w:right w:val="nil"/>
            </w:tcBorders>
            <w:vAlign w:val="center"/>
          </w:tcPr>
          <w:p w:rsidR="0073298C" w:rsidRDefault="0073298C" w:rsidP="0073298C">
            <w:pPr>
              <w:spacing w:before="22" w:after="22"/>
              <w:ind w:right="22"/>
              <w:rPr>
                <w:rFonts w:ascii="Arial" w:hAnsi="Arial" w:cs="Arial"/>
                <w:color w:val="000000"/>
                <w:sz w:val="18"/>
                <w:szCs w:val="18"/>
              </w:rPr>
            </w:pPr>
            <w:r>
              <w:rPr>
                <w:rFonts w:ascii="Arial" w:hAnsi="Arial" w:cs="Arial"/>
                <w:color w:val="000000"/>
                <w:sz w:val="18"/>
                <w:szCs w:val="18"/>
              </w:rPr>
              <w:t>%</w:t>
            </w:r>
          </w:p>
        </w:tc>
        <w:tc>
          <w:tcPr>
            <w:tcW w:w="103" w:type="dxa"/>
            <w:tcBorders>
              <w:top w:val="nil"/>
              <w:left w:val="nil"/>
              <w:bottom w:val="nil"/>
              <w:right w:val="nil"/>
            </w:tcBorders>
            <w:vAlign w:val="bottom"/>
          </w:tcPr>
          <w:p w:rsidR="0073298C" w:rsidRDefault="0073298C" w:rsidP="0073298C">
            <w:pPr>
              <w:spacing w:before="22" w:after="22"/>
              <w:ind w:left="22" w:right="22"/>
              <w:rPr>
                <w:color w:val="000000"/>
              </w:rPr>
            </w:pPr>
            <w:r>
              <w:rPr>
                <w:color w:val="000000"/>
              </w:rPr>
              <w:t> </w:t>
            </w:r>
          </w:p>
        </w:tc>
        <w:tc>
          <w:tcPr>
            <w:tcW w:w="1346" w:type="dxa"/>
            <w:gridSpan w:val="2"/>
            <w:tcBorders>
              <w:top w:val="nil"/>
              <w:left w:val="nil"/>
              <w:bottom w:val="nil"/>
              <w:right w:val="nil"/>
            </w:tcBorders>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29.9</w:t>
            </w:r>
          </w:p>
        </w:tc>
        <w:tc>
          <w:tcPr>
            <w:tcW w:w="180" w:type="dxa"/>
            <w:tcBorders>
              <w:top w:val="nil"/>
              <w:left w:val="nil"/>
              <w:bottom w:val="nil"/>
              <w:right w:val="nil"/>
            </w:tcBorders>
            <w:vAlign w:val="center"/>
          </w:tcPr>
          <w:p w:rsidR="0073298C" w:rsidRDefault="0073298C" w:rsidP="0073298C">
            <w:pPr>
              <w:spacing w:before="22" w:after="22"/>
              <w:ind w:right="22"/>
              <w:rPr>
                <w:rFonts w:ascii="Arial" w:hAnsi="Arial" w:cs="Arial"/>
                <w:color w:val="000000"/>
                <w:sz w:val="18"/>
                <w:szCs w:val="18"/>
              </w:rPr>
            </w:pPr>
            <w:r>
              <w:rPr>
                <w:rFonts w:ascii="Arial" w:hAnsi="Arial" w:cs="Arial"/>
                <w:color w:val="000000"/>
                <w:sz w:val="18"/>
                <w:szCs w:val="18"/>
              </w:rPr>
              <w:t>%</w:t>
            </w:r>
          </w:p>
        </w:tc>
        <w:tc>
          <w:tcPr>
            <w:tcW w:w="103" w:type="dxa"/>
            <w:tcBorders>
              <w:top w:val="nil"/>
              <w:left w:val="nil"/>
              <w:bottom w:val="nil"/>
              <w:right w:val="nil"/>
            </w:tcBorders>
            <w:vAlign w:val="bottom"/>
          </w:tcPr>
          <w:p w:rsidR="0073298C" w:rsidRDefault="0073298C" w:rsidP="0073298C">
            <w:pPr>
              <w:spacing w:before="22" w:after="22"/>
              <w:ind w:left="22" w:right="22"/>
              <w:rPr>
                <w:color w:val="000000"/>
              </w:rPr>
            </w:pPr>
            <w:r>
              <w:rPr>
                <w:color w:val="000000"/>
              </w:rPr>
              <w:t> </w:t>
            </w:r>
          </w:p>
        </w:tc>
        <w:tc>
          <w:tcPr>
            <w:tcW w:w="1346" w:type="dxa"/>
            <w:gridSpan w:val="2"/>
            <w:tcBorders>
              <w:top w:val="nil"/>
              <w:left w:val="nil"/>
              <w:bottom w:val="nil"/>
              <w:right w:val="nil"/>
            </w:tcBorders>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28.2</w:t>
            </w:r>
          </w:p>
        </w:tc>
        <w:tc>
          <w:tcPr>
            <w:tcW w:w="180" w:type="dxa"/>
            <w:tcBorders>
              <w:top w:val="nil"/>
              <w:left w:val="nil"/>
              <w:bottom w:val="nil"/>
              <w:right w:val="nil"/>
            </w:tcBorders>
            <w:vAlign w:val="center"/>
          </w:tcPr>
          <w:p w:rsidR="0073298C" w:rsidRDefault="0073298C" w:rsidP="0073298C">
            <w:pPr>
              <w:spacing w:before="22" w:after="22"/>
              <w:ind w:right="22"/>
              <w:rPr>
                <w:rFonts w:ascii="Arial" w:hAnsi="Arial" w:cs="Arial"/>
                <w:color w:val="000000"/>
                <w:sz w:val="18"/>
                <w:szCs w:val="18"/>
              </w:rPr>
            </w:pPr>
            <w:r>
              <w:rPr>
                <w:rFonts w:ascii="Arial" w:hAnsi="Arial" w:cs="Arial"/>
                <w:color w:val="000000"/>
                <w:sz w:val="18"/>
                <w:szCs w:val="18"/>
              </w:rPr>
              <w:t>%</w:t>
            </w:r>
          </w:p>
        </w:tc>
        <w:tc>
          <w:tcPr>
            <w:tcW w:w="103" w:type="dxa"/>
            <w:tcBorders>
              <w:top w:val="single" w:sz="6" w:space="0" w:color="00467E"/>
              <w:left w:val="nil"/>
              <w:bottom w:val="nil"/>
              <w:right w:val="nil"/>
            </w:tcBorders>
            <w:shd w:val="clear" w:color="00467E" w:fill="00467E"/>
            <w:vAlign w:val="bottom"/>
          </w:tcPr>
          <w:p w:rsidR="0073298C" w:rsidRDefault="0073298C" w:rsidP="0073298C">
            <w:pPr>
              <w:spacing w:before="22" w:after="22"/>
              <w:ind w:left="22" w:right="22"/>
              <w:rPr>
                <w:color w:val="000000"/>
              </w:rPr>
            </w:pPr>
            <w:r>
              <w:rPr>
                <w:color w:val="000000"/>
              </w:rPr>
              <w:t> </w:t>
            </w:r>
          </w:p>
        </w:tc>
        <w:tc>
          <w:tcPr>
            <w:tcW w:w="1011" w:type="dxa"/>
            <w:tcBorders>
              <w:top w:val="nil"/>
              <w:left w:val="nil"/>
              <w:bottom w:val="nil"/>
              <w:right w:val="nil"/>
            </w:tcBorders>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(150 bps)</w:t>
            </w:r>
          </w:p>
        </w:tc>
        <w:tc>
          <w:tcPr>
            <w:tcW w:w="230" w:type="dxa"/>
            <w:tcBorders>
              <w:top w:val="nil"/>
              <w:left w:val="nil"/>
              <w:bottom w:val="nil"/>
              <w:right w:val="nil"/>
            </w:tcBorders>
            <w:vAlign w:val="bottom"/>
          </w:tcPr>
          <w:p w:rsidR="0073298C" w:rsidRDefault="0073298C" w:rsidP="0073298C">
            <w:pPr>
              <w:spacing w:before="22" w:after="22"/>
              <w:ind w:left="22"/>
              <w:jc w:val="right"/>
              <w:rPr>
                <w:rFonts w:ascii="Arial" w:hAnsi="Arial" w:cs="Arial"/>
                <w:color w:val="000000"/>
                <w:sz w:val="18"/>
                <w:szCs w:val="18"/>
              </w:rPr>
            </w:pPr>
          </w:p>
          <w:p w:rsidR="0073298C" w:rsidRDefault="0073298C" w:rsidP="0073298C">
            <w:pPr>
              <w:rPr>
                <w:sz w:val="16"/>
                <w:szCs w:val="16"/>
              </w:rPr>
            </w:pPr>
            <w:r>
              <w:rPr>
                <w:sz w:val="16"/>
                <w:szCs w:val="16"/>
              </w:rPr>
              <w:t> </w:t>
            </w:r>
          </w:p>
        </w:tc>
        <w:tc>
          <w:tcPr>
            <w:tcW w:w="103" w:type="dxa"/>
            <w:tcBorders>
              <w:top w:val="nil"/>
              <w:left w:val="nil"/>
              <w:bottom w:val="nil"/>
              <w:right w:val="nil"/>
            </w:tcBorders>
            <w:vAlign w:val="bottom"/>
          </w:tcPr>
          <w:p w:rsidR="0073298C" w:rsidRDefault="0073298C" w:rsidP="0073298C">
            <w:pPr>
              <w:spacing w:before="22" w:after="22"/>
              <w:ind w:left="22" w:right="22"/>
              <w:rPr>
                <w:color w:val="000000"/>
              </w:rPr>
            </w:pPr>
            <w:r>
              <w:rPr>
                <w:color w:val="000000"/>
              </w:rPr>
              <w:t> </w:t>
            </w:r>
          </w:p>
        </w:tc>
        <w:tc>
          <w:tcPr>
            <w:tcW w:w="1034" w:type="dxa"/>
            <w:tcBorders>
              <w:top w:val="nil"/>
              <w:left w:val="nil"/>
              <w:bottom w:val="nil"/>
              <w:right w:val="nil"/>
            </w:tcBorders>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170</w:t>
            </w:r>
          </w:p>
        </w:tc>
        <w:tc>
          <w:tcPr>
            <w:tcW w:w="366" w:type="dxa"/>
            <w:tcBorders>
              <w:top w:val="nil"/>
              <w:left w:val="nil"/>
              <w:bottom w:val="nil"/>
              <w:right w:val="single" w:sz="6" w:space="0" w:color="00467E"/>
            </w:tcBorders>
            <w:vAlign w:val="center"/>
          </w:tcPr>
          <w:p w:rsidR="0073298C" w:rsidRDefault="0073298C" w:rsidP="0073298C">
            <w:pPr>
              <w:spacing w:before="22" w:after="22"/>
              <w:ind w:right="22"/>
              <w:rPr>
                <w:rFonts w:ascii="Arial" w:hAnsi="Arial" w:cs="Arial"/>
                <w:color w:val="000000"/>
                <w:sz w:val="18"/>
                <w:szCs w:val="18"/>
              </w:rPr>
            </w:pPr>
            <w:r>
              <w:rPr>
                <w:rFonts w:ascii="Arial" w:hAnsi="Arial" w:cs="Arial"/>
                <w:color w:val="000000"/>
                <w:sz w:val="18"/>
                <w:szCs w:val="18"/>
              </w:rPr>
              <w:t> bps</w:t>
            </w:r>
          </w:p>
        </w:tc>
      </w:tr>
      <w:tr w:rsidR="0073298C" w:rsidTr="0073298C">
        <w:tblPrEx>
          <w:tblCellMar>
            <w:top w:w="0" w:type="dxa"/>
            <w:left w:w="0" w:type="dxa"/>
            <w:bottom w:w="0" w:type="dxa"/>
            <w:right w:w="0" w:type="dxa"/>
          </w:tblCellMar>
        </w:tblPrEx>
        <w:trPr>
          <w:trHeight w:val="479"/>
        </w:trPr>
        <w:tc>
          <w:tcPr>
            <w:tcW w:w="3169" w:type="dxa"/>
            <w:tcBorders>
              <w:top w:val="nil"/>
              <w:left w:val="single" w:sz="6" w:space="0" w:color="00467E"/>
              <w:bottom w:val="single" w:sz="6" w:space="0" w:color="00467E"/>
              <w:right w:val="nil"/>
            </w:tcBorders>
            <w:shd w:val="clear" w:color="CFD4D8" w:fill="CFD4D8"/>
            <w:vAlign w:val="center"/>
          </w:tcPr>
          <w:p w:rsidR="0073298C" w:rsidRDefault="0073298C" w:rsidP="0073298C">
            <w:pPr>
              <w:spacing w:before="22" w:after="22"/>
              <w:ind w:left="330" w:right="22"/>
              <w:rPr>
                <w:rFonts w:ascii="Arial" w:hAnsi="Arial" w:cs="Arial"/>
                <w:color w:val="000000"/>
                <w:sz w:val="18"/>
                <w:szCs w:val="18"/>
              </w:rPr>
            </w:pPr>
            <w:r>
              <w:rPr>
                <w:rFonts w:ascii="Arial" w:hAnsi="Arial" w:cs="Arial"/>
                <w:color w:val="000000"/>
                <w:sz w:val="18"/>
                <w:szCs w:val="18"/>
              </w:rPr>
              <w:t>% of revenue before fuel surcharge</w:t>
            </w:r>
          </w:p>
        </w:tc>
        <w:tc>
          <w:tcPr>
            <w:tcW w:w="1346" w:type="dxa"/>
            <w:gridSpan w:val="2"/>
            <w:tcBorders>
              <w:top w:val="nil"/>
              <w:left w:val="nil"/>
              <w:bottom w:val="single" w:sz="6" w:space="0" w:color="00467E"/>
              <w:right w:val="nil"/>
            </w:tcBorders>
            <w:shd w:val="clear" w:color="CFD4D8" w:fill="CFD4D8"/>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31.6</w:t>
            </w:r>
          </w:p>
        </w:tc>
        <w:tc>
          <w:tcPr>
            <w:tcW w:w="180" w:type="dxa"/>
            <w:tcBorders>
              <w:top w:val="nil"/>
              <w:left w:val="nil"/>
              <w:bottom w:val="single" w:sz="6" w:space="0" w:color="00467E"/>
              <w:right w:val="nil"/>
            </w:tcBorders>
            <w:shd w:val="clear" w:color="CFD4D8" w:fill="CFD4D8"/>
            <w:vAlign w:val="center"/>
          </w:tcPr>
          <w:p w:rsidR="0073298C" w:rsidRDefault="0073298C" w:rsidP="0073298C">
            <w:pPr>
              <w:spacing w:before="22" w:after="22"/>
              <w:ind w:right="22"/>
              <w:rPr>
                <w:rFonts w:ascii="Arial" w:hAnsi="Arial" w:cs="Arial"/>
                <w:color w:val="000000"/>
                <w:sz w:val="18"/>
                <w:szCs w:val="18"/>
              </w:rPr>
            </w:pPr>
            <w:r>
              <w:rPr>
                <w:rFonts w:ascii="Arial" w:hAnsi="Arial" w:cs="Arial"/>
                <w:color w:val="000000"/>
                <w:sz w:val="18"/>
                <w:szCs w:val="18"/>
              </w:rPr>
              <w:t>%</w:t>
            </w:r>
          </w:p>
        </w:tc>
        <w:tc>
          <w:tcPr>
            <w:tcW w:w="103" w:type="dxa"/>
            <w:tcBorders>
              <w:top w:val="nil"/>
              <w:left w:val="nil"/>
              <w:bottom w:val="single" w:sz="6" w:space="0" w:color="00467E"/>
              <w:right w:val="nil"/>
            </w:tcBorders>
            <w:shd w:val="clear" w:color="CFD4D8" w:fill="CFD4D8"/>
            <w:vAlign w:val="bottom"/>
          </w:tcPr>
          <w:p w:rsidR="0073298C" w:rsidRDefault="0073298C" w:rsidP="0073298C">
            <w:pPr>
              <w:spacing w:before="22" w:after="22"/>
              <w:ind w:left="22" w:right="22"/>
              <w:rPr>
                <w:color w:val="000000"/>
              </w:rPr>
            </w:pPr>
            <w:r>
              <w:rPr>
                <w:color w:val="000000"/>
              </w:rPr>
              <w:t> </w:t>
            </w:r>
          </w:p>
        </w:tc>
        <w:tc>
          <w:tcPr>
            <w:tcW w:w="1346" w:type="dxa"/>
            <w:gridSpan w:val="2"/>
            <w:tcBorders>
              <w:top w:val="nil"/>
              <w:left w:val="nil"/>
              <w:bottom w:val="single" w:sz="6" w:space="0" w:color="00467E"/>
              <w:right w:val="nil"/>
            </w:tcBorders>
            <w:shd w:val="clear" w:color="CFD4D8" w:fill="CFD4D8"/>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32.5</w:t>
            </w:r>
          </w:p>
        </w:tc>
        <w:tc>
          <w:tcPr>
            <w:tcW w:w="180" w:type="dxa"/>
            <w:tcBorders>
              <w:top w:val="nil"/>
              <w:left w:val="nil"/>
              <w:bottom w:val="single" w:sz="6" w:space="0" w:color="00467E"/>
              <w:right w:val="nil"/>
            </w:tcBorders>
            <w:shd w:val="clear" w:color="CFD4D8" w:fill="CFD4D8"/>
            <w:vAlign w:val="center"/>
          </w:tcPr>
          <w:p w:rsidR="0073298C" w:rsidRDefault="0073298C" w:rsidP="0073298C">
            <w:pPr>
              <w:spacing w:before="22" w:after="22"/>
              <w:ind w:right="22"/>
              <w:rPr>
                <w:rFonts w:ascii="Arial" w:hAnsi="Arial" w:cs="Arial"/>
                <w:color w:val="000000"/>
                <w:sz w:val="18"/>
                <w:szCs w:val="18"/>
              </w:rPr>
            </w:pPr>
            <w:r>
              <w:rPr>
                <w:rFonts w:ascii="Arial" w:hAnsi="Arial" w:cs="Arial"/>
                <w:color w:val="000000"/>
                <w:sz w:val="18"/>
                <w:szCs w:val="18"/>
              </w:rPr>
              <w:t>%</w:t>
            </w:r>
          </w:p>
        </w:tc>
        <w:tc>
          <w:tcPr>
            <w:tcW w:w="103" w:type="dxa"/>
            <w:tcBorders>
              <w:top w:val="nil"/>
              <w:left w:val="nil"/>
              <w:bottom w:val="single" w:sz="6" w:space="0" w:color="00467E"/>
              <w:right w:val="nil"/>
            </w:tcBorders>
            <w:shd w:val="clear" w:color="CFD4D8" w:fill="CFD4D8"/>
            <w:vAlign w:val="bottom"/>
          </w:tcPr>
          <w:p w:rsidR="0073298C" w:rsidRDefault="0073298C" w:rsidP="0073298C">
            <w:pPr>
              <w:spacing w:before="22" w:after="22"/>
              <w:ind w:left="22" w:right="22"/>
              <w:rPr>
                <w:color w:val="000000"/>
              </w:rPr>
            </w:pPr>
            <w:r>
              <w:rPr>
                <w:color w:val="000000"/>
              </w:rPr>
              <w:t> </w:t>
            </w:r>
          </w:p>
        </w:tc>
        <w:tc>
          <w:tcPr>
            <w:tcW w:w="1346" w:type="dxa"/>
            <w:gridSpan w:val="2"/>
            <w:tcBorders>
              <w:top w:val="nil"/>
              <w:left w:val="nil"/>
              <w:bottom w:val="single" w:sz="6" w:space="0" w:color="00467E"/>
              <w:right w:val="nil"/>
            </w:tcBorders>
            <w:shd w:val="clear" w:color="CFD4D8" w:fill="CFD4D8"/>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31.5</w:t>
            </w:r>
          </w:p>
        </w:tc>
        <w:tc>
          <w:tcPr>
            <w:tcW w:w="180" w:type="dxa"/>
            <w:tcBorders>
              <w:top w:val="nil"/>
              <w:left w:val="nil"/>
              <w:bottom w:val="single" w:sz="6" w:space="0" w:color="00467E"/>
              <w:right w:val="nil"/>
            </w:tcBorders>
            <w:shd w:val="clear" w:color="CFD4D8" w:fill="CFD4D8"/>
            <w:vAlign w:val="center"/>
          </w:tcPr>
          <w:p w:rsidR="0073298C" w:rsidRDefault="0073298C" w:rsidP="0073298C">
            <w:pPr>
              <w:spacing w:before="22" w:after="22"/>
              <w:ind w:right="22"/>
              <w:rPr>
                <w:rFonts w:ascii="Arial" w:hAnsi="Arial" w:cs="Arial"/>
                <w:color w:val="000000"/>
                <w:sz w:val="18"/>
                <w:szCs w:val="18"/>
              </w:rPr>
            </w:pPr>
            <w:r>
              <w:rPr>
                <w:rFonts w:ascii="Arial" w:hAnsi="Arial" w:cs="Arial"/>
                <w:color w:val="000000"/>
                <w:sz w:val="18"/>
                <w:szCs w:val="18"/>
              </w:rPr>
              <w:t>%</w:t>
            </w:r>
          </w:p>
        </w:tc>
        <w:tc>
          <w:tcPr>
            <w:tcW w:w="103" w:type="dxa"/>
            <w:tcBorders>
              <w:top w:val="single" w:sz="6" w:space="0" w:color="00467E"/>
              <w:left w:val="nil"/>
              <w:bottom w:val="single" w:sz="6" w:space="0" w:color="00467E"/>
              <w:right w:val="nil"/>
            </w:tcBorders>
            <w:shd w:val="clear" w:color="00467E" w:fill="00467E"/>
            <w:vAlign w:val="bottom"/>
          </w:tcPr>
          <w:p w:rsidR="0073298C" w:rsidRDefault="0073298C" w:rsidP="0073298C">
            <w:pPr>
              <w:spacing w:before="22" w:after="22"/>
              <w:ind w:left="22" w:right="22"/>
              <w:rPr>
                <w:color w:val="000000"/>
              </w:rPr>
            </w:pPr>
            <w:r>
              <w:rPr>
                <w:color w:val="000000"/>
              </w:rPr>
              <w:t> </w:t>
            </w:r>
          </w:p>
        </w:tc>
        <w:tc>
          <w:tcPr>
            <w:tcW w:w="1011" w:type="dxa"/>
            <w:tcBorders>
              <w:top w:val="nil"/>
              <w:left w:val="nil"/>
              <w:bottom w:val="single" w:sz="6" w:space="0" w:color="00467E"/>
              <w:right w:val="nil"/>
            </w:tcBorders>
            <w:shd w:val="clear" w:color="CFD4D8" w:fill="CFD4D8"/>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(90 bps)</w:t>
            </w:r>
          </w:p>
        </w:tc>
        <w:tc>
          <w:tcPr>
            <w:tcW w:w="230" w:type="dxa"/>
            <w:tcBorders>
              <w:top w:val="nil"/>
              <w:left w:val="nil"/>
              <w:bottom w:val="single" w:sz="6" w:space="0" w:color="00467E"/>
              <w:right w:val="nil"/>
            </w:tcBorders>
            <w:shd w:val="clear" w:color="CFD4D8" w:fill="CFD4D8"/>
            <w:vAlign w:val="bottom"/>
          </w:tcPr>
          <w:p w:rsidR="0073298C" w:rsidRDefault="0073298C" w:rsidP="0073298C">
            <w:pPr>
              <w:spacing w:before="22" w:after="22"/>
              <w:ind w:left="22"/>
              <w:jc w:val="right"/>
              <w:rPr>
                <w:rFonts w:ascii="Arial" w:hAnsi="Arial" w:cs="Arial"/>
                <w:color w:val="000000"/>
                <w:sz w:val="18"/>
                <w:szCs w:val="18"/>
              </w:rPr>
            </w:pPr>
          </w:p>
          <w:p w:rsidR="0073298C" w:rsidRDefault="0073298C" w:rsidP="0073298C">
            <w:pPr>
              <w:rPr>
                <w:sz w:val="16"/>
                <w:szCs w:val="16"/>
              </w:rPr>
            </w:pPr>
            <w:r>
              <w:rPr>
                <w:sz w:val="16"/>
                <w:szCs w:val="16"/>
              </w:rPr>
              <w:t> </w:t>
            </w:r>
          </w:p>
        </w:tc>
        <w:tc>
          <w:tcPr>
            <w:tcW w:w="103" w:type="dxa"/>
            <w:tcBorders>
              <w:top w:val="nil"/>
              <w:left w:val="nil"/>
              <w:bottom w:val="single" w:sz="6" w:space="0" w:color="00467E"/>
              <w:right w:val="nil"/>
            </w:tcBorders>
            <w:shd w:val="clear" w:color="CFD4D8" w:fill="CFD4D8"/>
            <w:vAlign w:val="bottom"/>
          </w:tcPr>
          <w:p w:rsidR="0073298C" w:rsidRDefault="0073298C" w:rsidP="0073298C">
            <w:pPr>
              <w:spacing w:before="22" w:after="22"/>
              <w:ind w:left="22" w:right="22"/>
              <w:rPr>
                <w:color w:val="000000"/>
              </w:rPr>
            </w:pPr>
            <w:r>
              <w:rPr>
                <w:color w:val="000000"/>
              </w:rPr>
              <w:t> </w:t>
            </w:r>
          </w:p>
        </w:tc>
        <w:tc>
          <w:tcPr>
            <w:tcW w:w="1034" w:type="dxa"/>
            <w:tcBorders>
              <w:top w:val="nil"/>
              <w:left w:val="nil"/>
              <w:bottom w:val="single" w:sz="6" w:space="0" w:color="00467E"/>
              <w:right w:val="nil"/>
            </w:tcBorders>
            <w:shd w:val="clear" w:color="CFD4D8" w:fill="CFD4D8"/>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100</w:t>
            </w:r>
          </w:p>
        </w:tc>
        <w:tc>
          <w:tcPr>
            <w:tcW w:w="366" w:type="dxa"/>
            <w:tcBorders>
              <w:top w:val="nil"/>
              <w:left w:val="nil"/>
              <w:bottom w:val="single" w:sz="6" w:space="0" w:color="00467E"/>
              <w:right w:val="single" w:sz="6" w:space="0" w:color="00467E"/>
            </w:tcBorders>
            <w:shd w:val="clear" w:color="CFD4D8" w:fill="CFD4D8"/>
            <w:vAlign w:val="center"/>
          </w:tcPr>
          <w:p w:rsidR="0073298C" w:rsidRDefault="0073298C" w:rsidP="0073298C">
            <w:pPr>
              <w:spacing w:before="22" w:after="22"/>
              <w:ind w:right="22"/>
              <w:rPr>
                <w:rFonts w:ascii="Arial" w:hAnsi="Arial" w:cs="Arial"/>
                <w:color w:val="000000"/>
                <w:sz w:val="18"/>
                <w:szCs w:val="18"/>
              </w:rPr>
            </w:pPr>
            <w:r>
              <w:rPr>
                <w:rFonts w:ascii="Arial" w:hAnsi="Arial" w:cs="Arial"/>
                <w:color w:val="000000"/>
                <w:sz w:val="18"/>
                <w:szCs w:val="18"/>
              </w:rPr>
              <w:t> bps</w:t>
            </w:r>
          </w:p>
        </w:tc>
      </w:tr>
    </w:tbl>
    <w:p w:rsidR="0073298C" w:rsidRDefault="0073298C" w:rsidP="0073298C">
      <w:pPr>
        <w:spacing w:after="132"/>
        <w:jc w:val="both"/>
        <w:rPr>
          <w:rFonts w:ascii="Arial" w:hAnsi="Arial" w:cs="Arial"/>
          <w:color w:val="000000"/>
          <w:sz w:val="18"/>
          <w:szCs w:val="18"/>
        </w:rPr>
      </w:pPr>
      <w:r>
        <w:rPr>
          <w:rFonts w:ascii="Arial" w:hAnsi="Arial" w:cs="Arial"/>
          <w:color w:val="000000"/>
          <w:sz w:val="18"/>
          <w:szCs w:val="18"/>
        </w:rPr>
        <w:t>Salaries, wages, and benefits expense is primarily affected by the total number of miles driven by company driving associates, the rate per mile we pay our company driving associates, and employee benefits, including healthcare, workers' compensation, and other benefits. To a lesser extent, non-driver employee headcount, compensation, and benefits affect this expense. Driving associate wages is the largest component of salaries, wages, and benefits expense. We believe the driver market will continue to remain challenging and that several ongoing market factors have further reduced the pool of available driving associates. Having a sufficient number of qualified driving associates continues to be a major concern and our biggest headwind, although we continue to seek ways to attract and retain qualified driving associates, including investing in technology and terminals that improve the experience of driving associates. We expect driving associate pay to be inflationary, and we anticipate granting additional increases to our driving associates in the near term if supported by increases in the rates we receive from our customers as the market for qualified driving associates continues to tighten.</w:t>
      </w:r>
    </w:p>
    <w:p w:rsidR="0073298C" w:rsidRDefault="0073298C" w:rsidP="0073298C">
      <w:pPr>
        <w:spacing w:after="132"/>
        <w:jc w:val="both"/>
        <w:rPr>
          <w:rFonts w:ascii="Arial" w:hAnsi="Arial" w:cs="Arial"/>
          <w:color w:val="000000"/>
          <w:sz w:val="18"/>
          <w:szCs w:val="18"/>
        </w:rPr>
      </w:pPr>
      <w:r>
        <w:rPr>
          <w:rFonts w:ascii="Arial" w:hAnsi="Arial" w:cs="Arial"/>
          <w:i/>
          <w:iCs/>
          <w:color w:val="000000"/>
          <w:sz w:val="18"/>
          <w:szCs w:val="18"/>
        </w:rPr>
        <w:t>2017 Compared to 2016 —</w:t>
      </w:r>
      <w:r>
        <w:rPr>
          <w:rFonts w:ascii="Arial" w:hAnsi="Arial" w:cs="Arial"/>
          <w:color w:val="000000"/>
          <w:sz w:val="18"/>
          <w:szCs w:val="18"/>
        </w:rPr>
        <w:t xml:space="preserve"> The $354.6 million increase in consolidated salaries, wages, and benefits includes $352.6 million of expense from Swift's results for the September 9, 2017 through December 31, 2017 period, which included the wage increase we granted to over-the-road driving associates that was effective upon the 2017 Merger closing. Further, Knight's salaries, wages, and benefits expense increased $2.0 million from 2016 to 2017. In 2017, we recorded $5.6 million in merger-related bonuses and accelerated stock compensation expense recorded upon the close of the 2017 Merger. These items were offset primarily by a 6.9% decrease in miles driven by Knight's company driving associates from 2016 to 2017. As a percentage of revenue before fuel surcharge, Knight's expense remained relatively flat.</w:t>
      </w:r>
    </w:p>
    <w:p w:rsidR="0073298C" w:rsidRDefault="0073298C" w:rsidP="0073298C">
      <w:pPr>
        <w:spacing w:after="264"/>
        <w:jc w:val="both"/>
        <w:rPr>
          <w:rFonts w:ascii="Arial" w:hAnsi="Arial" w:cs="Arial"/>
          <w:color w:val="000000"/>
          <w:sz w:val="18"/>
          <w:szCs w:val="18"/>
        </w:rPr>
      </w:pPr>
      <w:r>
        <w:rPr>
          <w:rFonts w:ascii="Arial" w:hAnsi="Arial" w:cs="Arial"/>
          <w:i/>
          <w:iCs/>
          <w:color w:val="000000"/>
          <w:sz w:val="18"/>
          <w:szCs w:val="18"/>
        </w:rPr>
        <w:t>2016 Compared to 2015 —</w:t>
      </w:r>
      <w:r>
        <w:rPr>
          <w:rFonts w:ascii="Arial" w:hAnsi="Arial" w:cs="Arial"/>
          <w:color w:val="000000"/>
          <w:sz w:val="18"/>
          <w:szCs w:val="18"/>
        </w:rPr>
        <w:t xml:space="preserve"> Salaries, wages, and benefits expense, as a percentage of total revenue, increased to 29.9% in 2016 from 28.2% in 2015. The primary reason for the increase is attributable to lower total revenue in 2016 compared to 2015, as the dollar expense remained relatively flat.</w:t>
      </w:r>
    </w:p>
    <w:tbl>
      <w:tblPr>
        <w:tblW w:w="0" w:type="auto"/>
        <w:tblLayout w:type="fixed"/>
        <w:tblCellMar>
          <w:left w:w="0" w:type="dxa"/>
          <w:right w:w="0" w:type="dxa"/>
        </w:tblCellMar>
        <w:tblLook w:val="0000"/>
      </w:tblPr>
      <w:tblGrid>
        <w:gridCol w:w="3203"/>
        <w:gridCol w:w="120"/>
        <w:gridCol w:w="1234"/>
        <w:gridCol w:w="180"/>
        <w:gridCol w:w="104"/>
        <w:gridCol w:w="120"/>
        <w:gridCol w:w="1234"/>
        <w:gridCol w:w="180"/>
        <w:gridCol w:w="104"/>
        <w:gridCol w:w="120"/>
        <w:gridCol w:w="1234"/>
        <w:gridCol w:w="181"/>
        <w:gridCol w:w="104"/>
        <w:gridCol w:w="1039"/>
        <w:gridCol w:w="230"/>
        <w:gridCol w:w="104"/>
        <w:gridCol w:w="1016"/>
        <w:gridCol w:w="294"/>
      </w:tblGrid>
      <w:tr w:rsidR="0073298C" w:rsidTr="0073298C">
        <w:tblPrEx>
          <w:tblCellMar>
            <w:top w:w="0" w:type="dxa"/>
            <w:left w:w="0" w:type="dxa"/>
            <w:bottom w:w="0" w:type="dxa"/>
            <w:right w:w="0" w:type="dxa"/>
          </w:tblCellMar>
        </w:tblPrEx>
        <w:trPr>
          <w:trHeight w:val="66"/>
        </w:trPr>
        <w:tc>
          <w:tcPr>
            <w:tcW w:w="10799" w:type="dxa"/>
            <w:gridSpan w:val="18"/>
            <w:tcBorders>
              <w:top w:val="nil"/>
              <w:left w:val="nil"/>
              <w:bottom w:val="nil"/>
              <w:right w:val="nil"/>
            </w:tcBorders>
            <w:vAlign w:val="center"/>
          </w:tcPr>
          <w:p w:rsidR="0073298C" w:rsidRDefault="0073298C" w:rsidP="0073298C">
            <w:pPr>
              <w:rPr>
                <w:sz w:val="16"/>
                <w:szCs w:val="16"/>
              </w:rPr>
            </w:pPr>
            <w:r>
              <w:rPr>
                <w:sz w:val="16"/>
                <w:szCs w:val="16"/>
              </w:rPr>
              <w:t> </w:t>
            </w:r>
          </w:p>
        </w:tc>
      </w:tr>
      <w:tr w:rsidR="0073298C" w:rsidTr="0073298C">
        <w:tblPrEx>
          <w:tblCellMar>
            <w:top w:w="0" w:type="dxa"/>
            <w:left w:w="0" w:type="dxa"/>
            <w:bottom w:w="0" w:type="dxa"/>
            <w:right w:w="0" w:type="dxa"/>
          </w:tblCellMar>
        </w:tblPrEx>
        <w:trPr>
          <w:trHeight w:val="66"/>
        </w:trPr>
        <w:tc>
          <w:tcPr>
            <w:tcW w:w="3203" w:type="dxa"/>
            <w:tcBorders>
              <w:top w:val="nil"/>
              <w:left w:val="nil"/>
              <w:bottom w:val="nil"/>
              <w:right w:val="nil"/>
            </w:tcBorders>
            <w:vAlign w:val="center"/>
          </w:tcPr>
          <w:p w:rsidR="0073298C" w:rsidRDefault="0073298C" w:rsidP="0073298C">
            <w:pPr>
              <w:rPr>
                <w:sz w:val="16"/>
                <w:szCs w:val="16"/>
              </w:rPr>
            </w:pPr>
            <w:r>
              <w:rPr>
                <w:sz w:val="16"/>
                <w:szCs w:val="16"/>
              </w:rPr>
              <w:t> </w:t>
            </w:r>
          </w:p>
        </w:tc>
        <w:tc>
          <w:tcPr>
            <w:tcW w:w="120" w:type="dxa"/>
            <w:tcBorders>
              <w:top w:val="nil"/>
              <w:left w:val="nil"/>
              <w:bottom w:val="nil"/>
              <w:right w:val="nil"/>
            </w:tcBorders>
            <w:vAlign w:val="center"/>
          </w:tcPr>
          <w:p w:rsidR="0073298C" w:rsidRDefault="0073298C" w:rsidP="0073298C">
            <w:pPr>
              <w:rPr>
                <w:sz w:val="16"/>
                <w:szCs w:val="16"/>
              </w:rPr>
            </w:pPr>
            <w:r>
              <w:rPr>
                <w:sz w:val="16"/>
                <w:szCs w:val="16"/>
              </w:rPr>
              <w:t> </w:t>
            </w:r>
          </w:p>
        </w:tc>
        <w:tc>
          <w:tcPr>
            <w:tcW w:w="1234" w:type="dxa"/>
            <w:tcBorders>
              <w:top w:val="nil"/>
              <w:left w:val="nil"/>
              <w:bottom w:val="nil"/>
              <w:right w:val="nil"/>
            </w:tcBorders>
            <w:vAlign w:val="center"/>
          </w:tcPr>
          <w:p w:rsidR="0073298C" w:rsidRDefault="0073298C" w:rsidP="0073298C">
            <w:pPr>
              <w:rPr>
                <w:sz w:val="16"/>
                <w:szCs w:val="16"/>
              </w:rPr>
            </w:pPr>
            <w:r>
              <w:rPr>
                <w:sz w:val="16"/>
                <w:szCs w:val="16"/>
              </w:rPr>
              <w:t> </w:t>
            </w:r>
          </w:p>
        </w:tc>
        <w:tc>
          <w:tcPr>
            <w:tcW w:w="180" w:type="dxa"/>
            <w:tcBorders>
              <w:top w:val="nil"/>
              <w:left w:val="nil"/>
              <w:bottom w:val="nil"/>
              <w:right w:val="nil"/>
            </w:tcBorders>
            <w:vAlign w:val="center"/>
          </w:tcPr>
          <w:p w:rsidR="0073298C" w:rsidRDefault="0073298C" w:rsidP="0073298C">
            <w:pPr>
              <w:rPr>
                <w:sz w:val="16"/>
                <w:szCs w:val="16"/>
              </w:rPr>
            </w:pPr>
            <w:r>
              <w:rPr>
                <w:sz w:val="16"/>
                <w:szCs w:val="16"/>
              </w:rPr>
              <w:t> </w:t>
            </w:r>
          </w:p>
        </w:tc>
        <w:tc>
          <w:tcPr>
            <w:tcW w:w="104" w:type="dxa"/>
            <w:tcBorders>
              <w:top w:val="nil"/>
              <w:left w:val="nil"/>
              <w:bottom w:val="nil"/>
              <w:right w:val="nil"/>
            </w:tcBorders>
            <w:vAlign w:val="center"/>
          </w:tcPr>
          <w:p w:rsidR="0073298C" w:rsidRDefault="0073298C" w:rsidP="0073298C">
            <w:pPr>
              <w:rPr>
                <w:sz w:val="16"/>
                <w:szCs w:val="16"/>
              </w:rPr>
            </w:pPr>
            <w:r>
              <w:rPr>
                <w:sz w:val="16"/>
                <w:szCs w:val="16"/>
              </w:rPr>
              <w:t> </w:t>
            </w:r>
          </w:p>
        </w:tc>
        <w:tc>
          <w:tcPr>
            <w:tcW w:w="120" w:type="dxa"/>
            <w:tcBorders>
              <w:top w:val="nil"/>
              <w:left w:val="nil"/>
              <w:bottom w:val="nil"/>
              <w:right w:val="nil"/>
            </w:tcBorders>
            <w:vAlign w:val="center"/>
          </w:tcPr>
          <w:p w:rsidR="0073298C" w:rsidRDefault="0073298C" w:rsidP="0073298C">
            <w:pPr>
              <w:rPr>
                <w:sz w:val="16"/>
                <w:szCs w:val="16"/>
              </w:rPr>
            </w:pPr>
            <w:r>
              <w:rPr>
                <w:sz w:val="16"/>
                <w:szCs w:val="16"/>
              </w:rPr>
              <w:t> </w:t>
            </w:r>
          </w:p>
        </w:tc>
        <w:tc>
          <w:tcPr>
            <w:tcW w:w="1234" w:type="dxa"/>
            <w:tcBorders>
              <w:top w:val="nil"/>
              <w:left w:val="nil"/>
              <w:bottom w:val="nil"/>
              <w:right w:val="nil"/>
            </w:tcBorders>
            <w:vAlign w:val="center"/>
          </w:tcPr>
          <w:p w:rsidR="0073298C" w:rsidRDefault="0073298C" w:rsidP="0073298C">
            <w:pPr>
              <w:rPr>
                <w:sz w:val="16"/>
                <w:szCs w:val="16"/>
              </w:rPr>
            </w:pPr>
            <w:r>
              <w:rPr>
                <w:sz w:val="16"/>
                <w:szCs w:val="16"/>
              </w:rPr>
              <w:t> </w:t>
            </w:r>
          </w:p>
        </w:tc>
        <w:tc>
          <w:tcPr>
            <w:tcW w:w="180" w:type="dxa"/>
            <w:tcBorders>
              <w:top w:val="nil"/>
              <w:left w:val="nil"/>
              <w:bottom w:val="nil"/>
              <w:right w:val="nil"/>
            </w:tcBorders>
            <w:vAlign w:val="center"/>
          </w:tcPr>
          <w:p w:rsidR="0073298C" w:rsidRDefault="0073298C" w:rsidP="0073298C">
            <w:pPr>
              <w:rPr>
                <w:sz w:val="16"/>
                <w:szCs w:val="16"/>
              </w:rPr>
            </w:pPr>
            <w:r>
              <w:rPr>
                <w:sz w:val="16"/>
                <w:szCs w:val="16"/>
              </w:rPr>
              <w:t> </w:t>
            </w:r>
          </w:p>
        </w:tc>
        <w:tc>
          <w:tcPr>
            <w:tcW w:w="104" w:type="dxa"/>
            <w:tcBorders>
              <w:top w:val="nil"/>
              <w:left w:val="nil"/>
              <w:bottom w:val="nil"/>
              <w:right w:val="nil"/>
            </w:tcBorders>
            <w:vAlign w:val="center"/>
          </w:tcPr>
          <w:p w:rsidR="0073298C" w:rsidRDefault="0073298C" w:rsidP="0073298C">
            <w:pPr>
              <w:rPr>
                <w:sz w:val="16"/>
                <w:szCs w:val="16"/>
              </w:rPr>
            </w:pPr>
            <w:r>
              <w:rPr>
                <w:sz w:val="16"/>
                <w:szCs w:val="16"/>
              </w:rPr>
              <w:t> </w:t>
            </w:r>
          </w:p>
        </w:tc>
        <w:tc>
          <w:tcPr>
            <w:tcW w:w="120" w:type="dxa"/>
            <w:tcBorders>
              <w:top w:val="nil"/>
              <w:left w:val="nil"/>
              <w:bottom w:val="nil"/>
              <w:right w:val="nil"/>
            </w:tcBorders>
            <w:vAlign w:val="center"/>
          </w:tcPr>
          <w:p w:rsidR="0073298C" w:rsidRDefault="0073298C" w:rsidP="0073298C">
            <w:pPr>
              <w:rPr>
                <w:sz w:val="16"/>
                <w:szCs w:val="16"/>
              </w:rPr>
            </w:pPr>
            <w:r>
              <w:rPr>
                <w:sz w:val="16"/>
                <w:szCs w:val="16"/>
              </w:rPr>
              <w:t> </w:t>
            </w:r>
          </w:p>
        </w:tc>
        <w:tc>
          <w:tcPr>
            <w:tcW w:w="1234" w:type="dxa"/>
            <w:tcBorders>
              <w:top w:val="nil"/>
              <w:left w:val="nil"/>
              <w:bottom w:val="nil"/>
              <w:right w:val="nil"/>
            </w:tcBorders>
            <w:vAlign w:val="center"/>
          </w:tcPr>
          <w:p w:rsidR="0073298C" w:rsidRDefault="0073298C" w:rsidP="0073298C">
            <w:pPr>
              <w:rPr>
                <w:sz w:val="16"/>
                <w:szCs w:val="16"/>
              </w:rPr>
            </w:pPr>
            <w:r>
              <w:rPr>
                <w:sz w:val="16"/>
                <w:szCs w:val="16"/>
              </w:rPr>
              <w:t> </w:t>
            </w:r>
          </w:p>
        </w:tc>
        <w:tc>
          <w:tcPr>
            <w:tcW w:w="180" w:type="dxa"/>
            <w:tcBorders>
              <w:top w:val="nil"/>
              <w:left w:val="nil"/>
              <w:bottom w:val="nil"/>
              <w:right w:val="nil"/>
            </w:tcBorders>
            <w:vAlign w:val="center"/>
          </w:tcPr>
          <w:p w:rsidR="0073298C" w:rsidRDefault="0073298C" w:rsidP="0073298C">
            <w:pPr>
              <w:rPr>
                <w:sz w:val="16"/>
                <w:szCs w:val="16"/>
              </w:rPr>
            </w:pPr>
            <w:r>
              <w:rPr>
                <w:sz w:val="16"/>
                <w:szCs w:val="16"/>
              </w:rPr>
              <w:t> </w:t>
            </w:r>
          </w:p>
        </w:tc>
        <w:tc>
          <w:tcPr>
            <w:tcW w:w="104" w:type="dxa"/>
            <w:tcBorders>
              <w:top w:val="nil"/>
              <w:left w:val="nil"/>
              <w:bottom w:val="nil"/>
              <w:right w:val="nil"/>
            </w:tcBorders>
            <w:vAlign w:val="center"/>
          </w:tcPr>
          <w:p w:rsidR="0073298C" w:rsidRDefault="0073298C" w:rsidP="0073298C">
            <w:pPr>
              <w:rPr>
                <w:sz w:val="16"/>
                <w:szCs w:val="16"/>
              </w:rPr>
            </w:pPr>
            <w:r>
              <w:rPr>
                <w:sz w:val="16"/>
                <w:szCs w:val="16"/>
              </w:rPr>
              <w:t> </w:t>
            </w:r>
          </w:p>
        </w:tc>
        <w:tc>
          <w:tcPr>
            <w:tcW w:w="1039" w:type="dxa"/>
            <w:tcBorders>
              <w:top w:val="nil"/>
              <w:left w:val="nil"/>
              <w:bottom w:val="nil"/>
              <w:right w:val="nil"/>
            </w:tcBorders>
            <w:vAlign w:val="center"/>
          </w:tcPr>
          <w:p w:rsidR="0073298C" w:rsidRDefault="0073298C" w:rsidP="0073298C">
            <w:pPr>
              <w:rPr>
                <w:sz w:val="16"/>
                <w:szCs w:val="16"/>
              </w:rPr>
            </w:pPr>
            <w:r>
              <w:rPr>
                <w:sz w:val="16"/>
                <w:szCs w:val="16"/>
              </w:rPr>
              <w:t> </w:t>
            </w:r>
          </w:p>
        </w:tc>
        <w:tc>
          <w:tcPr>
            <w:tcW w:w="230" w:type="dxa"/>
            <w:tcBorders>
              <w:top w:val="nil"/>
              <w:left w:val="nil"/>
              <w:bottom w:val="nil"/>
              <w:right w:val="nil"/>
            </w:tcBorders>
            <w:vAlign w:val="center"/>
          </w:tcPr>
          <w:p w:rsidR="0073298C" w:rsidRDefault="0073298C" w:rsidP="0073298C">
            <w:pPr>
              <w:rPr>
                <w:sz w:val="16"/>
                <w:szCs w:val="16"/>
              </w:rPr>
            </w:pPr>
            <w:r>
              <w:rPr>
                <w:sz w:val="16"/>
                <w:szCs w:val="16"/>
              </w:rPr>
              <w:t> </w:t>
            </w:r>
          </w:p>
        </w:tc>
        <w:tc>
          <w:tcPr>
            <w:tcW w:w="104" w:type="dxa"/>
            <w:tcBorders>
              <w:top w:val="nil"/>
              <w:left w:val="nil"/>
              <w:bottom w:val="nil"/>
              <w:right w:val="nil"/>
            </w:tcBorders>
            <w:vAlign w:val="center"/>
          </w:tcPr>
          <w:p w:rsidR="0073298C" w:rsidRDefault="0073298C" w:rsidP="0073298C">
            <w:pPr>
              <w:rPr>
                <w:sz w:val="16"/>
                <w:szCs w:val="16"/>
              </w:rPr>
            </w:pPr>
            <w:r>
              <w:rPr>
                <w:sz w:val="16"/>
                <w:szCs w:val="16"/>
              </w:rPr>
              <w:t> </w:t>
            </w:r>
          </w:p>
        </w:tc>
        <w:tc>
          <w:tcPr>
            <w:tcW w:w="1016" w:type="dxa"/>
            <w:tcBorders>
              <w:top w:val="nil"/>
              <w:left w:val="nil"/>
              <w:bottom w:val="nil"/>
              <w:right w:val="nil"/>
            </w:tcBorders>
            <w:vAlign w:val="center"/>
          </w:tcPr>
          <w:p w:rsidR="0073298C" w:rsidRDefault="0073298C" w:rsidP="0073298C">
            <w:pPr>
              <w:rPr>
                <w:sz w:val="16"/>
                <w:szCs w:val="16"/>
              </w:rPr>
            </w:pPr>
            <w:r>
              <w:rPr>
                <w:sz w:val="16"/>
                <w:szCs w:val="16"/>
              </w:rPr>
              <w:t> </w:t>
            </w:r>
          </w:p>
        </w:tc>
        <w:tc>
          <w:tcPr>
            <w:tcW w:w="294" w:type="dxa"/>
            <w:tcBorders>
              <w:top w:val="nil"/>
              <w:left w:val="nil"/>
              <w:bottom w:val="nil"/>
              <w:right w:val="nil"/>
            </w:tcBorders>
            <w:vAlign w:val="center"/>
          </w:tcPr>
          <w:p w:rsidR="0073298C" w:rsidRDefault="0073298C" w:rsidP="0073298C">
            <w:pPr>
              <w:rPr>
                <w:sz w:val="16"/>
                <w:szCs w:val="16"/>
              </w:rPr>
            </w:pPr>
            <w:r>
              <w:rPr>
                <w:sz w:val="16"/>
                <w:szCs w:val="16"/>
              </w:rPr>
              <w:t> </w:t>
            </w:r>
          </w:p>
        </w:tc>
      </w:tr>
      <w:tr w:rsidR="0073298C" w:rsidTr="0073298C">
        <w:tblPrEx>
          <w:tblCellMar>
            <w:top w:w="0" w:type="dxa"/>
            <w:left w:w="0" w:type="dxa"/>
            <w:bottom w:w="0" w:type="dxa"/>
            <w:right w:w="0" w:type="dxa"/>
          </w:tblCellMar>
        </w:tblPrEx>
        <w:trPr>
          <w:trHeight w:val="298"/>
        </w:trPr>
        <w:tc>
          <w:tcPr>
            <w:tcW w:w="3203" w:type="dxa"/>
            <w:tcBorders>
              <w:top w:val="single" w:sz="6" w:space="0" w:color="00467E"/>
              <w:left w:val="single" w:sz="6" w:space="0" w:color="00467E"/>
              <w:bottom w:val="nil"/>
              <w:right w:val="nil"/>
            </w:tcBorders>
            <w:vAlign w:val="center"/>
          </w:tcPr>
          <w:p w:rsidR="0073298C" w:rsidRDefault="0073298C" w:rsidP="0073298C">
            <w:pPr>
              <w:spacing w:before="22" w:after="22"/>
              <w:ind w:left="22" w:right="22"/>
              <w:rPr>
                <w:rFonts w:ascii="Arial" w:hAnsi="Arial" w:cs="Arial"/>
                <w:b/>
                <w:bCs w:val="0"/>
                <w:color w:val="000000"/>
                <w:sz w:val="16"/>
                <w:szCs w:val="16"/>
              </w:rPr>
            </w:pPr>
            <w:r>
              <w:rPr>
                <w:rFonts w:ascii="Arial" w:hAnsi="Arial" w:cs="Arial"/>
                <w:b/>
                <w:bCs w:val="0"/>
                <w:color w:val="000000"/>
                <w:sz w:val="16"/>
                <w:szCs w:val="16"/>
              </w:rPr>
              <w:t> </w:t>
            </w:r>
          </w:p>
        </w:tc>
        <w:tc>
          <w:tcPr>
            <w:tcW w:w="1534" w:type="dxa"/>
            <w:gridSpan w:val="3"/>
            <w:tcBorders>
              <w:top w:val="single" w:sz="6" w:space="0" w:color="00467E"/>
              <w:left w:val="nil"/>
              <w:bottom w:val="single" w:sz="6" w:space="0" w:color="000000"/>
              <w:right w:val="nil"/>
            </w:tcBorders>
            <w:vAlign w:val="center"/>
          </w:tcPr>
          <w:p w:rsidR="0073298C" w:rsidRDefault="0073298C" w:rsidP="0073298C">
            <w:pPr>
              <w:spacing w:before="22" w:after="22"/>
              <w:ind w:left="22" w:right="22"/>
              <w:jc w:val="center"/>
              <w:rPr>
                <w:rFonts w:ascii="Arial" w:hAnsi="Arial" w:cs="Arial"/>
                <w:b/>
                <w:bCs w:val="0"/>
                <w:color w:val="000000"/>
                <w:sz w:val="14"/>
                <w:szCs w:val="14"/>
              </w:rPr>
            </w:pPr>
            <w:r>
              <w:rPr>
                <w:rFonts w:ascii="Arial" w:hAnsi="Arial" w:cs="Arial"/>
                <w:b/>
                <w:bCs w:val="0"/>
                <w:color w:val="000000"/>
                <w:sz w:val="14"/>
                <w:szCs w:val="14"/>
              </w:rPr>
              <w:t>2017</w:t>
            </w:r>
          </w:p>
        </w:tc>
        <w:tc>
          <w:tcPr>
            <w:tcW w:w="104" w:type="dxa"/>
            <w:tcBorders>
              <w:top w:val="single" w:sz="6" w:space="0" w:color="00467E"/>
              <w:left w:val="nil"/>
              <w:bottom w:val="nil"/>
              <w:right w:val="nil"/>
            </w:tcBorders>
            <w:vAlign w:val="bottom"/>
          </w:tcPr>
          <w:p w:rsidR="0073298C" w:rsidRDefault="0073298C" w:rsidP="0073298C">
            <w:pPr>
              <w:spacing w:before="22" w:after="22"/>
              <w:ind w:left="22" w:right="22"/>
              <w:rPr>
                <w:color w:val="000000"/>
              </w:rPr>
            </w:pPr>
            <w:r>
              <w:rPr>
                <w:color w:val="000000"/>
              </w:rPr>
              <w:t> </w:t>
            </w:r>
          </w:p>
        </w:tc>
        <w:tc>
          <w:tcPr>
            <w:tcW w:w="1534" w:type="dxa"/>
            <w:gridSpan w:val="3"/>
            <w:tcBorders>
              <w:top w:val="single" w:sz="6" w:space="0" w:color="00467E"/>
              <w:left w:val="nil"/>
              <w:bottom w:val="single" w:sz="6" w:space="0" w:color="000000"/>
              <w:right w:val="nil"/>
            </w:tcBorders>
            <w:vAlign w:val="center"/>
          </w:tcPr>
          <w:p w:rsidR="0073298C" w:rsidRDefault="0073298C" w:rsidP="0073298C">
            <w:pPr>
              <w:spacing w:before="22" w:after="22"/>
              <w:ind w:left="22" w:right="22"/>
              <w:jc w:val="center"/>
              <w:rPr>
                <w:rFonts w:ascii="Arial" w:hAnsi="Arial" w:cs="Arial"/>
                <w:b/>
                <w:bCs w:val="0"/>
                <w:color w:val="000000"/>
                <w:sz w:val="14"/>
                <w:szCs w:val="14"/>
              </w:rPr>
            </w:pPr>
            <w:r>
              <w:rPr>
                <w:rFonts w:ascii="Arial" w:hAnsi="Arial" w:cs="Arial"/>
                <w:b/>
                <w:bCs w:val="0"/>
                <w:color w:val="000000"/>
                <w:sz w:val="14"/>
                <w:szCs w:val="14"/>
              </w:rPr>
              <w:t>2016</w:t>
            </w:r>
          </w:p>
        </w:tc>
        <w:tc>
          <w:tcPr>
            <w:tcW w:w="104" w:type="dxa"/>
            <w:tcBorders>
              <w:top w:val="single" w:sz="6" w:space="0" w:color="00467E"/>
              <w:left w:val="nil"/>
              <w:bottom w:val="nil"/>
              <w:right w:val="nil"/>
            </w:tcBorders>
            <w:vAlign w:val="bottom"/>
          </w:tcPr>
          <w:p w:rsidR="0073298C" w:rsidRDefault="0073298C" w:rsidP="0073298C">
            <w:pPr>
              <w:spacing w:before="22" w:after="22"/>
              <w:ind w:left="22" w:right="22"/>
              <w:rPr>
                <w:color w:val="000000"/>
              </w:rPr>
            </w:pPr>
            <w:r>
              <w:rPr>
                <w:color w:val="000000"/>
              </w:rPr>
              <w:t> </w:t>
            </w:r>
          </w:p>
        </w:tc>
        <w:tc>
          <w:tcPr>
            <w:tcW w:w="1534" w:type="dxa"/>
            <w:gridSpan w:val="3"/>
            <w:tcBorders>
              <w:top w:val="single" w:sz="6" w:space="0" w:color="00467E"/>
              <w:left w:val="nil"/>
              <w:bottom w:val="single" w:sz="6" w:space="0" w:color="000000"/>
              <w:right w:val="nil"/>
            </w:tcBorders>
            <w:vAlign w:val="center"/>
          </w:tcPr>
          <w:p w:rsidR="0073298C" w:rsidRDefault="0073298C" w:rsidP="0073298C">
            <w:pPr>
              <w:spacing w:before="22" w:after="22"/>
              <w:ind w:left="22" w:right="22"/>
              <w:jc w:val="center"/>
              <w:rPr>
                <w:rFonts w:ascii="Arial" w:hAnsi="Arial" w:cs="Arial"/>
                <w:b/>
                <w:bCs w:val="0"/>
                <w:color w:val="000000"/>
                <w:sz w:val="14"/>
                <w:szCs w:val="14"/>
              </w:rPr>
            </w:pPr>
            <w:r>
              <w:rPr>
                <w:rFonts w:ascii="Arial" w:hAnsi="Arial" w:cs="Arial"/>
                <w:b/>
                <w:bCs w:val="0"/>
                <w:color w:val="000000"/>
                <w:sz w:val="14"/>
                <w:szCs w:val="14"/>
              </w:rPr>
              <w:t>2015</w:t>
            </w:r>
          </w:p>
        </w:tc>
        <w:tc>
          <w:tcPr>
            <w:tcW w:w="104" w:type="dxa"/>
            <w:tcBorders>
              <w:top w:val="single" w:sz="6" w:space="0" w:color="00467E"/>
              <w:left w:val="nil"/>
              <w:bottom w:val="nil"/>
              <w:right w:val="nil"/>
            </w:tcBorders>
            <w:shd w:val="clear" w:color="00467E" w:fill="00467E"/>
            <w:vAlign w:val="bottom"/>
          </w:tcPr>
          <w:p w:rsidR="0073298C" w:rsidRDefault="0073298C" w:rsidP="0073298C">
            <w:pPr>
              <w:spacing w:before="22" w:after="22"/>
              <w:ind w:left="22" w:right="22"/>
              <w:rPr>
                <w:color w:val="000000"/>
              </w:rPr>
            </w:pPr>
            <w:r>
              <w:rPr>
                <w:color w:val="000000"/>
              </w:rPr>
              <w:t> </w:t>
            </w:r>
          </w:p>
        </w:tc>
        <w:tc>
          <w:tcPr>
            <w:tcW w:w="1269" w:type="dxa"/>
            <w:gridSpan w:val="2"/>
            <w:tcBorders>
              <w:top w:val="single" w:sz="6" w:space="0" w:color="00467E"/>
              <w:left w:val="nil"/>
              <w:bottom w:val="single" w:sz="6" w:space="0" w:color="000000"/>
              <w:right w:val="nil"/>
            </w:tcBorders>
            <w:vAlign w:val="center"/>
          </w:tcPr>
          <w:p w:rsidR="0073298C" w:rsidRDefault="0073298C" w:rsidP="0073298C">
            <w:pPr>
              <w:spacing w:before="22" w:after="22"/>
              <w:ind w:left="22" w:right="22"/>
              <w:jc w:val="center"/>
              <w:rPr>
                <w:rFonts w:ascii="Arial" w:hAnsi="Arial" w:cs="Arial"/>
                <w:b/>
                <w:bCs w:val="0"/>
                <w:color w:val="000000"/>
                <w:sz w:val="14"/>
                <w:szCs w:val="14"/>
              </w:rPr>
            </w:pPr>
            <w:r>
              <w:rPr>
                <w:rFonts w:ascii="Arial" w:hAnsi="Arial" w:cs="Arial"/>
                <w:b/>
                <w:bCs w:val="0"/>
                <w:color w:val="000000"/>
                <w:sz w:val="14"/>
                <w:szCs w:val="14"/>
              </w:rPr>
              <w:t>2017 vs. 2016</w:t>
            </w:r>
          </w:p>
        </w:tc>
        <w:tc>
          <w:tcPr>
            <w:tcW w:w="104" w:type="dxa"/>
            <w:tcBorders>
              <w:top w:val="single" w:sz="6" w:space="0" w:color="00467E"/>
              <w:left w:val="nil"/>
              <w:bottom w:val="nil"/>
              <w:right w:val="nil"/>
            </w:tcBorders>
            <w:vAlign w:val="bottom"/>
          </w:tcPr>
          <w:p w:rsidR="0073298C" w:rsidRDefault="0073298C" w:rsidP="0073298C">
            <w:pPr>
              <w:spacing w:before="22" w:after="22"/>
              <w:ind w:left="22" w:right="22"/>
              <w:rPr>
                <w:color w:val="000000"/>
              </w:rPr>
            </w:pPr>
            <w:r>
              <w:rPr>
                <w:color w:val="000000"/>
              </w:rPr>
              <w:t> </w:t>
            </w:r>
          </w:p>
        </w:tc>
        <w:tc>
          <w:tcPr>
            <w:tcW w:w="1306" w:type="dxa"/>
            <w:gridSpan w:val="2"/>
            <w:tcBorders>
              <w:top w:val="single" w:sz="6" w:space="0" w:color="00467E"/>
              <w:left w:val="nil"/>
              <w:bottom w:val="single" w:sz="6" w:space="0" w:color="000000"/>
              <w:right w:val="single" w:sz="6" w:space="0" w:color="00467E"/>
            </w:tcBorders>
            <w:vAlign w:val="center"/>
          </w:tcPr>
          <w:p w:rsidR="0073298C" w:rsidRDefault="0073298C" w:rsidP="0073298C">
            <w:pPr>
              <w:spacing w:before="22" w:after="22"/>
              <w:ind w:left="22" w:right="22"/>
              <w:jc w:val="center"/>
              <w:rPr>
                <w:rFonts w:ascii="Arial" w:hAnsi="Arial" w:cs="Arial"/>
                <w:b/>
                <w:bCs w:val="0"/>
                <w:color w:val="000000"/>
                <w:sz w:val="14"/>
                <w:szCs w:val="14"/>
              </w:rPr>
            </w:pPr>
            <w:r>
              <w:rPr>
                <w:rFonts w:ascii="Arial" w:hAnsi="Arial" w:cs="Arial"/>
                <w:b/>
                <w:bCs w:val="0"/>
                <w:color w:val="000000"/>
                <w:sz w:val="14"/>
                <w:szCs w:val="14"/>
              </w:rPr>
              <w:t>2016 vs. 2015</w:t>
            </w:r>
          </w:p>
        </w:tc>
      </w:tr>
      <w:tr w:rsidR="0073298C" w:rsidTr="0073298C">
        <w:tblPrEx>
          <w:tblCellMar>
            <w:top w:w="0" w:type="dxa"/>
            <w:left w:w="0" w:type="dxa"/>
            <w:bottom w:w="0" w:type="dxa"/>
            <w:right w:w="0" w:type="dxa"/>
          </w:tblCellMar>
        </w:tblPrEx>
        <w:trPr>
          <w:trHeight w:val="298"/>
        </w:trPr>
        <w:tc>
          <w:tcPr>
            <w:tcW w:w="3203" w:type="dxa"/>
            <w:tcBorders>
              <w:top w:val="nil"/>
              <w:left w:val="single" w:sz="6" w:space="0" w:color="00467E"/>
              <w:bottom w:val="nil"/>
              <w:right w:val="nil"/>
            </w:tcBorders>
            <w:vAlign w:val="bottom"/>
          </w:tcPr>
          <w:p w:rsidR="0073298C" w:rsidRDefault="0073298C" w:rsidP="0073298C">
            <w:pPr>
              <w:spacing w:before="22" w:after="22"/>
              <w:ind w:left="22" w:right="22"/>
              <w:rPr>
                <w:color w:val="000000"/>
              </w:rPr>
            </w:pPr>
            <w:r>
              <w:rPr>
                <w:color w:val="000000"/>
              </w:rPr>
              <w:t> </w:t>
            </w:r>
          </w:p>
        </w:tc>
        <w:tc>
          <w:tcPr>
            <w:tcW w:w="4811" w:type="dxa"/>
            <w:gridSpan w:val="11"/>
            <w:tcBorders>
              <w:top w:val="nil"/>
              <w:left w:val="nil"/>
              <w:bottom w:val="single" w:sz="6" w:space="0" w:color="000000"/>
              <w:right w:val="nil"/>
            </w:tcBorders>
            <w:vAlign w:val="center"/>
          </w:tcPr>
          <w:p w:rsidR="0073298C" w:rsidRDefault="0073298C" w:rsidP="0073298C">
            <w:pPr>
              <w:spacing w:before="22" w:after="22"/>
              <w:ind w:left="22"/>
              <w:jc w:val="center"/>
              <w:rPr>
                <w:rFonts w:ascii="Arial" w:hAnsi="Arial" w:cs="Arial"/>
                <w:b/>
                <w:bCs w:val="0"/>
                <w:color w:val="000000"/>
                <w:sz w:val="14"/>
                <w:szCs w:val="14"/>
              </w:rPr>
            </w:pPr>
            <w:r>
              <w:rPr>
                <w:rFonts w:ascii="Arial" w:hAnsi="Arial" w:cs="Arial"/>
                <w:b/>
                <w:bCs w:val="0"/>
                <w:color w:val="000000"/>
                <w:sz w:val="14"/>
                <w:szCs w:val="14"/>
              </w:rPr>
              <w:t>(Dollars in thousands)</w:t>
            </w:r>
          </w:p>
        </w:tc>
        <w:tc>
          <w:tcPr>
            <w:tcW w:w="104" w:type="dxa"/>
            <w:tcBorders>
              <w:top w:val="single" w:sz="6" w:space="0" w:color="00467E"/>
              <w:left w:val="nil"/>
              <w:bottom w:val="nil"/>
              <w:right w:val="nil"/>
            </w:tcBorders>
            <w:shd w:val="clear" w:color="00467E" w:fill="00467E"/>
            <w:vAlign w:val="bottom"/>
          </w:tcPr>
          <w:p w:rsidR="0073298C" w:rsidRDefault="0073298C" w:rsidP="0073298C">
            <w:pPr>
              <w:spacing w:before="22" w:after="22"/>
              <w:ind w:left="22" w:right="22"/>
              <w:rPr>
                <w:color w:val="000000"/>
              </w:rPr>
            </w:pPr>
            <w:r>
              <w:rPr>
                <w:color w:val="000000"/>
              </w:rPr>
              <w:t> </w:t>
            </w:r>
          </w:p>
        </w:tc>
        <w:tc>
          <w:tcPr>
            <w:tcW w:w="2680" w:type="dxa"/>
            <w:gridSpan w:val="5"/>
            <w:tcBorders>
              <w:top w:val="nil"/>
              <w:left w:val="nil"/>
              <w:bottom w:val="single" w:sz="6" w:space="0" w:color="000000"/>
              <w:right w:val="single" w:sz="6" w:space="0" w:color="00467E"/>
            </w:tcBorders>
            <w:vAlign w:val="center"/>
          </w:tcPr>
          <w:p w:rsidR="0073298C" w:rsidRDefault="0073298C" w:rsidP="0073298C">
            <w:pPr>
              <w:spacing w:before="22" w:after="22"/>
              <w:ind w:left="22"/>
              <w:jc w:val="center"/>
              <w:rPr>
                <w:rFonts w:ascii="Arial" w:hAnsi="Arial" w:cs="Arial"/>
                <w:b/>
                <w:bCs w:val="0"/>
                <w:color w:val="000000"/>
                <w:sz w:val="14"/>
                <w:szCs w:val="14"/>
              </w:rPr>
            </w:pPr>
            <w:r>
              <w:rPr>
                <w:rFonts w:ascii="Arial" w:hAnsi="Arial" w:cs="Arial"/>
                <w:b/>
                <w:bCs w:val="0"/>
                <w:color w:val="000000"/>
                <w:sz w:val="14"/>
                <w:szCs w:val="14"/>
              </w:rPr>
              <w:t>Increase (decrease)</w:t>
            </w:r>
          </w:p>
        </w:tc>
      </w:tr>
      <w:tr w:rsidR="0073298C" w:rsidTr="0073298C">
        <w:tblPrEx>
          <w:tblCellMar>
            <w:top w:w="0" w:type="dxa"/>
            <w:left w:w="0" w:type="dxa"/>
            <w:bottom w:w="0" w:type="dxa"/>
            <w:right w:w="0" w:type="dxa"/>
          </w:tblCellMar>
        </w:tblPrEx>
        <w:trPr>
          <w:trHeight w:val="298"/>
        </w:trPr>
        <w:tc>
          <w:tcPr>
            <w:tcW w:w="3203" w:type="dxa"/>
            <w:tcBorders>
              <w:top w:val="nil"/>
              <w:left w:val="single" w:sz="6" w:space="0" w:color="00467E"/>
              <w:bottom w:val="nil"/>
              <w:right w:val="nil"/>
            </w:tcBorders>
            <w:shd w:val="clear" w:color="CFD4D8" w:fill="CFD4D8"/>
            <w:vAlign w:val="center"/>
          </w:tcPr>
          <w:p w:rsidR="0073298C" w:rsidRDefault="0073298C" w:rsidP="0073298C">
            <w:pPr>
              <w:spacing w:before="22" w:after="22"/>
              <w:ind w:left="22" w:right="22"/>
              <w:rPr>
                <w:rFonts w:ascii="Arial" w:hAnsi="Arial" w:cs="Arial"/>
                <w:b/>
                <w:bCs w:val="0"/>
                <w:i/>
                <w:iCs/>
                <w:color w:val="9D1B11"/>
                <w:sz w:val="18"/>
                <w:szCs w:val="18"/>
              </w:rPr>
            </w:pPr>
            <w:r>
              <w:rPr>
                <w:rFonts w:ascii="Arial" w:hAnsi="Arial" w:cs="Arial"/>
                <w:b/>
                <w:bCs w:val="0"/>
                <w:i/>
                <w:iCs/>
                <w:color w:val="9D1B11"/>
                <w:sz w:val="18"/>
                <w:szCs w:val="18"/>
              </w:rPr>
              <w:t>Fuel</w:t>
            </w:r>
          </w:p>
        </w:tc>
        <w:tc>
          <w:tcPr>
            <w:tcW w:w="120" w:type="dxa"/>
            <w:tcBorders>
              <w:top w:val="single" w:sz="6" w:space="0" w:color="000000"/>
              <w:left w:val="nil"/>
              <w:bottom w:val="nil"/>
              <w:right w:val="nil"/>
            </w:tcBorders>
            <w:shd w:val="clear" w:color="CFD4D8" w:fill="CFD4D8"/>
            <w:vAlign w:val="center"/>
          </w:tcPr>
          <w:p w:rsidR="0073298C" w:rsidRDefault="0073298C" w:rsidP="0073298C">
            <w:pPr>
              <w:spacing w:before="22" w:after="22"/>
              <w:ind w:left="22"/>
              <w:rPr>
                <w:rFonts w:ascii="Arial" w:hAnsi="Arial" w:cs="Arial"/>
                <w:color w:val="000000"/>
                <w:sz w:val="18"/>
                <w:szCs w:val="18"/>
              </w:rPr>
            </w:pPr>
            <w:r>
              <w:rPr>
                <w:rFonts w:ascii="Arial" w:hAnsi="Arial" w:cs="Arial"/>
                <w:color w:val="000000"/>
                <w:sz w:val="18"/>
                <w:szCs w:val="18"/>
              </w:rPr>
              <w:t>$</w:t>
            </w:r>
          </w:p>
        </w:tc>
        <w:tc>
          <w:tcPr>
            <w:tcW w:w="1234" w:type="dxa"/>
            <w:tcBorders>
              <w:top w:val="single" w:sz="6" w:space="0" w:color="000000"/>
              <w:left w:val="nil"/>
              <w:bottom w:val="nil"/>
              <w:right w:val="nil"/>
            </w:tcBorders>
            <w:shd w:val="clear" w:color="CFD4D8" w:fill="CFD4D8"/>
            <w:vAlign w:val="center"/>
          </w:tcPr>
          <w:p w:rsidR="0073298C" w:rsidRDefault="0073298C" w:rsidP="0073298C">
            <w:pPr>
              <w:spacing w:before="22" w:after="22"/>
              <w:jc w:val="right"/>
              <w:rPr>
                <w:rFonts w:ascii="Arial" w:hAnsi="Arial" w:cs="Arial"/>
                <w:color w:val="000000"/>
                <w:sz w:val="18"/>
                <w:szCs w:val="18"/>
              </w:rPr>
            </w:pPr>
            <w:r>
              <w:rPr>
                <w:rFonts w:ascii="Arial" w:hAnsi="Arial" w:cs="Arial"/>
                <w:color w:val="000000"/>
                <w:sz w:val="18"/>
                <w:szCs w:val="18"/>
              </w:rPr>
              <w:t>274,956</w:t>
            </w:r>
          </w:p>
        </w:tc>
        <w:tc>
          <w:tcPr>
            <w:tcW w:w="180" w:type="dxa"/>
            <w:tcBorders>
              <w:top w:val="single" w:sz="6" w:space="0" w:color="000000"/>
              <w:left w:val="nil"/>
              <w:bottom w:val="nil"/>
              <w:right w:val="nil"/>
            </w:tcBorders>
            <w:shd w:val="clear" w:color="CFD4D8" w:fill="CFD4D8"/>
            <w:vAlign w:val="bottom"/>
          </w:tcPr>
          <w:p w:rsidR="0073298C" w:rsidRDefault="0073298C" w:rsidP="0073298C">
            <w:pPr>
              <w:spacing w:before="22" w:after="22"/>
              <w:jc w:val="right"/>
              <w:rPr>
                <w:rFonts w:ascii="Arial" w:hAnsi="Arial" w:cs="Arial"/>
                <w:color w:val="000000"/>
                <w:sz w:val="18"/>
                <w:szCs w:val="18"/>
              </w:rPr>
            </w:pPr>
          </w:p>
          <w:p w:rsidR="0073298C" w:rsidRDefault="0073298C" w:rsidP="0073298C">
            <w:pPr>
              <w:rPr>
                <w:sz w:val="16"/>
                <w:szCs w:val="16"/>
              </w:rPr>
            </w:pPr>
            <w:r>
              <w:rPr>
                <w:sz w:val="16"/>
                <w:szCs w:val="16"/>
              </w:rPr>
              <w:t> </w:t>
            </w:r>
          </w:p>
        </w:tc>
        <w:tc>
          <w:tcPr>
            <w:tcW w:w="104" w:type="dxa"/>
            <w:tcBorders>
              <w:top w:val="single" w:sz="6" w:space="0" w:color="000000"/>
              <w:left w:val="nil"/>
              <w:bottom w:val="nil"/>
              <w:right w:val="nil"/>
            </w:tcBorders>
            <w:shd w:val="clear" w:color="CFD4D8" w:fill="CFD4D8"/>
            <w:vAlign w:val="bottom"/>
          </w:tcPr>
          <w:p w:rsidR="0073298C" w:rsidRDefault="0073298C" w:rsidP="0073298C">
            <w:pPr>
              <w:spacing w:before="22" w:after="22"/>
              <w:ind w:left="22" w:right="22"/>
              <w:rPr>
                <w:color w:val="000000"/>
              </w:rPr>
            </w:pPr>
            <w:r>
              <w:rPr>
                <w:color w:val="000000"/>
              </w:rPr>
              <w:t> </w:t>
            </w:r>
          </w:p>
        </w:tc>
        <w:tc>
          <w:tcPr>
            <w:tcW w:w="120" w:type="dxa"/>
            <w:tcBorders>
              <w:top w:val="single" w:sz="6" w:space="0" w:color="000000"/>
              <w:left w:val="nil"/>
              <w:bottom w:val="nil"/>
              <w:right w:val="nil"/>
            </w:tcBorders>
            <w:shd w:val="clear" w:color="CFD4D8" w:fill="CFD4D8"/>
            <w:vAlign w:val="center"/>
          </w:tcPr>
          <w:p w:rsidR="0073298C" w:rsidRDefault="0073298C" w:rsidP="0073298C">
            <w:pPr>
              <w:spacing w:before="22" w:after="22"/>
              <w:ind w:left="22"/>
              <w:rPr>
                <w:rFonts w:ascii="Arial" w:hAnsi="Arial" w:cs="Arial"/>
                <w:color w:val="000000"/>
                <w:sz w:val="18"/>
                <w:szCs w:val="18"/>
              </w:rPr>
            </w:pPr>
            <w:r>
              <w:rPr>
                <w:rFonts w:ascii="Arial" w:hAnsi="Arial" w:cs="Arial"/>
                <w:color w:val="000000"/>
                <w:sz w:val="18"/>
                <w:szCs w:val="18"/>
              </w:rPr>
              <w:t>$</w:t>
            </w:r>
          </w:p>
        </w:tc>
        <w:tc>
          <w:tcPr>
            <w:tcW w:w="1234" w:type="dxa"/>
            <w:tcBorders>
              <w:top w:val="single" w:sz="6" w:space="0" w:color="000000"/>
              <w:left w:val="nil"/>
              <w:bottom w:val="nil"/>
              <w:right w:val="nil"/>
            </w:tcBorders>
            <w:shd w:val="clear" w:color="CFD4D8" w:fill="CFD4D8"/>
            <w:vAlign w:val="center"/>
          </w:tcPr>
          <w:p w:rsidR="0073298C" w:rsidRDefault="0073298C" w:rsidP="0073298C">
            <w:pPr>
              <w:spacing w:before="22" w:after="22"/>
              <w:jc w:val="right"/>
              <w:rPr>
                <w:rFonts w:ascii="Arial" w:hAnsi="Arial" w:cs="Arial"/>
                <w:color w:val="000000"/>
                <w:sz w:val="18"/>
                <w:szCs w:val="18"/>
              </w:rPr>
            </w:pPr>
            <w:r>
              <w:rPr>
                <w:rFonts w:ascii="Arial" w:hAnsi="Arial" w:cs="Arial"/>
                <w:color w:val="000000"/>
                <w:sz w:val="18"/>
                <w:szCs w:val="18"/>
              </w:rPr>
              <w:t>129,696</w:t>
            </w:r>
          </w:p>
        </w:tc>
        <w:tc>
          <w:tcPr>
            <w:tcW w:w="180" w:type="dxa"/>
            <w:tcBorders>
              <w:top w:val="single" w:sz="6" w:space="0" w:color="000000"/>
              <w:left w:val="nil"/>
              <w:bottom w:val="nil"/>
              <w:right w:val="nil"/>
            </w:tcBorders>
            <w:shd w:val="clear" w:color="CFD4D8" w:fill="CFD4D8"/>
            <w:vAlign w:val="bottom"/>
          </w:tcPr>
          <w:p w:rsidR="0073298C" w:rsidRDefault="0073298C" w:rsidP="0073298C">
            <w:pPr>
              <w:spacing w:before="22" w:after="22"/>
              <w:jc w:val="right"/>
              <w:rPr>
                <w:rFonts w:ascii="Arial" w:hAnsi="Arial" w:cs="Arial"/>
                <w:color w:val="000000"/>
                <w:sz w:val="18"/>
                <w:szCs w:val="18"/>
              </w:rPr>
            </w:pPr>
          </w:p>
          <w:p w:rsidR="0073298C" w:rsidRDefault="0073298C" w:rsidP="0073298C">
            <w:pPr>
              <w:rPr>
                <w:sz w:val="16"/>
                <w:szCs w:val="16"/>
              </w:rPr>
            </w:pPr>
            <w:r>
              <w:rPr>
                <w:sz w:val="16"/>
                <w:szCs w:val="16"/>
              </w:rPr>
              <w:t> </w:t>
            </w:r>
          </w:p>
        </w:tc>
        <w:tc>
          <w:tcPr>
            <w:tcW w:w="104" w:type="dxa"/>
            <w:tcBorders>
              <w:top w:val="single" w:sz="6" w:space="0" w:color="000000"/>
              <w:left w:val="nil"/>
              <w:bottom w:val="nil"/>
              <w:right w:val="nil"/>
            </w:tcBorders>
            <w:shd w:val="clear" w:color="CFD4D8" w:fill="CFD4D8"/>
            <w:vAlign w:val="bottom"/>
          </w:tcPr>
          <w:p w:rsidR="0073298C" w:rsidRDefault="0073298C" w:rsidP="0073298C">
            <w:pPr>
              <w:spacing w:before="22" w:after="22"/>
              <w:ind w:left="22" w:right="22"/>
              <w:rPr>
                <w:color w:val="000000"/>
              </w:rPr>
            </w:pPr>
            <w:r>
              <w:rPr>
                <w:color w:val="000000"/>
              </w:rPr>
              <w:t> </w:t>
            </w:r>
          </w:p>
        </w:tc>
        <w:tc>
          <w:tcPr>
            <w:tcW w:w="120" w:type="dxa"/>
            <w:tcBorders>
              <w:top w:val="single" w:sz="6" w:space="0" w:color="000000"/>
              <w:left w:val="nil"/>
              <w:bottom w:val="nil"/>
              <w:right w:val="nil"/>
            </w:tcBorders>
            <w:shd w:val="clear" w:color="CFD4D8" w:fill="CFD4D8"/>
            <w:vAlign w:val="center"/>
          </w:tcPr>
          <w:p w:rsidR="0073298C" w:rsidRDefault="0073298C" w:rsidP="0073298C">
            <w:pPr>
              <w:spacing w:before="22" w:after="22"/>
              <w:ind w:left="22"/>
              <w:rPr>
                <w:rFonts w:ascii="Arial" w:hAnsi="Arial" w:cs="Arial"/>
                <w:color w:val="000000"/>
                <w:sz w:val="18"/>
                <w:szCs w:val="18"/>
              </w:rPr>
            </w:pPr>
            <w:r>
              <w:rPr>
                <w:rFonts w:ascii="Arial" w:hAnsi="Arial" w:cs="Arial"/>
                <w:color w:val="000000"/>
                <w:sz w:val="18"/>
                <w:szCs w:val="18"/>
              </w:rPr>
              <w:t>$</w:t>
            </w:r>
          </w:p>
        </w:tc>
        <w:tc>
          <w:tcPr>
            <w:tcW w:w="1234" w:type="dxa"/>
            <w:tcBorders>
              <w:top w:val="single" w:sz="6" w:space="0" w:color="000000"/>
              <w:left w:val="nil"/>
              <w:bottom w:val="nil"/>
              <w:right w:val="nil"/>
            </w:tcBorders>
            <w:shd w:val="clear" w:color="CFD4D8" w:fill="CFD4D8"/>
            <w:vAlign w:val="center"/>
          </w:tcPr>
          <w:p w:rsidR="0073298C" w:rsidRDefault="0073298C" w:rsidP="0073298C">
            <w:pPr>
              <w:spacing w:before="22" w:after="22"/>
              <w:jc w:val="right"/>
              <w:rPr>
                <w:rFonts w:ascii="Arial" w:hAnsi="Arial" w:cs="Arial"/>
                <w:color w:val="000000"/>
                <w:sz w:val="18"/>
                <w:szCs w:val="18"/>
              </w:rPr>
            </w:pPr>
            <w:r>
              <w:rPr>
                <w:rFonts w:ascii="Arial" w:hAnsi="Arial" w:cs="Arial"/>
                <w:color w:val="000000"/>
                <w:sz w:val="18"/>
                <w:szCs w:val="18"/>
              </w:rPr>
              <w:t>152,752</w:t>
            </w:r>
          </w:p>
        </w:tc>
        <w:tc>
          <w:tcPr>
            <w:tcW w:w="180" w:type="dxa"/>
            <w:tcBorders>
              <w:top w:val="single" w:sz="6" w:space="0" w:color="000000"/>
              <w:left w:val="nil"/>
              <w:bottom w:val="nil"/>
              <w:right w:val="nil"/>
            </w:tcBorders>
            <w:shd w:val="clear" w:color="CFD4D8" w:fill="CFD4D8"/>
            <w:vAlign w:val="bottom"/>
          </w:tcPr>
          <w:p w:rsidR="0073298C" w:rsidRDefault="0073298C" w:rsidP="0073298C">
            <w:pPr>
              <w:spacing w:before="22" w:after="22"/>
              <w:jc w:val="right"/>
              <w:rPr>
                <w:rFonts w:ascii="Arial" w:hAnsi="Arial" w:cs="Arial"/>
                <w:color w:val="000000"/>
                <w:sz w:val="18"/>
                <w:szCs w:val="18"/>
              </w:rPr>
            </w:pPr>
          </w:p>
          <w:p w:rsidR="0073298C" w:rsidRDefault="0073298C" w:rsidP="0073298C">
            <w:pPr>
              <w:rPr>
                <w:sz w:val="16"/>
                <w:szCs w:val="16"/>
              </w:rPr>
            </w:pPr>
            <w:r>
              <w:rPr>
                <w:sz w:val="16"/>
                <w:szCs w:val="16"/>
              </w:rPr>
              <w:t> </w:t>
            </w:r>
          </w:p>
        </w:tc>
        <w:tc>
          <w:tcPr>
            <w:tcW w:w="104" w:type="dxa"/>
            <w:tcBorders>
              <w:top w:val="single" w:sz="6" w:space="0" w:color="00467E"/>
              <w:left w:val="nil"/>
              <w:bottom w:val="nil"/>
              <w:right w:val="nil"/>
            </w:tcBorders>
            <w:shd w:val="clear" w:color="00467E" w:fill="00467E"/>
            <w:vAlign w:val="bottom"/>
          </w:tcPr>
          <w:p w:rsidR="0073298C" w:rsidRDefault="0073298C" w:rsidP="0073298C">
            <w:pPr>
              <w:spacing w:before="22" w:after="22"/>
              <w:ind w:left="22" w:right="22"/>
              <w:rPr>
                <w:color w:val="000000"/>
              </w:rPr>
            </w:pPr>
            <w:r>
              <w:rPr>
                <w:color w:val="000000"/>
              </w:rPr>
              <w:t> </w:t>
            </w:r>
          </w:p>
        </w:tc>
        <w:tc>
          <w:tcPr>
            <w:tcW w:w="1039" w:type="dxa"/>
            <w:tcBorders>
              <w:top w:val="single" w:sz="6" w:space="0" w:color="000000"/>
              <w:left w:val="nil"/>
              <w:bottom w:val="nil"/>
              <w:right w:val="nil"/>
            </w:tcBorders>
            <w:shd w:val="clear" w:color="CFD4D8" w:fill="CFD4D8"/>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112.0</w:t>
            </w:r>
          </w:p>
        </w:tc>
        <w:tc>
          <w:tcPr>
            <w:tcW w:w="230" w:type="dxa"/>
            <w:tcBorders>
              <w:top w:val="single" w:sz="6" w:space="0" w:color="000000"/>
              <w:left w:val="nil"/>
              <w:bottom w:val="nil"/>
              <w:right w:val="nil"/>
            </w:tcBorders>
            <w:shd w:val="clear" w:color="CFD4D8" w:fill="CFD4D8"/>
            <w:vAlign w:val="center"/>
          </w:tcPr>
          <w:p w:rsidR="0073298C" w:rsidRDefault="0073298C" w:rsidP="0073298C">
            <w:pPr>
              <w:spacing w:before="22" w:after="22"/>
              <w:ind w:right="22"/>
              <w:rPr>
                <w:rFonts w:ascii="Arial" w:hAnsi="Arial" w:cs="Arial"/>
                <w:color w:val="000000"/>
                <w:sz w:val="18"/>
                <w:szCs w:val="18"/>
              </w:rPr>
            </w:pPr>
            <w:r>
              <w:rPr>
                <w:rFonts w:ascii="Arial" w:hAnsi="Arial" w:cs="Arial"/>
                <w:color w:val="000000"/>
                <w:sz w:val="18"/>
                <w:szCs w:val="18"/>
              </w:rPr>
              <w:t> %</w:t>
            </w:r>
          </w:p>
        </w:tc>
        <w:tc>
          <w:tcPr>
            <w:tcW w:w="104" w:type="dxa"/>
            <w:tcBorders>
              <w:top w:val="single" w:sz="6" w:space="0" w:color="000000"/>
              <w:left w:val="nil"/>
              <w:bottom w:val="nil"/>
              <w:right w:val="nil"/>
            </w:tcBorders>
            <w:shd w:val="clear" w:color="CFD4D8" w:fill="CFD4D8"/>
            <w:vAlign w:val="bottom"/>
          </w:tcPr>
          <w:p w:rsidR="0073298C" w:rsidRDefault="0073298C" w:rsidP="0073298C">
            <w:pPr>
              <w:spacing w:before="22" w:after="22"/>
              <w:ind w:left="22" w:right="22"/>
              <w:rPr>
                <w:color w:val="000000"/>
              </w:rPr>
            </w:pPr>
            <w:r>
              <w:rPr>
                <w:color w:val="000000"/>
              </w:rPr>
              <w:t> </w:t>
            </w:r>
          </w:p>
        </w:tc>
        <w:tc>
          <w:tcPr>
            <w:tcW w:w="1016" w:type="dxa"/>
            <w:tcBorders>
              <w:top w:val="single" w:sz="6" w:space="0" w:color="000000"/>
              <w:left w:val="nil"/>
              <w:bottom w:val="nil"/>
              <w:right w:val="nil"/>
            </w:tcBorders>
            <w:shd w:val="clear" w:color="CFD4D8" w:fill="CFD4D8"/>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(15.1</w:t>
            </w:r>
          </w:p>
        </w:tc>
        <w:tc>
          <w:tcPr>
            <w:tcW w:w="294" w:type="dxa"/>
            <w:tcBorders>
              <w:top w:val="single" w:sz="6" w:space="0" w:color="000000"/>
              <w:left w:val="nil"/>
              <w:bottom w:val="nil"/>
              <w:right w:val="single" w:sz="6" w:space="0" w:color="00467E"/>
            </w:tcBorders>
            <w:shd w:val="clear" w:color="CFD4D8" w:fill="CFD4D8"/>
            <w:vAlign w:val="center"/>
          </w:tcPr>
          <w:p w:rsidR="0073298C" w:rsidRDefault="0073298C" w:rsidP="0073298C">
            <w:pPr>
              <w:spacing w:before="22" w:after="22"/>
              <w:ind w:right="22"/>
              <w:rPr>
                <w:rFonts w:ascii="Arial" w:hAnsi="Arial" w:cs="Arial"/>
                <w:color w:val="000000"/>
                <w:sz w:val="18"/>
                <w:szCs w:val="18"/>
              </w:rPr>
            </w:pPr>
            <w:r>
              <w:rPr>
                <w:rFonts w:ascii="Arial" w:hAnsi="Arial" w:cs="Arial"/>
                <w:color w:val="000000"/>
                <w:sz w:val="18"/>
                <w:szCs w:val="18"/>
              </w:rPr>
              <w:t> %)</w:t>
            </w:r>
          </w:p>
        </w:tc>
      </w:tr>
      <w:tr w:rsidR="0073298C" w:rsidTr="0073298C">
        <w:tblPrEx>
          <w:tblCellMar>
            <w:top w:w="0" w:type="dxa"/>
            <w:left w:w="0" w:type="dxa"/>
            <w:bottom w:w="0" w:type="dxa"/>
            <w:right w:w="0" w:type="dxa"/>
          </w:tblCellMar>
        </w:tblPrEx>
        <w:trPr>
          <w:trHeight w:val="298"/>
        </w:trPr>
        <w:tc>
          <w:tcPr>
            <w:tcW w:w="3203" w:type="dxa"/>
            <w:tcBorders>
              <w:top w:val="nil"/>
              <w:left w:val="single" w:sz="6" w:space="0" w:color="00467E"/>
              <w:bottom w:val="nil"/>
              <w:right w:val="nil"/>
            </w:tcBorders>
            <w:vAlign w:val="center"/>
          </w:tcPr>
          <w:p w:rsidR="0073298C" w:rsidRDefault="0073298C" w:rsidP="0073298C">
            <w:pPr>
              <w:spacing w:before="22" w:after="22"/>
              <w:ind w:left="330" w:right="22"/>
              <w:rPr>
                <w:rFonts w:ascii="Arial" w:hAnsi="Arial" w:cs="Arial"/>
                <w:color w:val="000000"/>
                <w:sz w:val="18"/>
                <w:szCs w:val="18"/>
              </w:rPr>
            </w:pPr>
            <w:r>
              <w:rPr>
                <w:rFonts w:ascii="Arial" w:hAnsi="Arial" w:cs="Arial"/>
                <w:color w:val="000000"/>
                <w:sz w:val="18"/>
                <w:szCs w:val="18"/>
              </w:rPr>
              <w:lastRenderedPageBreak/>
              <w:t>% of total revenue</w:t>
            </w:r>
          </w:p>
        </w:tc>
        <w:tc>
          <w:tcPr>
            <w:tcW w:w="1354" w:type="dxa"/>
            <w:gridSpan w:val="2"/>
            <w:tcBorders>
              <w:top w:val="nil"/>
              <w:left w:val="nil"/>
              <w:bottom w:val="nil"/>
              <w:right w:val="nil"/>
            </w:tcBorders>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11.3</w:t>
            </w:r>
          </w:p>
        </w:tc>
        <w:tc>
          <w:tcPr>
            <w:tcW w:w="180" w:type="dxa"/>
            <w:tcBorders>
              <w:top w:val="nil"/>
              <w:left w:val="nil"/>
              <w:bottom w:val="nil"/>
              <w:right w:val="nil"/>
            </w:tcBorders>
            <w:vAlign w:val="center"/>
          </w:tcPr>
          <w:p w:rsidR="0073298C" w:rsidRDefault="0073298C" w:rsidP="0073298C">
            <w:pPr>
              <w:spacing w:before="22" w:after="22"/>
              <w:ind w:right="22"/>
              <w:rPr>
                <w:rFonts w:ascii="Arial" w:hAnsi="Arial" w:cs="Arial"/>
                <w:color w:val="000000"/>
                <w:sz w:val="18"/>
                <w:szCs w:val="18"/>
              </w:rPr>
            </w:pPr>
            <w:r>
              <w:rPr>
                <w:rFonts w:ascii="Arial" w:hAnsi="Arial" w:cs="Arial"/>
                <w:color w:val="000000"/>
                <w:sz w:val="18"/>
                <w:szCs w:val="18"/>
              </w:rPr>
              <w:t>%</w:t>
            </w:r>
          </w:p>
        </w:tc>
        <w:tc>
          <w:tcPr>
            <w:tcW w:w="104" w:type="dxa"/>
            <w:tcBorders>
              <w:top w:val="nil"/>
              <w:left w:val="nil"/>
              <w:bottom w:val="nil"/>
              <w:right w:val="nil"/>
            </w:tcBorders>
            <w:vAlign w:val="bottom"/>
          </w:tcPr>
          <w:p w:rsidR="0073298C" w:rsidRDefault="0073298C" w:rsidP="0073298C">
            <w:pPr>
              <w:spacing w:before="22" w:after="22"/>
              <w:ind w:left="22" w:right="22"/>
              <w:rPr>
                <w:color w:val="000000"/>
              </w:rPr>
            </w:pPr>
            <w:r>
              <w:rPr>
                <w:color w:val="000000"/>
              </w:rPr>
              <w:t> </w:t>
            </w:r>
          </w:p>
        </w:tc>
        <w:tc>
          <w:tcPr>
            <w:tcW w:w="1354" w:type="dxa"/>
            <w:gridSpan w:val="2"/>
            <w:tcBorders>
              <w:top w:val="nil"/>
              <w:left w:val="nil"/>
              <w:bottom w:val="nil"/>
              <w:right w:val="nil"/>
            </w:tcBorders>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11.6</w:t>
            </w:r>
          </w:p>
        </w:tc>
        <w:tc>
          <w:tcPr>
            <w:tcW w:w="180" w:type="dxa"/>
            <w:tcBorders>
              <w:top w:val="nil"/>
              <w:left w:val="nil"/>
              <w:bottom w:val="nil"/>
              <w:right w:val="nil"/>
            </w:tcBorders>
            <w:vAlign w:val="center"/>
          </w:tcPr>
          <w:p w:rsidR="0073298C" w:rsidRDefault="0073298C" w:rsidP="0073298C">
            <w:pPr>
              <w:spacing w:before="22" w:after="22"/>
              <w:ind w:right="22"/>
              <w:rPr>
                <w:rFonts w:ascii="Arial" w:hAnsi="Arial" w:cs="Arial"/>
                <w:color w:val="000000"/>
                <w:sz w:val="18"/>
                <w:szCs w:val="18"/>
              </w:rPr>
            </w:pPr>
            <w:r>
              <w:rPr>
                <w:rFonts w:ascii="Arial" w:hAnsi="Arial" w:cs="Arial"/>
                <w:color w:val="000000"/>
                <w:sz w:val="18"/>
                <w:szCs w:val="18"/>
              </w:rPr>
              <w:t>%</w:t>
            </w:r>
          </w:p>
        </w:tc>
        <w:tc>
          <w:tcPr>
            <w:tcW w:w="104" w:type="dxa"/>
            <w:tcBorders>
              <w:top w:val="nil"/>
              <w:left w:val="nil"/>
              <w:bottom w:val="nil"/>
              <w:right w:val="nil"/>
            </w:tcBorders>
            <w:vAlign w:val="bottom"/>
          </w:tcPr>
          <w:p w:rsidR="0073298C" w:rsidRDefault="0073298C" w:rsidP="0073298C">
            <w:pPr>
              <w:spacing w:before="22" w:after="22"/>
              <w:ind w:left="22" w:right="22"/>
              <w:rPr>
                <w:color w:val="000000"/>
              </w:rPr>
            </w:pPr>
            <w:r>
              <w:rPr>
                <w:color w:val="000000"/>
              </w:rPr>
              <w:t> </w:t>
            </w:r>
          </w:p>
        </w:tc>
        <w:tc>
          <w:tcPr>
            <w:tcW w:w="1354" w:type="dxa"/>
            <w:gridSpan w:val="2"/>
            <w:tcBorders>
              <w:top w:val="nil"/>
              <w:left w:val="nil"/>
              <w:bottom w:val="nil"/>
              <w:right w:val="nil"/>
            </w:tcBorders>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12.9</w:t>
            </w:r>
          </w:p>
        </w:tc>
        <w:tc>
          <w:tcPr>
            <w:tcW w:w="180" w:type="dxa"/>
            <w:tcBorders>
              <w:top w:val="nil"/>
              <w:left w:val="nil"/>
              <w:bottom w:val="nil"/>
              <w:right w:val="nil"/>
            </w:tcBorders>
            <w:vAlign w:val="center"/>
          </w:tcPr>
          <w:p w:rsidR="0073298C" w:rsidRDefault="0073298C" w:rsidP="0073298C">
            <w:pPr>
              <w:spacing w:before="22" w:after="22"/>
              <w:ind w:right="22"/>
              <w:rPr>
                <w:rFonts w:ascii="Arial" w:hAnsi="Arial" w:cs="Arial"/>
                <w:color w:val="000000"/>
                <w:sz w:val="18"/>
                <w:szCs w:val="18"/>
              </w:rPr>
            </w:pPr>
            <w:r>
              <w:rPr>
                <w:rFonts w:ascii="Arial" w:hAnsi="Arial" w:cs="Arial"/>
                <w:color w:val="000000"/>
                <w:sz w:val="18"/>
                <w:szCs w:val="18"/>
              </w:rPr>
              <w:t>%</w:t>
            </w:r>
          </w:p>
        </w:tc>
        <w:tc>
          <w:tcPr>
            <w:tcW w:w="104" w:type="dxa"/>
            <w:tcBorders>
              <w:top w:val="single" w:sz="6" w:space="0" w:color="00467E"/>
              <w:left w:val="nil"/>
              <w:bottom w:val="nil"/>
              <w:right w:val="nil"/>
            </w:tcBorders>
            <w:shd w:val="clear" w:color="00467E" w:fill="00467E"/>
            <w:vAlign w:val="bottom"/>
          </w:tcPr>
          <w:p w:rsidR="0073298C" w:rsidRDefault="0073298C" w:rsidP="0073298C">
            <w:pPr>
              <w:spacing w:before="22" w:after="22"/>
              <w:ind w:left="22" w:right="22"/>
              <w:rPr>
                <w:color w:val="000000"/>
              </w:rPr>
            </w:pPr>
            <w:r>
              <w:rPr>
                <w:color w:val="000000"/>
              </w:rPr>
              <w:t> </w:t>
            </w:r>
          </w:p>
        </w:tc>
        <w:tc>
          <w:tcPr>
            <w:tcW w:w="1039" w:type="dxa"/>
            <w:tcBorders>
              <w:top w:val="nil"/>
              <w:left w:val="nil"/>
              <w:bottom w:val="nil"/>
              <w:right w:val="nil"/>
            </w:tcBorders>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(30 bps)</w:t>
            </w:r>
          </w:p>
        </w:tc>
        <w:tc>
          <w:tcPr>
            <w:tcW w:w="230" w:type="dxa"/>
            <w:tcBorders>
              <w:top w:val="nil"/>
              <w:left w:val="nil"/>
              <w:bottom w:val="nil"/>
              <w:right w:val="nil"/>
            </w:tcBorders>
            <w:vAlign w:val="bottom"/>
          </w:tcPr>
          <w:p w:rsidR="0073298C" w:rsidRDefault="0073298C" w:rsidP="0073298C">
            <w:pPr>
              <w:spacing w:before="22" w:after="22"/>
              <w:ind w:left="22"/>
              <w:jc w:val="right"/>
              <w:rPr>
                <w:rFonts w:ascii="Arial" w:hAnsi="Arial" w:cs="Arial"/>
                <w:color w:val="000000"/>
                <w:sz w:val="18"/>
                <w:szCs w:val="18"/>
              </w:rPr>
            </w:pPr>
          </w:p>
          <w:p w:rsidR="0073298C" w:rsidRDefault="0073298C" w:rsidP="0073298C">
            <w:pPr>
              <w:rPr>
                <w:sz w:val="16"/>
                <w:szCs w:val="16"/>
              </w:rPr>
            </w:pPr>
            <w:r>
              <w:rPr>
                <w:sz w:val="16"/>
                <w:szCs w:val="16"/>
              </w:rPr>
              <w:t> </w:t>
            </w:r>
          </w:p>
        </w:tc>
        <w:tc>
          <w:tcPr>
            <w:tcW w:w="104" w:type="dxa"/>
            <w:tcBorders>
              <w:top w:val="nil"/>
              <w:left w:val="nil"/>
              <w:bottom w:val="nil"/>
              <w:right w:val="nil"/>
            </w:tcBorders>
            <w:vAlign w:val="bottom"/>
          </w:tcPr>
          <w:p w:rsidR="0073298C" w:rsidRDefault="0073298C" w:rsidP="0073298C">
            <w:pPr>
              <w:spacing w:before="22" w:after="22"/>
              <w:ind w:left="22" w:right="22"/>
              <w:rPr>
                <w:color w:val="000000"/>
              </w:rPr>
            </w:pPr>
            <w:r>
              <w:rPr>
                <w:color w:val="000000"/>
              </w:rPr>
              <w:t> </w:t>
            </w:r>
          </w:p>
        </w:tc>
        <w:tc>
          <w:tcPr>
            <w:tcW w:w="1016" w:type="dxa"/>
            <w:tcBorders>
              <w:top w:val="nil"/>
              <w:left w:val="nil"/>
              <w:bottom w:val="nil"/>
              <w:right w:val="nil"/>
            </w:tcBorders>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(130 bps)</w:t>
            </w:r>
          </w:p>
        </w:tc>
        <w:tc>
          <w:tcPr>
            <w:tcW w:w="294" w:type="dxa"/>
            <w:tcBorders>
              <w:top w:val="nil"/>
              <w:left w:val="nil"/>
              <w:bottom w:val="nil"/>
              <w:right w:val="single" w:sz="6" w:space="0" w:color="00467E"/>
            </w:tcBorders>
            <w:vAlign w:val="bottom"/>
          </w:tcPr>
          <w:p w:rsidR="0073298C" w:rsidRDefault="0073298C" w:rsidP="0073298C">
            <w:pPr>
              <w:spacing w:before="22" w:after="22"/>
              <w:ind w:left="22"/>
              <w:jc w:val="right"/>
              <w:rPr>
                <w:rFonts w:ascii="Arial" w:hAnsi="Arial" w:cs="Arial"/>
                <w:color w:val="000000"/>
                <w:sz w:val="18"/>
                <w:szCs w:val="18"/>
              </w:rPr>
            </w:pPr>
          </w:p>
          <w:p w:rsidR="0073298C" w:rsidRDefault="0073298C" w:rsidP="0073298C">
            <w:pPr>
              <w:rPr>
                <w:sz w:val="16"/>
                <w:szCs w:val="16"/>
              </w:rPr>
            </w:pPr>
            <w:r>
              <w:rPr>
                <w:sz w:val="16"/>
                <w:szCs w:val="16"/>
              </w:rPr>
              <w:t> </w:t>
            </w:r>
          </w:p>
        </w:tc>
      </w:tr>
      <w:tr w:rsidR="0073298C" w:rsidTr="0073298C">
        <w:tblPrEx>
          <w:tblCellMar>
            <w:top w:w="0" w:type="dxa"/>
            <w:left w:w="0" w:type="dxa"/>
            <w:bottom w:w="0" w:type="dxa"/>
            <w:right w:w="0" w:type="dxa"/>
          </w:tblCellMar>
        </w:tblPrEx>
        <w:trPr>
          <w:trHeight w:val="479"/>
        </w:trPr>
        <w:tc>
          <w:tcPr>
            <w:tcW w:w="3203" w:type="dxa"/>
            <w:tcBorders>
              <w:top w:val="nil"/>
              <w:left w:val="single" w:sz="6" w:space="0" w:color="00467E"/>
              <w:bottom w:val="single" w:sz="6" w:space="0" w:color="00467E"/>
              <w:right w:val="nil"/>
            </w:tcBorders>
            <w:shd w:val="clear" w:color="CFD4D8" w:fill="CFD4D8"/>
            <w:vAlign w:val="center"/>
          </w:tcPr>
          <w:p w:rsidR="0073298C" w:rsidRDefault="0073298C" w:rsidP="0073298C">
            <w:pPr>
              <w:spacing w:before="22" w:after="22"/>
              <w:ind w:left="330" w:right="22"/>
              <w:rPr>
                <w:rFonts w:ascii="Arial" w:hAnsi="Arial" w:cs="Arial"/>
                <w:color w:val="000000"/>
                <w:sz w:val="18"/>
                <w:szCs w:val="18"/>
              </w:rPr>
            </w:pPr>
            <w:r>
              <w:rPr>
                <w:rFonts w:ascii="Arial" w:hAnsi="Arial" w:cs="Arial"/>
                <w:color w:val="000000"/>
                <w:sz w:val="18"/>
                <w:szCs w:val="18"/>
              </w:rPr>
              <w:t>% of revenue before fuel surcharge</w:t>
            </w:r>
          </w:p>
        </w:tc>
        <w:tc>
          <w:tcPr>
            <w:tcW w:w="1354" w:type="dxa"/>
            <w:gridSpan w:val="2"/>
            <w:tcBorders>
              <w:top w:val="nil"/>
              <w:left w:val="nil"/>
              <w:bottom w:val="single" w:sz="6" w:space="0" w:color="00467E"/>
              <w:right w:val="nil"/>
            </w:tcBorders>
            <w:shd w:val="clear" w:color="CFD4D8" w:fill="CFD4D8"/>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12.6</w:t>
            </w:r>
          </w:p>
        </w:tc>
        <w:tc>
          <w:tcPr>
            <w:tcW w:w="180" w:type="dxa"/>
            <w:tcBorders>
              <w:top w:val="nil"/>
              <w:left w:val="nil"/>
              <w:bottom w:val="single" w:sz="6" w:space="0" w:color="00467E"/>
              <w:right w:val="nil"/>
            </w:tcBorders>
            <w:shd w:val="clear" w:color="CFD4D8" w:fill="CFD4D8"/>
            <w:vAlign w:val="center"/>
          </w:tcPr>
          <w:p w:rsidR="0073298C" w:rsidRDefault="0073298C" w:rsidP="0073298C">
            <w:pPr>
              <w:spacing w:before="22" w:after="22"/>
              <w:ind w:right="22"/>
              <w:rPr>
                <w:rFonts w:ascii="Arial" w:hAnsi="Arial" w:cs="Arial"/>
                <w:color w:val="000000"/>
                <w:sz w:val="18"/>
                <w:szCs w:val="18"/>
              </w:rPr>
            </w:pPr>
            <w:r>
              <w:rPr>
                <w:rFonts w:ascii="Arial" w:hAnsi="Arial" w:cs="Arial"/>
                <w:color w:val="000000"/>
                <w:sz w:val="18"/>
                <w:szCs w:val="18"/>
              </w:rPr>
              <w:t>%</w:t>
            </w:r>
          </w:p>
        </w:tc>
        <w:tc>
          <w:tcPr>
            <w:tcW w:w="104" w:type="dxa"/>
            <w:tcBorders>
              <w:top w:val="nil"/>
              <w:left w:val="nil"/>
              <w:bottom w:val="single" w:sz="6" w:space="0" w:color="00467E"/>
              <w:right w:val="nil"/>
            </w:tcBorders>
            <w:shd w:val="clear" w:color="CFD4D8" w:fill="CFD4D8"/>
            <w:vAlign w:val="bottom"/>
          </w:tcPr>
          <w:p w:rsidR="0073298C" w:rsidRDefault="0073298C" w:rsidP="0073298C">
            <w:pPr>
              <w:spacing w:before="22" w:after="22"/>
              <w:ind w:left="22" w:right="22"/>
              <w:rPr>
                <w:color w:val="000000"/>
              </w:rPr>
            </w:pPr>
            <w:r>
              <w:rPr>
                <w:color w:val="000000"/>
              </w:rPr>
              <w:t> </w:t>
            </w:r>
          </w:p>
        </w:tc>
        <w:tc>
          <w:tcPr>
            <w:tcW w:w="1354" w:type="dxa"/>
            <w:gridSpan w:val="2"/>
            <w:tcBorders>
              <w:top w:val="nil"/>
              <w:left w:val="nil"/>
              <w:bottom w:val="single" w:sz="6" w:space="0" w:color="00467E"/>
              <w:right w:val="nil"/>
            </w:tcBorders>
            <w:shd w:val="clear" w:color="CFD4D8" w:fill="CFD4D8"/>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12.6</w:t>
            </w:r>
          </w:p>
        </w:tc>
        <w:tc>
          <w:tcPr>
            <w:tcW w:w="180" w:type="dxa"/>
            <w:tcBorders>
              <w:top w:val="nil"/>
              <w:left w:val="nil"/>
              <w:bottom w:val="single" w:sz="6" w:space="0" w:color="00467E"/>
              <w:right w:val="nil"/>
            </w:tcBorders>
            <w:shd w:val="clear" w:color="CFD4D8" w:fill="CFD4D8"/>
            <w:vAlign w:val="center"/>
          </w:tcPr>
          <w:p w:rsidR="0073298C" w:rsidRDefault="0073298C" w:rsidP="0073298C">
            <w:pPr>
              <w:spacing w:before="22" w:after="22"/>
              <w:ind w:right="22"/>
              <w:rPr>
                <w:rFonts w:ascii="Arial" w:hAnsi="Arial" w:cs="Arial"/>
                <w:color w:val="000000"/>
                <w:sz w:val="18"/>
                <w:szCs w:val="18"/>
              </w:rPr>
            </w:pPr>
            <w:r>
              <w:rPr>
                <w:rFonts w:ascii="Arial" w:hAnsi="Arial" w:cs="Arial"/>
                <w:color w:val="000000"/>
                <w:sz w:val="18"/>
                <w:szCs w:val="18"/>
              </w:rPr>
              <w:t>%</w:t>
            </w:r>
          </w:p>
        </w:tc>
        <w:tc>
          <w:tcPr>
            <w:tcW w:w="104" w:type="dxa"/>
            <w:tcBorders>
              <w:top w:val="nil"/>
              <w:left w:val="nil"/>
              <w:bottom w:val="single" w:sz="6" w:space="0" w:color="00467E"/>
              <w:right w:val="nil"/>
            </w:tcBorders>
            <w:shd w:val="clear" w:color="CFD4D8" w:fill="CFD4D8"/>
            <w:vAlign w:val="bottom"/>
          </w:tcPr>
          <w:p w:rsidR="0073298C" w:rsidRDefault="0073298C" w:rsidP="0073298C">
            <w:pPr>
              <w:spacing w:before="22" w:after="22"/>
              <w:ind w:left="22" w:right="22"/>
              <w:rPr>
                <w:color w:val="000000"/>
              </w:rPr>
            </w:pPr>
            <w:r>
              <w:rPr>
                <w:color w:val="000000"/>
              </w:rPr>
              <w:t> </w:t>
            </w:r>
          </w:p>
        </w:tc>
        <w:tc>
          <w:tcPr>
            <w:tcW w:w="1354" w:type="dxa"/>
            <w:gridSpan w:val="2"/>
            <w:tcBorders>
              <w:top w:val="nil"/>
              <w:left w:val="nil"/>
              <w:bottom w:val="single" w:sz="6" w:space="0" w:color="00467E"/>
              <w:right w:val="nil"/>
            </w:tcBorders>
            <w:shd w:val="clear" w:color="CFD4D8" w:fill="CFD4D8"/>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14.4</w:t>
            </w:r>
          </w:p>
        </w:tc>
        <w:tc>
          <w:tcPr>
            <w:tcW w:w="180" w:type="dxa"/>
            <w:tcBorders>
              <w:top w:val="nil"/>
              <w:left w:val="nil"/>
              <w:bottom w:val="single" w:sz="6" w:space="0" w:color="00467E"/>
              <w:right w:val="nil"/>
            </w:tcBorders>
            <w:shd w:val="clear" w:color="CFD4D8" w:fill="CFD4D8"/>
            <w:vAlign w:val="center"/>
          </w:tcPr>
          <w:p w:rsidR="0073298C" w:rsidRDefault="0073298C" w:rsidP="0073298C">
            <w:pPr>
              <w:spacing w:before="22" w:after="22"/>
              <w:ind w:right="22"/>
              <w:rPr>
                <w:rFonts w:ascii="Arial" w:hAnsi="Arial" w:cs="Arial"/>
                <w:color w:val="000000"/>
                <w:sz w:val="18"/>
                <w:szCs w:val="18"/>
              </w:rPr>
            </w:pPr>
            <w:r>
              <w:rPr>
                <w:rFonts w:ascii="Arial" w:hAnsi="Arial" w:cs="Arial"/>
                <w:color w:val="000000"/>
                <w:sz w:val="18"/>
                <w:szCs w:val="18"/>
              </w:rPr>
              <w:t>%</w:t>
            </w:r>
          </w:p>
        </w:tc>
        <w:tc>
          <w:tcPr>
            <w:tcW w:w="104" w:type="dxa"/>
            <w:tcBorders>
              <w:top w:val="single" w:sz="6" w:space="0" w:color="00467E"/>
              <w:left w:val="nil"/>
              <w:bottom w:val="single" w:sz="6" w:space="0" w:color="00467E"/>
              <w:right w:val="nil"/>
            </w:tcBorders>
            <w:shd w:val="clear" w:color="00467E" w:fill="00467E"/>
            <w:vAlign w:val="bottom"/>
          </w:tcPr>
          <w:p w:rsidR="0073298C" w:rsidRDefault="0073298C" w:rsidP="0073298C">
            <w:pPr>
              <w:spacing w:before="22" w:after="22"/>
              <w:ind w:left="22" w:right="22"/>
              <w:rPr>
                <w:color w:val="000000"/>
              </w:rPr>
            </w:pPr>
            <w:r>
              <w:rPr>
                <w:color w:val="000000"/>
              </w:rPr>
              <w:t> </w:t>
            </w:r>
          </w:p>
        </w:tc>
        <w:tc>
          <w:tcPr>
            <w:tcW w:w="1039" w:type="dxa"/>
            <w:tcBorders>
              <w:top w:val="nil"/>
              <w:left w:val="nil"/>
              <w:bottom w:val="single" w:sz="6" w:space="0" w:color="00467E"/>
              <w:right w:val="nil"/>
            </w:tcBorders>
            <w:shd w:val="clear" w:color="CFD4D8" w:fill="CFD4D8"/>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w:t>
            </w:r>
          </w:p>
        </w:tc>
        <w:tc>
          <w:tcPr>
            <w:tcW w:w="230" w:type="dxa"/>
            <w:tcBorders>
              <w:top w:val="nil"/>
              <w:left w:val="nil"/>
              <w:bottom w:val="single" w:sz="6" w:space="0" w:color="00467E"/>
              <w:right w:val="nil"/>
            </w:tcBorders>
            <w:shd w:val="clear" w:color="CFD4D8" w:fill="CFD4D8"/>
            <w:vAlign w:val="bottom"/>
          </w:tcPr>
          <w:p w:rsidR="0073298C" w:rsidRDefault="0073298C" w:rsidP="0073298C">
            <w:pPr>
              <w:spacing w:before="22" w:after="22"/>
              <w:ind w:left="22"/>
              <w:jc w:val="right"/>
              <w:rPr>
                <w:rFonts w:ascii="Arial" w:hAnsi="Arial" w:cs="Arial"/>
                <w:color w:val="000000"/>
                <w:sz w:val="18"/>
                <w:szCs w:val="18"/>
              </w:rPr>
            </w:pPr>
          </w:p>
          <w:p w:rsidR="0073298C" w:rsidRDefault="0073298C" w:rsidP="0073298C">
            <w:pPr>
              <w:rPr>
                <w:sz w:val="16"/>
                <w:szCs w:val="16"/>
              </w:rPr>
            </w:pPr>
            <w:r>
              <w:rPr>
                <w:sz w:val="16"/>
                <w:szCs w:val="16"/>
              </w:rPr>
              <w:t> </w:t>
            </w:r>
          </w:p>
        </w:tc>
        <w:tc>
          <w:tcPr>
            <w:tcW w:w="104" w:type="dxa"/>
            <w:tcBorders>
              <w:top w:val="nil"/>
              <w:left w:val="nil"/>
              <w:bottom w:val="single" w:sz="6" w:space="0" w:color="00467E"/>
              <w:right w:val="nil"/>
            </w:tcBorders>
            <w:shd w:val="clear" w:color="CFD4D8" w:fill="CFD4D8"/>
            <w:vAlign w:val="bottom"/>
          </w:tcPr>
          <w:p w:rsidR="0073298C" w:rsidRDefault="0073298C" w:rsidP="0073298C">
            <w:pPr>
              <w:spacing w:before="22" w:after="22"/>
              <w:ind w:left="22" w:right="22"/>
              <w:rPr>
                <w:color w:val="000000"/>
              </w:rPr>
            </w:pPr>
            <w:r>
              <w:rPr>
                <w:color w:val="000000"/>
              </w:rPr>
              <w:t> </w:t>
            </w:r>
          </w:p>
        </w:tc>
        <w:tc>
          <w:tcPr>
            <w:tcW w:w="1016" w:type="dxa"/>
            <w:tcBorders>
              <w:top w:val="nil"/>
              <w:left w:val="nil"/>
              <w:bottom w:val="single" w:sz="6" w:space="0" w:color="00467E"/>
              <w:right w:val="nil"/>
            </w:tcBorders>
            <w:shd w:val="clear" w:color="CFD4D8" w:fill="CFD4D8"/>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(180 bps)</w:t>
            </w:r>
          </w:p>
        </w:tc>
        <w:tc>
          <w:tcPr>
            <w:tcW w:w="294" w:type="dxa"/>
            <w:tcBorders>
              <w:top w:val="nil"/>
              <w:left w:val="nil"/>
              <w:bottom w:val="single" w:sz="6" w:space="0" w:color="00467E"/>
              <w:right w:val="single" w:sz="6" w:space="0" w:color="00467E"/>
            </w:tcBorders>
            <w:shd w:val="clear" w:color="CFD4D8" w:fill="CFD4D8"/>
            <w:vAlign w:val="bottom"/>
          </w:tcPr>
          <w:p w:rsidR="0073298C" w:rsidRDefault="0073298C" w:rsidP="0073298C">
            <w:pPr>
              <w:spacing w:before="22" w:after="22"/>
              <w:ind w:left="22"/>
              <w:jc w:val="right"/>
              <w:rPr>
                <w:rFonts w:ascii="Arial" w:hAnsi="Arial" w:cs="Arial"/>
                <w:color w:val="000000"/>
                <w:sz w:val="18"/>
                <w:szCs w:val="18"/>
              </w:rPr>
            </w:pPr>
          </w:p>
          <w:p w:rsidR="0073298C" w:rsidRDefault="0073298C" w:rsidP="0073298C">
            <w:pPr>
              <w:rPr>
                <w:sz w:val="16"/>
                <w:szCs w:val="16"/>
              </w:rPr>
            </w:pPr>
            <w:r>
              <w:rPr>
                <w:sz w:val="16"/>
                <w:szCs w:val="16"/>
              </w:rPr>
              <w:t> </w:t>
            </w:r>
          </w:p>
        </w:tc>
      </w:tr>
    </w:tbl>
    <w:p w:rsidR="0073298C" w:rsidRDefault="0073298C" w:rsidP="0073298C">
      <w:pPr>
        <w:spacing w:after="132"/>
        <w:jc w:val="both"/>
        <w:rPr>
          <w:rFonts w:ascii="Arial" w:hAnsi="Arial" w:cs="Arial"/>
          <w:color w:val="000000"/>
          <w:sz w:val="18"/>
          <w:szCs w:val="18"/>
        </w:rPr>
      </w:pPr>
      <w:r>
        <w:rPr>
          <w:rFonts w:ascii="Arial" w:hAnsi="Arial" w:cs="Arial"/>
          <w:color w:val="000000"/>
          <w:sz w:val="18"/>
          <w:szCs w:val="18"/>
        </w:rPr>
        <w:t>Fuel expense consists primarily of diesel fuel expense for our company-owned tractors and fuel taxes. The primary factors affecting our fuel expense are the cost of diesel fuel, the fuel economy of our equipment, and the miles driven by company driving associates.</w:t>
      </w:r>
    </w:p>
    <w:p w:rsidR="000E3B20" w:rsidRDefault="0073298C" w:rsidP="000E3B20">
      <w:pPr>
        <w:spacing w:after="132"/>
        <w:jc w:val="both"/>
      </w:pPr>
      <w:r>
        <w:rPr>
          <w:rFonts w:ascii="Arial" w:hAnsi="Arial" w:cs="Arial"/>
          <w:color w:val="000000"/>
          <w:sz w:val="18"/>
          <w:szCs w:val="18"/>
        </w:rPr>
        <w:t xml:space="preserve">Our fuel surcharge programs help to offset increases in fuel prices, but apply only to </w:t>
      </w:r>
      <w:proofErr w:type="gramStart"/>
      <w:r>
        <w:rPr>
          <w:rFonts w:ascii="Arial" w:hAnsi="Arial" w:cs="Arial"/>
          <w:color w:val="000000"/>
          <w:sz w:val="18"/>
          <w:szCs w:val="18"/>
        </w:rPr>
        <w:t>loaded</w:t>
      </w:r>
      <w:proofErr w:type="gramEnd"/>
      <w:r>
        <w:rPr>
          <w:rFonts w:ascii="Arial" w:hAnsi="Arial" w:cs="Arial"/>
          <w:color w:val="000000"/>
          <w:sz w:val="18"/>
          <w:szCs w:val="18"/>
        </w:rPr>
        <w:t xml:space="preserve"> miles and typically do not offset non-paid empty miles, idle time, and out-of-route miles driven.  Typical fuel surcharge programs involve a computation based on the change in national or regional fuel prices.  These programs may update as often as weekly, but typically require a specified minimum change in fuel cost to prompt a change in fuel surcharge revenue for our trucking segments. Therefore, many of these programs have a time lag between when fuel costs change and when the change is reflected in fuel surcharge revenue.  Due to this time lag, our fuel expense, net of fuel surcharge, negatively impacts our operating income during periods of sharply rising fuel costs and positively impacts our operating income during periods of falling fuel costs. We continue to utilize our fuel efficiency initiatives such as trailer blades, idle-control, managing tractor speeds, updating our fleet with more fuel-efficient engines, managing fuel procurement, and driving associate training programs that we believe contribute to controlling our fuel expense.</w:t>
      </w:r>
      <w:r w:rsidR="000E3B20">
        <w:t xml:space="preserve"> </w:t>
      </w:r>
    </w:p>
    <w:p w:rsidR="0073298C" w:rsidRDefault="0073298C" w:rsidP="0073298C">
      <w:pPr>
        <w:spacing w:after="132"/>
        <w:jc w:val="both"/>
        <w:rPr>
          <w:rFonts w:ascii="Arial" w:hAnsi="Arial" w:cs="Arial"/>
          <w:color w:val="000000"/>
          <w:sz w:val="18"/>
          <w:szCs w:val="18"/>
        </w:rPr>
      </w:pPr>
      <w:r>
        <w:rPr>
          <w:rFonts w:ascii="Arial" w:hAnsi="Arial" w:cs="Arial"/>
          <w:i/>
          <w:iCs/>
          <w:color w:val="000000"/>
          <w:sz w:val="18"/>
          <w:szCs w:val="18"/>
        </w:rPr>
        <w:t>2017 Compared to 2016 —</w:t>
      </w:r>
      <w:r>
        <w:rPr>
          <w:rFonts w:ascii="Arial" w:hAnsi="Arial" w:cs="Arial"/>
          <w:color w:val="000000"/>
          <w:sz w:val="18"/>
          <w:szCs w:val="18"/>
        </w:rPr>
        <w:t xml:space="preserve"> The $145.3 million increase in consolidated fuel expense includes $131.2 million of expense from Swift's results for the September 9, 2017 through December 31, 2017 period. Knight's fuel expense increased $14.1 million from 2016 to 2017. As a percentage of revenue before fuel surcharge, consolidated fuel expense was consistent, despite higher average United States diesel fuel prices in 2017 of $2.65, compared to 2016 of $2.30. Higher diesel fuel prices were offset by a 6.9% decrease in miles driven by Knight's company driving associates.</w:t>
      </w:r>
    </w:p>
    <w:p w:rsidR="000E3B20" w:rsidRDefault="0073298C" w:rsidP="0073298C">
      <w:pPr>
        <w:spacing w:after="264"/>
        <w:jc w:val="both"/>
        <w:rPr>
          <w:rFonts w:ascii="Arial" w:hAnsi="Arial" w:cs="Arial"/>
          <w:color w:val="000000"/>
          <w:sz w:val="18"/>
          <w:szCs w:val="18"/>
        </w:rPr>
      </w:pPr>
      <w:r>
        <w:rPr>
          <w:rFonts w:ascii="Arial" w:hAnsi="Arial" w:cs="Arial"/>
          <w:i/>
          <w:iCs/>
          <w:color w:val="000000"/>
          <w:sz w:val="18"/>
          <w:szCs w:val="18"/>
        </w:rPr>
        <w:t>2016 Compared to 2015 —</w:t>
      </w:r>
      <w:r>
        <w:rPr>
          <w:rFonts w:ascii="Arial" w:hAnsi="Arial" w:cs="Arial"/>
          <w:color w:val="000000"/>
          <w:sz w:val="18"/>
          <w:szCs w:val="18"/>
        </w:rPr>
        <w:t xml:space="preserve"> Fuel expense decreased, as a percentage of total revenue, to 11.6% in 2016, from 12.9% in 2015, as the US National Average Diesel Fuel price decreased by 14.9% in 2016. Fuel prices were falling throughout 2015 and bottomed out in the first quarter of 2016, before rising in each of the remaining quarters of 2016.</w:t>
      </w:r>
    </w:p>
    <w:p w:rsidR="000E3B20" w:rsidRDefault="000E3B20">
      <w:pPr>
        <w:rPr>
          <w:rFonts w:ascii="Arial" w:hAnsi="Arial" w:cs="Arial"/>
          <w:color w:val="000000"/>
          <w:sz w:val="18"/>
          <w:szCs w:val="18"/>
        </w:rPr>
      </w:pPr>
      <w:r>
        <w:rPr>
          <w:rFonts w:ascii="Arial" w:hAnsi="Arial" w:cs="Arial"/>
          <w:color w:val="000000"/>
          <w:sz w:val="18"/>
          <w:szCs w:val="18"/>
        </w:rPr>
        <w:br w:type="page"/>
      </w:r>
    </w:p>
    <w:p w:rsidR="0073298C" w:rsidRDefault="0073298C" w:rsidP="0073298C">
      <w:pPr>
        <w:spacing w:after="264"/>
        <w:jc w:val="both"/>
        <w:rPr>
          <w:rFonts w:ascii="Arial" w:hAnsi="Arial" w:cs="Arial"/>
          <w:color w:val="000000"/>
          <w:sz w:val="18"/>
          <w:szCs w:val="18"/>
        </w:rPr>
      </w:pPr>
    </w:p>
    <w:tbl>
      <w:tblPr>
        <w:tblW w:w="10801" w:type="dxa"/>
        <w:tblInd w:w="8" w:type="dxa"/>
        <w:tblLayout w:type="fixed"/>
        <w:tblCellMar>
          <w:left w:w="0" w:type="dxa"/>
          <w:right w:w="0" w:type="dxa"/>
        </w:tblCellMar>
        <w:tblLook w:val="0000"/>
      </w:tblPr>
      <w:tblGrid>
        <w:gridCol w:w="3163"/>
        <w:gridCol w:w="120"/>
        <w:gridCol w:w="1215"/>
        <w:gridCol w:w="180"/>
        <w:gridCol w:w="103"/>
        <w:gridCol w:w="120"/>
        <w:gridCol w:w="1202"/>
        <w:gridCol w:w="180"/>
        <w:gridCol w:w="103"/>
        <w:gridCol w:w="120"/>
        <w:gridCol w:w="1202"/>
        <w:gridCol w:w="181"/>
        <w:gridCol w:w="103"/>
        <w:gridCol w:w="1027"/>
        <w:gridCol w:w="360"/>
        <w:gridCol w:w="103"/>
        <w:gridCol w:w="1027"/>
        <w:gridCol w:w="292"/>
      </w:tblGrid>
      <w:tr w:rsidR="0073298C" w:rsidTr="000E3B20">
        <w:tblPrEx>
          <w:tblCellMar>
            <w:top w:w="0" w:type="dxa"/>
            <w:left w:w="0" w:type="dxa"/>
            <w:bottom w:w="0" w:type="dxa"/>
            <w:right w:w="0" w:type="dxa"/>
          </w:tblCellMar>
        </w:tblPrEx>
        <w:trPr>
          <w:trHeight w:val="298"/>
        </w:trPr>
        <w:tc>
          <w:tcPr>
            <w:tcW w:w="3163" w:type="dxa"/>
            <w:tcBorders>
              <w:top w:val="single" w:sz="6" w:space="0" w:color="00467E"/>
              <w:left w:val="single" w:sz="6" w:space="0" w:color="00467E"/>
              <w:bottom w:val="nil"/>
              <w:right w:val="nil"/>
            </w:tcBorders>
            <w:vAlign w:val="center"/>
          </w:tcPr>
          <w:p w:rsidR="0073298C" w:rsidRDefault="0073298C" w:rsidP="0073298C">
            <w:pPr>
              <w:spacing w:before="22" w:after="22"/>
              <w:ind w:left="22" w:right="22"/>
              <w:rPr>
                <w:rFonts w:ascii="Arial" w:hAnsi="Arial" w:cs="Arial"/>
                <w:b/>
                <w:bCs w:val="0"/>
                <w:color w:val="000000"/>
                <w:sz w:val="16"/>
                <w:szCs w:val="16"/>
              </w:rPr>
            </w:pPr>
            <w:r>
              <w:rPr>
                <w:rFonts w:ascii="Arial" w:hAnsi="Arial" w:cs="Arial"/>
                <w:b/>
                <w:bCs w:val="0"/>
                <w:color w:val="000000"/>
                <w:sz w:val="16"/>
                <w:szCs w:val="16"/>
              </w:rPr>
              <w:t> </w:t>
            </w:r>
          </w:p>
        </w:tc>
        <w:tc>
          <w:tcPr>
            <w:tcW w:w="1515" w:type="dxa"/>
            <w:gridSpan w:val="3"/>
            <w:tcBorders>
              <w:top w:val="single" w:sz="6" w:space="0" w:color="00467E"/>
              <w:left w:val="nil"/>
              <w:bottom w:val="single" w:sz="6" w:space="0" w:color="000000"/>
              <w:right w:val="nil"/>
            </w:tcBorders>
            <w:vAlign w:val="center"/>
          </w:tcPr>
          <w:p w:rsidR="0073298C" w:rsidRDefault="0073298C" w:rsidP="0073298C">
            <w:pPr>
              <w:spacing w:before="22" w:after="22"/>
              <w:ind w:left="22" w:right="22"/>
              <w:jc w:val="center"/>
              <w:rPr>
                <w:rFonts w:ascii="Arial" w:hAnsi="Arial" w:cs="Arial"/>
                <w:b/>
                <w:bCs w:val="0"/>
                <w:color w:val="000000"/>
                <w:sz w:val="14"/>
                <w:szCs w:val="14"/>
              </w:rPr>
            </w:pPr>
            <w:r>
              <w:rPr>
                <w:rFonts w:ascii="Arial" w:hAnsi="Arial" w:cs="Arial"/>
                <w:b/>
                <w:bCs w:val="0"/>
                <w:color w:val="000000"/>
                <w:sz w:val="14"/>
                <w:szCs w:val="14"/>
              </w:rPr>
              <w:t>2017</w:t>
            </w:r>
          </w:p>
        </w:tc>
        <w:tc>
          <w:tcPr>
            <w:tcW w:w="103" w:type="dxa"/>
            <w:tcBorders>
              <w:top w:val="single" w:sz="6" w:space="0" w:color="00467E"/>
              <w:left w:val="nil"/>
              <w:bottom w:val="nil"/>
              <w:right w:val="nil"/>
            </w:tcBorders>
            <w:vAlign w:val="bottom"/>
          </w:tcPr>
          <w:p w:rsidR="0073298C" w:rsidRDefault="0073298C" w:rsidP="0073298C">
            <w:pPr>
              <w:spacing w:before="22" w:after="22"/>
              <w:ind w:left="22" w:right="22"/>
              <w:rPr>
                <w:color w:val="000000"/>
              </w:rPr>
            </w:pPr>
            <w:r>
              <w:rPr>
                <w:color w:val="000000"/>
              </w:rPr>
              <w:t> </w:t>
            </w:r>
          </w:p>
        </w:tc>
        <w:tc>
          <w:tcPr>
            <w:tcW w:w="1502" w:type="dxa"/>
            <w:gridSpan w:val="3"/>
            <w:tcBorders>
              <w:top w:val="single" w:sz="6" w:space="0" w:color="00467E"/>
              <w:left w:val="nil"/>
              <w:bottom w:val="single" w:sz="6" w:space="0" w:color="000000"/>
              <w:right w:val="nil"/>
            </w:tcBorders>
            <w:vAlign w:val="center"/>
          </w:tcPr>
          <w:p w:rsidR="0073298C" w:rsidRDefault="0073298C" w:rsidP="0073298C">
            <w:pPr>
              <w:spacing w:before="22" w:after="22"/>
              <w:ind w:left="22" w:right="22"/>
              <w:jc w:val="center"/>
              <w:rPr>
                <w:rFonts w:ascii="Arial" w:hAnsi="Arial" w:cs="Arial"/>
                <w:b/>
                <w:bCs w:val="0"/>
                <w:color w:val="000000"/>
                <w:sz w:val="14"/>
                <w:szCs w:val="14"/>
              </w:rPr>
            </w:pPr>
            <w:r>
              <w:rPr>
                <w:rFonts w:ascii="Arial" w:hAnsi="Arial" w:cs="Arial"/>
                <w:b/>
                <w:bCs w:val="0"/>
                <w:color w:val="000000"/>
                <w:sz w:val="14"/>
                <w:szCs w:val="14"/>
              </w:rPr>
              <w:t>2016</w:t>
            </w:r>
          </w:p>
        </w:tc>
        <w:tc>
          <w:tcPr>
            <w:tcW w:w="103" w:type="dxa"/>
            <w:tcBorders>
              <w:top w:val="single" w:sz="6" w:space="0" w:color="00467E"/>
              <w:left w:val="nil"/>
              <w:bottom w:val="nil"/>
              <w:right w:val="nil"/>
            </w:tcBorders>
            <w:vAlign w:val="bottom"/>
          </w:tcPr>
          <w:p w:rsidR="0073298C" w:rsidRDefault="0073298C" w:rsidP="0073298C">
            <w:pPr>
              <w:spacing w:before="22" w:after="22"/>
              <w:ind w:left="22" w:right="22"/>
              <w:rPr>
                <w:color w:val="000000"/>
              </w:rPr>
            </w:pPr>
            <w:r>
              <w:rPr>
                <w:color w:val="000000"/>
              </w:rPr>
              <w:t> </w:t>
            </w:r>
          </w:p>
        </w:tc>
        <w:tc>
          <w:tcPr>
            <w:tcW w:w="1503" w:type="dxa"/>
            <w:gridSpan w:val="3"/>
            <w:tcBorders>
              <w:top w:val="single" w:sz="6" w:space="0" w:color="00467E"/>
              <w:left w:val="nil"/>
              <w:bottom w:val="single" w:sz="6" w:space="0" w:color="000000"/>
              <w:right w:val="nil"/>
            </w:tcBorders>
            <w:vAlign w:val="center"/>
          </w:tcPr>
          <w:p w:rsidR="0073298C" w:rsidRDefault="0073298C" w:rsidP="0073298C">
            <w:pPr>
              <w:spacing w:before="22" w:after="22"/>
              <w:ind w:left="22" w:right="22"/>
              <w:jc w:val="center"/>
              <w:rPr>
                <w:rFonts w:ascii="Arial" w:hAnsi="Arial" w:cs="Arial"/>
                <w:b/>
                <w:bCs w:val="0"/>
                <w:color w:val="000000"/>
                <w:sz w:val="14"/>
                <w:szCs w:val="14"/>
              </w:rPr>
            </w:pPr>
            <w:r>
              <w:rPr>
                <w:rFonts w:ascii="Arial" w:hAnsi="Arial" w:cs="Arial"/>
                <w:b/>
                <w:bCs w:val="0"/>
                <w:color w:val="000000"/>
                <w:sz w:val="14"/>
                <w:szCs w:val="14"/>
              </w:rPr>
              <w:t>2015</w:t>
            </w:r>
          </w:p>
        </w:tc>
        <w:tc>
          <w:tcPr>
            <w:tcW w:w="103" w:type="dxa"/>
            <w:tcBorders>
              <w:top w:val="single" w:sz="6" w:space="0" w:color="00467E"/>
              <w:left w:val="nil"/>
              <w:bottom w:val="nil"/>
              <w:right w:val="nil"/>
            </w:tcBorders>
            <w:shd w:val="clear" w:color="00467E" w:fill="00467E"/>
            <w:vAlign w:val="bottom"/>
          </w:tcPr>
          <w:p w:rsidR="0073298C" w:rsidRDefault="0073298C" w:rsidP="0073298C">
            <w:pPr>
              <w:spacing w:before="22" w:after="22"/>
              <w:ind w:left="22" w:right="22"/>
              <w:rPr>
                <w:color w:val="000000"/>
              </w:rPr>
            </w:pPr>
            <w:r>
              <w:rPr>
                <w:color w:val="000000"/>
              </w:rPr>
              <w:t> </w:t>
            </w:r>
          </w:p>
        </w:tc>
        <w:tc>
          <w:tcPr>
            <w:tcW w:w="1387" w:type="dxa"/>
            <w:gridSpan w:val="2"/>
            <w:tcBorders>
              <w:top w:val="single" w:sz="6" w:space="0" w:color="00467E"/>
              <w:left w:val="nil"/>
              <w:bottom w:val="single" w:sz="6" w:space="0" w:color="000000"/>
              <w:right w:val="nil"/>
            </w:tcBorders>
            <w:vAlign w:val="center"/>
          </w:tcPr>
          <w:p w:rsidR="0073298C" w:rsidRDefault="0073298C" w:rsidP="0073298C">
            <w:pPr>
              <w:spacing w:before="22" w:after="22"/>
              <w:ind w:left="22" w:right="22"/>
              <w:jc w:val="center"/>
              <w:rPr>
                <w:rFonts w:ascii="Arial" w:hAnsi="Arial" w:cs="Arial"/>
                <w:b/>
                <w:bCs w:val="0"/>
                <w:color w:val="000000"/>
                <w:sz w:val="14"/>
                <w:szCs w:val="14"/>
              </w:rPr>
            </w:pPr>
            <w:r>
              <w:rPr>
                <w:rFonts w:ascii="Arial" w:hAnsi="Arial" w:cs="Arial"/>
                <w:b/>
                <w:bCs w:val="0"/>
                <w:color w:val="000000"/>
                <w:sz w:val="14"/>
                <w:szCs w:val="14"/>
              </w:rPr>
              <w:t>2017 vs. 2016</w:t>
            </w:r>
          </w:p>
        </w:tc>
        <w:tc>
          <w:tcPr>
            <w:tcW w:w="103" w:type="dxa"/>
            <w:tcBorders>
              <w:top w:val="single" w:sz="6" w:space="0" w:color="00467E"/>
              <w:left w:val="nil"/>
              <w:bottom w:val="nil"/>
              <w:right w:val="nil"/>
            </w:tcBorders>
            <w:vAlign w:val="bottom"/>
          </w:tcPr>
          <w:p w:rsidR="0073298C" w:rsidRDefault="0073298C" w:rsidP="0073298C">
            <w:pPr>
              <w:spacing w:before="22" w:after="22"/>
              <w:ind w:left="22" w:right="22"/>
              <w:rPr>
                <w:color w:val="000000"/>
              </w:rPr>
            </w:pPr>
            <w:r>
              <w:rPr>
                <w:color w:val="000000"/>
              </w:rPr>
              <w:t> </w:t>
            </w:r>
          </w:p>
        </w:tc>
        <w:tc>
          <w:tcPr>
            <w:tcW w:w="1319" w:type="dxa"/>
            <w:gridSpan w:val="2"/>
            <w:tcBorders>
              <w:top w:val="single" w:sz="6" w:space="0" w:color="00467E"/>
              <w:left w:val="nil"/>
              <w:bottom w:val="single" w:sz="6" w:space="0" w:color="000000"/>
              <w:right w:val="single" w:sz="6" w:space="0" w:color="00467E"/>
            </w:tcBorders>
            <w:vAlign w:val="center"/>
          </w:tcPr>
          <w:p w:rsidR="0073298C" w:rsidRDefault="0073298C" w:rsidP="0073298C">
            <w:pPr>
              <w:spacing w:before="22" w:after="22"/>
              <w:ind w:left="22" w:right="22"/>
              <w:jc w:val="center"/>
              <w:rPr>
                <w:rFonts w:ascii="Arial" w:hAnsi="Arial" w:cs="Arial"/>
                <w:b/>
                <w:bCs w:val="0"/>
                <w:color w:val="000000"/>
                <w:sz w:val="14"/>
                <w:szCs w:val="14"/>
              </w:rPr>
            </w:pPr>
            <w:r>
              <w:rPr>
                <w:rFonts w:ascii="Arial" w:hAnsi="Arial" w:cs="Arial"/>
                <w:b/>
                <w:bCs w:val="0"/>
                <w:color w:val="000000"/>
                <w:sz w:val="14"/>
                <w:szCs w:val="14"/>
              </w:rPr>
              <w:t>2016 vs. 2015</w:t>
            </w:r>
          </w:p>
        </w:tc>
      </w:tr>
      <w:tr w:rsidR="0073298C" w:rsidTr="000E3B20">
        <w:tblPrEx>
          <w:tblCellMar>
            <w:top w:w="0" w:type="dxa"/>
            <w:left w:w="0" w:type="dxa"/>
            <w:bottom w:w="0" w:type="dxa"/>
            <w:right w:w="0" w:type="dxa"/>
          </w:tblCellMar>
        </w:tblPrEx>
        <w:trPr>
          <w:trHeight w:val="298"/>
        </w:trPr>
        <w:tc>
          <w:tcPr>
            <w:tcW w:w="3163" w:type="dxa"/>
            <w:tcBorders>
              <w:top w:val="nil"/>
              <w:left w:val="single" w:sz="6" w:space="0" w:color="00467E"/>
              <w:bottom w:val="nil"/>
              <w:right w:val="nil"/>
            </w:tcBorders>
            <w:vAlign w:val="bottom"/>
          </w:tcPr>
          <w:p w:rsidR="0073298C" w:rsidRDefault="0073298C" w:rsidP="0073298C">
            <w:pPr>
              <w:spacing w:before="22" w:after="22"/>
              <w:ind w:left="22" w:right="22"/>
              <w:rPr>
                <w:color w:val="000000"/>
              </w:rPr>
            </w:pPr>
            <w:r>
              <w:rPr>
                <w:color w:val="000000"/>
              </w:rPr>
              <w:t> </w:t>
            </w:r>
          </w:p>
        </w:tc>
        <w:tc>
          <w:tcPr>
            <w:tcW w:w="4726" w:type="dxa"/>
            <w:gridSpan w:val="11"/>
            <w:tcBorders>
              <w:top w:val="nil"/>
              <w:left w:val="nil"/>
              <w:bottom w:val="single" w:sz="6" w:space="0" w:color="000000"/>
              <w:right w:val="nil"/>
            </w:tcBorders>
            <w:vAlign w:val="center"/>
          </w:tcPr>
          <w:p w:rsidR="0073298C" w:rsidRDefault="0073298C" w:rsidP="0073298C">
            <w:pPr>
              <w:spacing w:before="22" w:after="22"/>
              <w:ind w:left="22"/>
              <w:jc w:val="center"/>
              <w:rPr>
                <w:rFonts w:ascii="Arial" w:hAnsi="Arial" w:cs="Arial"/>
                <w:b/>
                <w:bCs w:val="0"/>
                <w:color w:val="000000"/>
                <w:sz w:val="14"/>
                <w:szCs w:val="14"/>
              </w:rPr>
            </w:pPr>
            <w:r>
              <w:rPr>
                <w:rFonts w:ascii="Arial" w:hAnsi="Arial" w:cs="Arial"/>
                <w:b/>
                <w:bCs w:val="0"/>
                <w:color w:val="000000"/>
                <w:sz w:val="14"/>
                <w:szCs w:val="14"/>
              </w:rPr>
              <w:t>(Dollars in thousands)</w:t>
            </w:r>
          </w:p>
        </w:tc>
        <w:tc>
          <w:tcPr>
            <w:tcW w:w="103" w:type="dxa"/>
            <w:tcBorders>
              <w:top w:val="single" w:sz="6" w:space="0" w:color="00467E"/>
              <w:left w:val="nil"/>
              <w:bottom w:val="nil"/>
              <w:right w:val="nil"/>
            </w:tcBorders>
            <w:shd w:val="clear" w:color="00467E" w:fill="00467E"/>
            <w:vAlign w:val="bottom"/>
          </w:tcPr>
          <w:p w:rsidR="0073298C" w:rsidRDefault="0073298C" w:rsidP="0073298C">
            <w:pPr>
              <w:spacing w:before="22" w:after="22"/>
              <w:ind w:left="22" w:right="22"/>
              <w:rPr>
                <w:color w:val="000000"/>
              </w:rPr>
            </w:pPr>
            <w:r>
              <w:rPr>
                <w:color w:val="000000"/>
              </w:rPr>
              <w:t> </w:t>
            </w:r>
          </w:p>
        </w:tc>
        <w:tc>
          <w:tcPr>
            <w:tcW w:w="2809" w:type="dxa"/>
            <w:gridSpan w:val="5"/>
            <w:tcBorders>
              <w:top w:val="single" w:sz="6" w:space="0" w:color="000000"/>
              <w:left w:val="nil"/>
              <w:bottom w:val="single" w:sz="6" w:space="0" w:color="000000"/>
              <w:right w:val="single" w:sz="6" w:space="0" w:color="00467E"/>
            </w:tcBorders>
            <w:vAlign w:val="center"/>
          </w:tcPr>
          <w:p w:rsidR="0073298C" w:rsidRDefault="0073298C" w:rsidP="0073298C">
            <w:pPr>
              <w:spacing w:before="22" w:after="22"/>
              <w:ind w:left="22"/>
              <w:jc w:val="center"/>
              <w:rPr>
                <w:rFonts w:ascii="Arial" w:hAnsi="Arial" w:cs="Arial"/>
                <w:b/>
                <w:bCs w:val="0"/>
                <w:color w:val="000000"/>
                <w:sz w:val="14"/>
                <w:szCs w:val="14"/>
              </w:rPr>
            </w:pPr>
            <w:r>
              <w:rPr>
                <w:rFonts w:ascii="Arial" w:hAnsi="Arial" w:cs="Arial"/>
                <w:b/>
                <w:bCs w:val="0"/>
                <w:color w:val="000000"/>
                <w:sz w:val="14"/>
                <w:szCs w:val="14"/>
              </w:rPr>
              <w:t>Increase (decrease)</w:t>
            </w:r>
          </w:p>
        </w:tc>
      </w:tr>
      <w:tr w:rsidR="0073298C" w:rsidTr="000E3B20">
        <w:tblPrEx>
          <w:tblCellMar>
            <w:top w:w="0" w:type="dxa"/>
            <w:left w:w="0" w:type="dxa"/>
            <w:bottom w:w="0" w:type="dxa"/>
            <w:right w:w="0" w:type="dxa"/>
          </w:tblCellMar>
        </w:tblPrEx>
        <w:trPr>
          <w:trHeight w:val="298"/>
        </w:trPr>
        <w:tc>
          <w:tcPr>
            <w:tcW w:w="3163" w:type="dxa"/>
            <w:tcBorders>
              <w:top w:val="nil"/>
              <w:left w:val="single" w:sz="6" w:space="0" w:color="00467E"/>
              <w:bottom w:val="nil"/>
              <w:right w:val="nil"/>
            </w:tcBorders>
            <w:shd w:val="clear" w:color="CFD4D8" w:fill="CFD4D8"/>
            <w:vAlign w:val="center"/>
          </w:tcPr>
          <w:p w:rsidR="0073298C" w:rsidRDefault="0073298C" w:rsidP="0073298C">
            <w:pPr>
              <w:spacing w:before="22" w:after="22"/>
              <w:ind w:left="22" w:right="22"/>
              <w:rPr>
                <w:rFonts w:ascii="Arial" w:hAnsi="Arial" w:cs="Arial"/>
                <w:b/>
                <w:bCs w:val="0"/>
                <w:i/>
                <w:iCs/>
                <w:color w:val="9D1B11"/>
                <w:sz w:val="18"/>
                <w:szCs w:val="18"/>
              </w:rPr>
            </w:pPr>
            <w:r>
              <w:rPr>
                <w:rFonts w:ascii="Arial" w:hAnsi="Arial" w:cs="Arial"/>
                <w:b/>
                <w:bCs w:val="0"/>
                <w:i/>
                <w:iCs/>
                <w:color w:val="9D1B11"/>
                <w:sz w:val="18"/>
                <w:szCs w:val="18"/>
              </w:rPr>
              <w:t>Operations and maintenance</w:t>
            </w:r>
          </w:p>
        </w:tc>
        <w:tc>
          <w:tcPr>
            <w:tcW w:w="120" w:type="dxa"/>
            <w:tcBorders>
              <w:top w:val="nil"/>
              <w:left w:val="nil"/>
              <w:bottom w:val="nil"/>
              <w:right w:val="nil"/>
            </w:tcBorders>
            <w:shd w:val="clear" w:color="CFD4D8" w:fill="CFD4D8"/>
            <w:vAlign w:val="center"/>
          </w:tcPr>
          <w:p w:rsidR="0073298C" w:rsidRDefault="0073298C" w:rsidP="0073298C">
            <w:pPr>
              <w:spacing w:before="22" w:after="22"/>
              <w:ind w:left="22"/>
              <w:rPr>
                <w:rFonts w:ascii="Arial" w:hAnsi="Arial" w:cs="Arial"/>
                <w:color w:val="000000"/>
                <w:sz w:val="18"/>
                <w:szCs w:val="18"/>
              </w:rPr>
            </w:pPr>
            <w:r>
              <w:rPr>
                <w:rFonts w:ascii="Arial" w:hAnsi="Arial" w:cs="Arial"/>
                <w:color w:val="000000"/>
                <w:sz w:val="18"/>
                <w:szCs w:val="18"/>
              </w:rPr>
              <w:t>$</w:t>
            </w:r>
          </w:p>
        </w:tc>
        <w:tc>
          <w:tcPr>
            <w:tcW w:w="1215" w:type="dxa"/>
            <w:tcBorders>
              <w:top w:val="nil"/>
              <w:left w:val="nil"/>
              <w:bottom w:val="nil"/>
              <w:right w:val="nil"/>
            </w:tcBorders>
            <w:shd w:val="clear" w:color="CFD4D8" w:fill="CFD4D8"/>
            <w:vAlign w:val="center"/>
          </w:tcPr>
          <w:p w:rsidR="0073298C" w:rsidRDefault="0073298C" w:rsidP="0073298C">
            <w:pPr>
              <w:spacing w:before="22" w:after="22"/>
              <w:jc w:val="right"/>
              <w:rPr>
                <w:rFonts w:ascii="Arial" w:hAnsi="Arial" w:cs="Arial"/>
                <w:color w:val="000000"/>
                <w:sz w:val="18"/>
                <w:szCs w:val="18"/>
              </w:rPr>
            </w:pPr>
            <w:r>
              <w:rPr>
                <w:rFonts w:ascii="Arial" w:hAnsi="Arial" w:cs="Arial"/>
                <w:color w:val="000000"/>
                <w:sz w:val="18"/>
                <w:szCs w:val="18"/>
              </w:rPr>
              <w:t>164,307</w:t>
            </w:r>
          </w:p>
        </w:tc>
        <w:tc>
          <w:tcPr>
            <w:tcW w:w="180" w:type="dxa"/>
            <w:tcBorders>
              <w:top w:val="nil"/>
              <w:left w:val="nil"/>
              <w:bottom w:val="nil"/>
              <w:right w:val="nil"/>
            </w:tcBorders>
            <w:shd w:val="clear" w:color="CFD4D8" w:fill="CFD4D8"/>
            <w:vAlign w:val="bottom"/>
          </w:tcPr>
          <w:p w:rsidR="0073298C" w:rsidRDefault="0073298C" w:rsidP="0073298C">
            <w:pPr>
              <w:spacing w:before="22" w:after="22"/>
              <w:jc w:val="right"/>
              <w:rPr>
                <w:rFonts w:ascii="Arial" w:hAnsi="Arial" w:cs="Arial"/>
                <w:color w:val="000000"/>
                <w:sz w:val="18"/>
                <w:szCs w:val="18"/>
              </w:rPr>
            </w:pPr>
          </w:p>
          <w:p w:rsidR="0073298C" w:rsidRDefault="0073298C" w:rsidP="0073298C">
            <w:pPr>
              <w:rPr>
                <w:sz w:val="16"/>
                <w:szCs w:val="16"/>
              </w:rPr>
            </w:pPr>
            <w:r>
              <w:rPr>
                <w:sz w:val="16"/>
                <w:szCs w:val="16"/>
              </w:rPr>
              <w:t> </w:t>
            </w:r>
          </w:p>
        </w:tc>
        <w:tc>
          <w:tcPr>
            <w:tcW w:w="103" w:type="dxa"/>
            <w:tcBorders>
              <w:top w:val="nil"/>
              <w:left w:val="nil"/>
              <w:bottom w:val="nil"/>
              <w:right w:val="nil"/>
            </w:tcBorders>
            <w:shd w:val="clear" w:color="CFD4D8" w:fill="CFD4D8"/>
            <w:vAlign w:val="bottom"/>
          </w:tcPr>
          <w:p w:rsidR="0073298C" w:rsidRDefault="0073298C" w:rsidP="0073298C">
            <w:pPr>
              <w:spacing w:before="22" w:after="22"/>
              <w:ind w:left="22" w:right="22"/>
              <w:rPr>
                <w:color w:val="000000"/>
              </w:rPr>
            </w:pPr>
            <w:r>
              <w:rPr>
                <w:color w:val="000000"/>
              </w:rPr>
              <w:t> </w:t>
            </w:r>
          </w:p>
        </w:tc>
        <w:tc>
          <w:tcPr>
            <w:tcW w:w="120" w:type="dxa"/>
            <w:tcBorders>
              <w:top w:val="nil"/>
              <w:left w:val="nil"/>
              <w:bottom w:val="nil"/>
              <w:right w:val="nil"/>
            </w:tcBorders>
            <w:shd w:val="clear" w:color="CFD4D8" w:fill="CFD4D8"/>
            <w:vAlign w:val="center"/>
          </w:tcPr>
          <w:p w:rsidR="0073298C" w:rsidRDefault="0073298C" w:rsidP="0073298C">
            <w:pPr>
              <w:spacing w:before="22" w:after="22"/>
              <w:ind w:left="22"/>
              <w:rPr>
                <w:rFonts w:ascii="Arial" w:hAnsi="Arial" w:cs="Arial"/>
                <w:color w:val="000000"/>
                <w:sz w:val="18"/>
                <w:szCs w:val="18"/>
              </w:rPr>
            </w:pPr>
            <w:r>
              <w:rPr>
                <w:rFonts w:ascii="Arial" w:hAnsi="Arial" w:cs="Arial"/>
                <w:color w:val="000000"/>
                <w:sz w:val="18"/>
                <w:szCs w:val="18"/>
              </w:rPr>
              <w:t>$</w:t>
            </w:r>
          </w:p>
        </w:tc>
        <w:tc>
          <w:tcPr>
            <w:tcW w:w="1202" w:type="dxa"/>
            <w:tcBorders>
              <w:top w:val="nil"/>
              <w:left w:val="nil"/>
              <w:bottom w:val="nil"/>
              <w:right w:val="nil"/>
            </w:tcBorders>
            <w:shd w:val="clear" w:color="CFD4D8" w:fill="CFD4D8"/>
            <w:vAlign w:val="center"/>
          </w:tcPr>
          <w:p w:rsidR="0073298C" w:rsidRDefault="0073298C" w:rsidP="0073298C">
            <w:pPr>
              <w:spacing w:before="22" w:after="22"/>
              <w:jc w:val="right"/>
              <w:rPr>
                <w:rFonts w:ascii="Arial" w:hAnsi="Arial" w:cs="Arial"/>
                <w:color w:val="000000"/>
                <w:sz w:val="18"/>
                <w:szCs w:val="18"/>
              </w:rPr>
            </w:pPr>
            <w:r>
              <w:rPr>
                <w:rFonts w:ascii="Arial" w:hAnsi="Arial" w:cs="Arial"/>
                <w:color w:val="000000"/>
                <w:sz w:val="18"/>
                <w:szCs w:val="18"/>
              </w:rPr>
              <w:t>76,246</w:t>
            </w:r>
          </w:p>
        </w:tc>
        <w:tc>
          <w:tcPr>
            <w:tcW w:w="180" w:type="dxa"/>
            <w:tcBorders>
              <w:top w:val="nil"/>
              <w:left w:val="nil"/>
              <w:bottom w:val="nil"/>
              <w:right w:val="nil"/>
            </w:tcBorders>
            <w:shd w:val="clear" w:color="CFD4D8" w:fill="CFD4D8"/>
            <w:vAlign w:val="bottom"/>
          </w:tcPr>
          <w:p w:rsidR="0073298C" w:rsidRDefault="0073298C" w:rsidP="0073298C">
            <w:pPr>
              <w:spacing w:before="22" w:after="22"/>
              <w:jc w:val="right"/>
              <w:rPr>
                <w:rFonts w:ascii="Arial" w:hAnsi="Arial" w:cs="Arial"/>
                <w:color w:val="000000"/>
                <w:sz w:val="18"/>
                <w:szCs w:val="18"/>
              </w:rPr>
            </w:pPr>
          </w:p>
          <w:p w:rsidR="0073298C" w:rsidRDefault="0073298C" w:rsidP="0073298C">
            <w:pPr>
              <w:rPr>
                <w:sz w:val="16"/>
                <w:szCs w:val="16"/>
              </w:rPr>
            </w:pPr>
            <w:r>
              <w:rPr>
                <w:sz w:val="16"/>
                <w:szCs w:val="16"/>
              </w:rPr>
              <w:t> </w:t>
            </w:r>
          </w:p>
        </w:tc>
        <w:tc>
          <w:tcPr>
            <w:tcW w:w="103" w:type="dxa"/>
            <w:tcBorders>
              <w:top w:val="nil"/>
              <w:left w:val="nil"/>
              <w:bottom w:val="nil"/>
              <w:right w:val="nil"/>
            </w:tcBorders>
            <w:shd w:val="clear" w:color="CFD4D8" w:fill="CFD4D8"/>
            <w:vAlign w:val="bottom"/>
          </w:tcPr>
          <w:p w:rsidR="0073298C" w:rsidRDefault="0073298C" w:rsidP="0073298C">
            <w:pPr>
              <w:spacing w:before="22" w:after="22"/>
              <w:ind w:left="22" w:right="22"/>
              <w:rPr>
                <w:color w:val="000000"/>
              </w:rPr>
            </w:pPr>
            <w:r>
              <w:rPr>
                <w:color w:val="000000"/>
              </w:rPr>
              <w:t> </w:t>
            </w:r>
          </w:p>
        </w:tc>
        <w:tc>
          <w:tcPr>
            <w:tcW w:w="120" w:type="dxa"/>
            <w:tcBorders>
              <w:top w:val="nil"/>
              <w:left w:val="nil"/>
              <w:bottom w:val="nil"/>
              <w:right w:val="nil"/>
            </w:tcBorders>
            <w:shd w:val="clear" w:color="CFD4D8" w:fill="CFD4D8"/>
            <w:vAlign w:val="center"/>
          </w:tcPr>
          <w:p w:rsidR="0073298C" w:rsidRDefault="0073298C" w:rsidP="0073298C">
            <w:pPr>
              <w:spacing w:before="22" w:after="22"/>
              <w:ind w:left="22"/>
              <w:rPr>
                <w:rFonts w:ascii="Arial" w:hAnsi="Arial" w:cs="Arial"/>
                <w:color w:val="000000"/>
                <w:sz w:val="18"/>
                <w:szCs w:val="18"/>
              </w:rPr>
            </w:pPr>
            <w:r>
              <w:rPr>
                <w:rFonts w:ascii="Arial" w:hAnsi="Arial" w:cs="Arial"/>
                <w:color w:val="000000"/>
                <w:sz w:val="18"/>
                <w:szCs w:val="18"/>
              </w:rPr>
              <w:t>$</w:t>
            </w:r>
          </w:p>
        </w:tc>
        <w:tc>
          <w:tcPr>
            <w:tcW w:w="1202" w:type="dxa"/>
            <w:tcBorders>
              <w:top w:val="nil"/>
              <w:left w:val="nil"/>
              <w:bottom w:val="nil"/>
              <w:right w:val="nil"/>
            </w:tcBorders>
            <w:shd w:val="clear" w:color="CFD4D8" w:fill="CFD4D8"/>
            <w:vAlign w:val="center"/>
          </w:tcPr>
          <w:p w:rsidR="0073298C" w:rsidRDefault="0073298C" w:rsidP="0073298C">
            <w:pPr>
              <w:spacing w:before="22" w:after="22"/>
              <w:jc w:val="right"/>
              <w:rPr>
                <w:rFonts w:ascii="Arial" w:hAnsi="Arial" w:cs="Arial"/>
                <w:color w:val="000000"/>
                <w:sz w:val="18"/>
                <w:szCs w:val="18"/>
              </w:rPr>
            </w:pPr>
            <w:r>
              <w:rPr>
                <w:rFonts w:ascii="Arial" w:hAnsi="Arial" w:cs="Arial"/>
                <w:color w:val="000000"/>
                <w:sz w:val="18"/>
                <w:szCs w:val="18"/>
              </w:rPr>
              <w:t>80,855</w:t>
            </w:r>
          </w:p>
        </w:tc>
        <w:tc>
          <w:tcPr>
            <w:tcW w:w="181" w:type="dxa"/>
            <w:tcBorders>
              <w:top w:val="nil"/>
              <w:left w:val="nil"/>
              <w:bottom w:val="nil"/>
              <w:right w:val="nil"/>
            </w:tcBorders>
            <w:shd w:val="clear" w:color="CFD4D8" w:fill="CFD4D8"/>
            <w:vAlign w:val="bottom"/>
          </w:tcPr>
          <w:p w:rsidR="0073298C" w:rsidRDefault="0073298C" w:rsidP="0073298C">
            <w:pPr>
              <w:spacing w:before="22" w:after="22"/>
              <w:jc w:val="right"/>
              <w:rPr>
                <w:rFonts w:ascii="Arial" w:hAnsi="Arial" w:cs="Arial"/>
                <w:color w:val="000000"/>
                <w:sz w:val="18"/>
                <w:szCs w:val="18"/>
              </w:rPr>
            </w:pPr>
          </w:p>
          <w:p w:rsidR="0073298C" w:rsidRDefault="0073298C" w:rsidP="0073298C">
            <w:pPr>
              <w:rPr>
                <w:sz w:val="16"/>
                <w:szCs w:val="16"/>
              </w:rPr>
            </w:pPr>
            <w:r>
              <w:rPr>
                <w:sz w:val="16"/>
                <w:szCs w:val="16"/>
              </w:rPr>
              <w:t> </w:t>
            </w:r>
          </w:p>
        </w:tc>
        <w:tc>
          <w:tcPr>
            <w:tcW w:w="103" w:type="dxa"/>
            <w:tcBorders>
              <w:top w:val="single" w:sz="6" w:space="0" w:color="00467E"/>
              <w:left w:val="nil"/>
              <w:bottom w:val="nil"/>
              <w:right w:val="nil"/>
            </w:tcBorders>
            <w:shd w:val="clear" w:color="00467E" w:fill="00467E"/>
            <w:vAlign w:val="bottom"/>
          </w:tcPr>
          <w:p w:rsidR="0073298C" w:rsidRDefault="0073298C" w:rsidP="0073298C">
            <w:pPr>
              <w:spacing w:before="22" w:after="22"/>
              <w:ind w:left="22" w:right="22"/>
              <w:rPr>
                <w:color w:val="000000"/>
              </w:rPr>
            </w:pPr>
            <w:r>
              <w:rPr>
                <w:color w:val="000000"/>
              </w:rPr>
              <w:t> </w:t>
            </w:r>
          </w:p>
        </w:tc>
        <w:tc>
          <w:tcPr>
            <w:tcW w:w="1027" w:type="dxa"/>
            <w:tcBorders>
              <w:top w:val="single" w:sz="6" w:space="0" w:color="000000"/>
              <w:left w:val="nil"/>
              <w:bottom w:val="nil"/>
              <w:right w:val="nil"/>
            </w:tcBorders>
            <w:shd w:val="clear" w:color="CFD4D8" w:fill="CFD4D8"/>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115.5</w:t>
            </w:r>
          </w:p>
        </w:tc>
        <w:tc>
          <w:tcPr>
            <w:tcW w:w="360" w:type="dxa"/>
            <w:tcBorders>
              <w:top w:val="single" w:sz="6" w:space="0" w:color="000000"/>
              <w:left w:val="nil"/>
              <w:bottom w:val="nil"/>
              <w:right w:val="nil"/>
            </w:tcBorders>
            <w:shd w:val="clear" w:color="CFD4D8" w:fill="CFD4D8"/>
            <w:vAlign w:val="center"/>
          </w:tcPr>
          <w:p w:rsidR="0073298C" w:rsidRDefault="0073298C" w:rsidP="0073298C">
            <w:pPr>
              <w:spacing w:before="22" w:after="22"/>
              <w:ind w:right="22"/>
              <w:rPr>
                <w:rFonts w:ascii="Arial" w:hAnsi="Arial" w:cs="Arial"/>
                <w:color w:val="000000"/>
                <w:sz w:val="18"/>
                <w:szCs w:val="18"/>
              </w:rPr>
            </w:pPr>
            <w:r>
              <w:rPr>
                <w:rFonts w:ascii="Arial" w:hAnsi="Arial" w:cs="Arial"/>
                <w:color w:val="000000"/>
                <w:sz w:val="18"/>
                <w:szCs w:val="18"/>
              </w:rPr>
              <w:t> %</w:t>
            </w:r>
          </w:p>
        </w:tc>
        <w:tc>
          <w:tcPr>
            <w:tcW w:w="103" w:type="dxa"/>
            <w:tcBorders>
              <w:top w:val="single" w:sz="6" w:space="0" w:color="000000"/>
              <w:left w:val="nil"/>
              <w:bottom w:val="nil"/>
              <w:right w:val="nil"/>
            </w:tcBorders>
            <w:shd w:val="clear" w:color="CFD4D8" w:fill="CFD4D8"/>
            <w:vAlign w:val="bottom"/>
          </w:tcPr>
          <w:p w:rsidR="0073298C" w:rsidRDefault="0073298C" w:rsidP="0073298C">
            <w:pPr>
              <w:spacing w:before="22" w:after="22"/>
              <w:ind w:left="22" w:right="22"/>
              <w:rPr>
                <w:color w:val="000000"/>
              </w:rPr>
            </w:pPr>
            <w:r>
              <w:rPr>
                <w:color w:val="000000"/>
              </w:rPr>
              <w:t> </w:t>
            </w:r>
          </w:p>
        </w:tc>
        <w:tc>
          <w:tcPr>
            <w:tcW w:w="1027" w:type="dxa"/>
            <w:tcBorders>
              <w:top w:val="single" w:sz="6" w:space="0" w:color="000000"/>
              <w:left w:val="nil"/>
              <w:bottom w:val="nil"/>
              <w:right w:val="nil"/>
            </w:tcBorders>
            <w:shd w:val="clear" w:color="CFD4D8" w:fill="CFD4D8"/>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(5.7</w:t>
            </w:r>
          </w:p>
        </w:tc>
        <w:tc>
          <w:tcPr>
            <w:tcW w:w="292" w:type="dxa"/>
            <w:tcBorders>
              <w:top w:val="single" w:sz="6" w:space="0" w:color="000000"/>
              <w:left w:val="nil"/>
              <w:bottom w:val="nil"/>
              <w:right w:val="single" w:sz="6" w:space="0" w:color="00467E"/>
            </w:tcBorders>
            <w:shd w:val="clear" w:color="CFD4D8" w:fill="CFD4D8"/>
            <w:vAlign w:val="center"/>
          </w:tcPr>
          <w:p w:rsidR="0073298C" w:rsidRDefault="0073298C" w:rsidP="0073298C">
            <w:pPr>
              <w:spacing w:before="22" w:after="22"/>
              <w:ind w:right="22"/>
              <w:rPr>
                <w:rFonts w:ascii="Arial" w:hAnsi="Arial" w:cs="Arial"/>
                <w:color w:val="000000"/>
                <w:sz w:val="18"/>
                <w:szCs w:val="18"/>
              </w:rPr>
            </w:pPr>
            <w:r>
              <w:rPr>
                <w:rFonts w:ascii="Arial" w:hAnsi="Arial" w:cs="Arial"/>
                <w:color w:val="000000"/>
                <w:sz w:val="18"/>
                <w:szCs w:val="18"/>
              </w:rPr>
              <w:t> %)</w:t>
            </w:r>
          </w:p>
        </w:tc>
      </w:tr>
      <w:tr w:rsidR="0073298C" w:rsidTr="000E3B20">
        <w:tblPrEx>
          <w:tblCellMar>
            <w:top w:w="0" w:type="dxa"/>
            <w:left w:w="0" w:type="dxa"/>
            <w:bottom w:w="0" w:type="dxa"/>
            <w:right w:w="0" w:type="dxa"/>
          </w:tblCellMar>
        </w:tblPrEx>
        <w:trPr>
          <w:trHeight w:val="298"/>
        </w:trPr>
        <w:tc>
          <w:tcPr>
            <w:tcW w:w="3163" w:type="dxa"/>
            <w:tcBorders>
              <w:top w:val="nil"/>
              <w:left w:val="single" w:sz="6" w:space="0" w:color="00467E"/>
              <w:bottom w:val="nil"/>
              <w:right w:val="nil"/>
            </w:tcBorders>
            <w:vAlign w:val="center"/>
          </w:tcPr>
          <w:p w:rsidR="0073298C" w:rsidRDefault="0073298C" w:rsidP="0073298C">
            <w:pPr>
              <w:spacing w:before="22" w:after="22"/>
              <w:ind w:left="330" w:right="22"/>
              <w:rPr>
                <w:rFonts w:ascii="Arial" w:hAnsi="Arial" w:cs="Arial"/>
                <w:color w:val="000000"/>
                <w:sz w:val="18"/>
                <w:szCs w:val="18"/>
              </w:rPr>
            </w:pPr>
            <w:r>
              <w:rPr>
                <w:rFonts w:ascii="Arial" w:hAnsi="Arial" w:cs="Arial"/>
                <w:color w:val="000000"/>
                <w:sz w:val="18"/>
                <w:szCs w:val="18"/>
              </w:rPr>
              <w:t>% of total revenue</w:t>
            </w:r>
          </w:p>
        </w:tc>
        <w:tc>
          <w:tcPr>
            <w:tcW w:w="1335" w:type="dxa"/>
            <w:gridSpan w:val="2"/>
            <w:tcBorders>
              <w:top w:val="nil"/>
              <w:left w:val="nil"/>
              <w:bottom w:val="nil"/>
              <w:right w:val="nil"/>
            </w:tcBorders>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6.8</w:t>
            </w:r>
          </w:p>
        </w:tc>
        <w:tc>
          <w:tcPr>
            <w:tcW w:w="180" w:type="dxa"/>
            <w:tcBorders>
              <w:top w:val="nil"/>
              <w:left w:val="nil"/>
              <w:bottom w:val="nil"/>
              <w:right w:val="nil"/>
            </w:tcBorders>
            <w:vAlign w:val="center"/>
          </w:tcPr>
          <w:p w:rsidR="0073298C" w:rsidRDefault="0073298C" w:rsidP="0073298C">
            <w:pPr>
              <w:spacing w:before="22" w:after="22"/>
              <w:ind w:right="22"/>
              <w:rPr>
                <w:rFonts w:ascii="Arial" w:hAnsi="Arial" w:cs="Arial"/>
                <w:color w:val="000000"/>
                <w:sz w:val="18"/>
                <w:szCs w:val="18"/>
              </w:rPr>
            </w:pPr>
            <w:r>
              <w:rPr>
                <w:rFonts w:ascii="Arial" w:hAnsi="Arial" w:cs="Arial"/>
                <w:color w:val="000000"/>
                <w:sz w:val="18"/>
                <w:szCs w:val="18"/>
              </w:rPr>
              <w:t>%</w:t>
            </w:r>
          </w:p>
        </w:tc>
        <w:tc>
          <w:tcPr>
            <w:tcW w:w="103" w:type="dxa"/>
            <w:tcBorders>
              <w:top w:val="nil"/>
              <w:left w:val="nil"/>
              <w:bottom w:val="nil"/>
              <w:right w:val="nil"/>
            </w:tcBorders>
            <w:vAlign w:val="bottom"/>
          </w:tcPr>
          <w:p w:rsidR="0073298C" w:rsidRDefault="0073298C" w:rsidP="0073298C">
            <w:pPr>
              <w:spacing w:before="22" w:after="22"/>
              <w:ind w:left="22" w:right="22"/>
              <w:rPr>
                <w:color w:val="000000"/>
              </w:rPr>
            </w:pPr>
            <w:r>
              <w:rPr>
                <w:color w:val="000000"/>
              </w:rPr>
              <w:t> </w:t>
            </w:r>
          </w:p>
        </w:tc>
        <w:tc>
          <w:tcPr>
            <w:tcW w:w="1322" w:type="dxa"/>
            <w:gridSpan w:val="2"/>
            <w:tcBorders>
              <w:top w:val="nil"/>
              <w:left w:val="nil"/>
              <w:bottom w:val="nil"/>
              <w:right w:val="nil"/>
            </w:tcBorders>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6.8</w:t>
            </w:r>
          </w:p>
        </w:tc>
        <w:tc>
          <w:tcPr>
            <w:tcW w:w="180" w:type="dxa"/>
            <w:tcBorders>
              <w:top w:val="nil"/>
              <w:left w:val="nil"/>
              <w:bottom w:val="nil"/>
              <w:right w:val="nil"/>
            </w:tcBorders>
            <w:vAlign w:val="center"/>
          </w:tcPr>
          <w:p w:rsidR="0073298C" w:rsidRDefault="0073298C" w:rsidP="0073298C">
            <w:pPr>
              <w:spacing w:before="22" w:after="22"/>
              <w:ind w:right="22"/>
              <w:rPr>
                <w:rFonts w:ascii="Arial" w:hAnsi="Arial" w:cs="Arial"/>
                <w:color w:val="000000"/>
                <w:sz w:val="18"/>
                <w:szCs w:val="18"/>
              </w:rPr>
            </w:pPr>
            <w:r>
              <w:rPr>
                <w:rFonts w:ascii="Arial" w:hAnsi="Arial" w:cs="Arial"/>
                <w:color w:val="000000"/>
                <w:sz w:val="18"/>
                <w:szCs w:val="18"/>
              </w:rPr>
              <w:t>%</w:t>
            </w:r>
          </w:p>
        </w:tc>
        <w:tc>
          <w:tcPr>
            <w:tcW w:w="103" w:type="dxa"/>
            <w:tcBorders>
              <w:top w:val="nil"/>
              <w:left w:val="nil"/>
              <w:bottom w:val="nil"/>
              <w:right w:val="nil"/>
            </w:tcBorders>
            <w:vAlign w:val="bottom"/>
          </w:tcPr>
          <w:p w:rsidR="0073298C" w:rsidRDefault="0073298C" w:rsidP="0073298C">
            <w:pPr>
              <w:spacing w:before="22" w:after="22"/>
              <w:ind w:left="22" w:right="22"/>
              <w:rPr>
                <w:color w:val="000000"/>
              </w:rPr>
            </w:pPr>
            <w:r>
              <w:rPr>
                <w:color w:val="000000"/>
              </w:rPr>
              <w:t> </w:t>
            </w:r>
          </w:p>
        </w:tc>
        <w:tc>
          <w:tcPr>
            <w:tcW w:w="1322" w:type="dxa"/>
            <w:gridSpan w:val="2"/>
            <w:tcBorders>
              <w:top w:val="nil"/>
              <w:left w:val="nil"/>
              <w:bottom w:val="nil"/>
              <w:right w:val="nil"/>
            </w:tcBorders>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6.8</w:t>
            </w:r>
          </w:p>
        </w:tc>
        <w:tc>
          <w:tcPr>
            <w:tcW w:w="181" w:type="dxa"/>
            <w:tcBorders>
              <w:top w:val="nil"/>
              <w:left w:val="nil"/>
              <w:bottom w:val="nil"/>
              <w:right w:val="nil"/>
            </w:tcBorders>
            <w:vAlign w:val="center"/>
          </w:tcPr>
          <w:p w:rsidR="0073298C" w:rsidRDefault="0073298C" w:rsidP="0073298C">
            <w:pPr>
              <w:spacing w:before="22" w:after="22"/>
              <w:ind w:right="22"/>
              <w:rPr>
                <w:rFonts w:ascii="Arial" w:hAnsi="Arial" w:cs="Arial"/>
                <w:color w:val="000000"/>
                <w:sz w:val="18"/>
                <w:szCs w:val="18"/>
              </w:rPr>
            </w:pPr>
            <w:r>
              <w:rPr>
                <w:rFonts w:ascii="Arial" w:hAnsi="Arial" w:cs="Arial"/>
                <w:color w:val="000000"/>
                <w:sz w:val="18"/>
                <w:szCs w:val="18"/>
              </w:rPr>
              <w:t>%</w:t>
            </w:r>
          </w:p>
        </w:tc>
        <w:tc>
          <w:tcPr>
            <w:tcW w:w="103" w:type="dxa"/>
            <w:tcBorders>
              <w:top w:val="single" w:sz="6" w:space="0" w:color="00467E"/>
              <w:left w:val="nil"/>
              <w:bottom w:val="nil"/>
              <w:right w:val="nil"/>
            </w:tcBorders>
            <w:shd w:val="clear" w:color="00467E" w:fill="00467E"/>
            <w:vAlign w:val="bottom"/>
          </w:tcPr>
          <w:p w:rsidR="0073298C" w:rsidRDefault="0073298C" w:rsidP="0073298C">
            <w:pPr>
              <w:spacing w:before="22" w:after="22"/>
              <w:ind w:left="22" w:right="22"/>
              <w:rPr>
                <w:color w:val="000000"/>
              </w:rPr>
            </w:pPr>
            <w:r>
              <w:rPr>
                <w:color w:val="000000"/>
              </w:rPr>
              <w:t> </w:t>
            </w:r>
          </w:p>
        </w:tc>
        <w:tc>
          <w:tcPr>
            <w:tcW w:w="1027" w:type="dxa"/>
            <w:tcBorders>
              <w:top w:val="nil"/>
              <w:left w:val="nil"/>
              <w:bottom w:val="nil"/>
              <w:right w:val="nil"/>
            </w:tcBorders>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w:t>
            </w:r>
          </w:p>
        </w:tc>
        <w:tc>
          <w:tcPr>
            <w:tcW w:w="360" w:type="dxa"/>
            <w:tcBorders>
              <w:top w:val="nil"/>
              <w:left w:val="nil"/>
              <w:bottom w:val="nil"/>
              <w:right w:val="nil"/>
            </w:tcBorders>
            <w:vAlign w:val="bottom"/>
          </w:tcPr>
          <w:p w:rsidR="0073298C" w:rsidRDefault="0073298C" w:rsidP="0073298C">
            <w:pPr>
              <w:spacing w:before="22" w:after="22"/>
              <w:ind w:left="22"/>
              <w:jc w:val="right"/>
              <w:rPr>
                <w:rFonts w:ascii="Arial" w:hAnsi="Arial" w:cs="Arial"/>
                <w:color w:val="000000"/>
                <w:sz w:val="18"/>
                <w:szCs w:val="18"/>
              </w:rPr>
            </w:pPr>
          </w:p>
          <w:p w:rsidR="0073298C" w:rsidRDefault="0073298C" w:rsidP="0073298C">
            <w:pPr>
              <w:rPr>
                <w:sz w:val="16"/>
                <w:szCs w:val="16"/>
              </w:rPr>
            </w:pPr>
            <w:r>
              <w:rPr>
                <w:sz w:val="16"/>
                <w:szCs w:val="16"/>
              </w:rPr>
              <w:t> </w:t>
            </w:r>
          </w:p>
        </w:tc>
        <w:tc>
          <w:tcPr>
            <w:tcW w:w="103" w:type="dxa"/>
            <w:tcBorders>
              <w:top w:val="nil"/>
              <w:left w:val="nil"/>
              <w:bottom w:val="nil"/>
              <w:right w:val="nil"/>
            </w:tcBorders>
            <w:vAlign w:val="bottom"/>
          </w:tcPr>
          <w:p w:rsidR="0073298C" w:rsidRDefault="0073298C" w:rsidP="0073298C">
            <w:pPr>
              <w:spacing w:before="22" w:after="22"/>
              <w:ind w:left="22" w:right="22"/>
              <w:rPr>
                <w:color w:val="000000"/>
              </w:rPr>
            </w:pPr>
            <w:r>
              <w:rPr>
                <w:color w:val="000000"/>
              </w:rPr>
              <w:t> </w:t>
            </w:r>
          </w:p>
        </w:tc>
        <w:tc>
          <w:tcPr>
            <w:tcW w:w="1027" w:type="dxa"/>
            <w:tcBorders>
              <w:top w:val="nil"/>
              <w:left w:val="nil"/>
              <w:bottom w:val="nil"/>
              <w:right w:val="nil"/>
            </w:tcBorders>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w:t>
            </w:r>
          </w:p>
        </w:tc>
        <w:tc>
          <w:tcPr>
            <w:tcW w:w="292" w:type="dxa"/>
            <w:tcBorders>
              <w:top w:val="nil"/>
              <w:left w:val="nil"/>
              <w:bottom w:val="nil"/>
              <w:right w:val="single" w:sz="6" w:space="0" w:color="00467E"/>
            </w:tcBorders>
            <w:vAlign w:val="bottom"/>
          </w:tcPr>
          <w:p w:rsidR="0073298C" w:rsidRDefault="0073298C" w:rsidP="0073298C">
            <w:pPr>
              <w:spacing w:before="22" w:after="22"/>
              <w:ind w:left="22"/>
              <w:jc w:val="right"/>
              <w:rPr>
                <w:rFonts w:ascii="Arial" w:hAnsi="Arial" w:cs="Arial"/>
                <w:color w:val="000000"/>
                <w:sz w:val="18"/>
                <w:szCs w:val="18"/>
              </w:rPr>
            </w:pPr>
          </w:p>
          <w:p w:rsidR="0073298C" w:rsidRDefault="0073298C" w:rsidP="0073298C">
            <w:pPr>
              <w:rPr>
                <w:sz w:val="16"/>
                <w:szCs w:val="16"/>
              </w:rPr>
            </w:pPr>
            <w:r>
              <w:rPr>
                <w:sz w:val="16"/>
                <w:szCs w:val="16"/>
              </w:rPr>
              <w:t> </w:t>
            </w:r>
          </w:p>
        </w:tc>
      </w:tr>
      <w:tr w:rsidR="0073298C" w:rsidTr="000E3B20">
        <w:tblPrEx>
          <w:tblCellMar>
            <w:top w:w="0" w:type="dxa"/>
            <w:left w:w="0" w:type="dxa"/>
            <w:bottom w:w="0" w:type="dxa"/>
            <w:right w:w="0" w:type="dxa"/>
          </w:tblCellMar>
        </w:tblPrEx>
        <w:trPr>
          <w:trHeight w:val="479"/>
        </w:trPr>
        <w:tc>
          <w:tcPr>
            <w:tcW w:w="3163" w:type="dxa"/>
            <w:tcBorders>
              <w:top w:val="nil"/>
              <w:left w:val="single" w:sz="6" w:space="0" w:color="00467E"/>
              <w:bottom w:val="single" w:sz="6" w:space="0" w:color="00467E"/>
              <w:right w:val="nil"/>
            </w:tcBorders>
            <w:shd w:val="clear" w:color="CFD4D8" w:fill="CFD4D8"/>
            <w:vAlign w:val="center"/>
          </w:tcPr>
          <w:p w:rsidR="0073298C" w:rsidRDefault="0073298C" w:rsidP="0073298C">
            <w:pPr>
              <w:spacing w:before="22" w:after="22"/>
              <w:ind w:left="330" w:right="22"/>
              <w:rPr>
                <w:rFonts w:ascii="Arial" w:hAnsi="Arial" w:cs="Arial"/>
                <w:color w:val="000000"/>
                <w:sz w:val="18"/>
                <w:szCs w:val="18"/>
              </w:rPr>
            </w:pPr>
            <w:r>
              <w:rPr>
                <w:rFonts w:ascii="Arial" w:hAnsi="Arial" w:cs="Arial"/>
                <w:color w:val="000000"/>
                <w:sz w:val="18"/>
                <w:szCs w:val="18"/>
              </w:rPr>
              <w:t>% of revenue before fuel surcharge</w:t>
            </w:r>
          </w:p>
        </w:tc>
        <w:tc>
          <w:tcPr>
            <w:tcW w:w="1335" w:type="dxa"/>
            <w:gridSpan w:val="2"/>
            <w:tcBorders>
              <w:top w:val="nil"/>
              <w:left w:val="nil"/>
              <w:bottom w:val="single" w:sz="6" w:space="0" w:color="00467E"/>
              <w:right w:val="nil"/>
            </w:tcBorders>
            <w:shd w:val="clear" w:color="CFD4D8" w:fill="CFD4D8"/>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7.5</w:t>
            </w:r>
          </w:p>
        </w:tc>
        <w:tc>
          <w:tcPr>
            <w:tcW w:w="180" w:type="dxa"/>
            <w:tcBorders>
              <w:top w:val="nil"/>
              <w:left w:val="nil"/>
              <w:bottom w:val="single" w:sz="6" w:space="0" w:color="00467E"/>
              <w:right w:val="nil"/>
            </w:tcBorders>
            <w:shd w:val="clear" w:color="CFD4D8" w:fill="CFD4D8"/>
            <w:vAlign w:val="center"/>
          </w:tcPr>
          <w:p w:rsidR="0073298C" w:rsidRDefault="0073298C" w:rsidP="0073298C">
            <w:pPr>
              <w:spacing w:before="22" w:after="22"/>
              <w:ind w:right="22"/>
              <w:rPr>
                <w:rFonts w:ascii="Arial" w:hAnsi="Arial" w:cs="Arial"/>
                <w:color w:val="000000"/>
                <w:sz w:val="18"/>
                <w:szCs w:val="18"/>
              </w:rPr>
            </w:pPr>
            <w:r>
              <w:rPr>
                <w:rFonts w:ascii="Arial" w:hAnsi="Arial" w:cs="Arial"/>
                <w:color w:val="000000"/>
                <w:sz w:val="18"/>
                <w:szCs w:val="18"/>
              </w:rPr>
              <w:t>%</w:t>
            </w:r>
          </w:p>
        </w:tc>
        <w:tc>
          <w:tcPr>
            <w:tcW w:w="103" w:type="dxa"/>
            <w:tcBorders>
              <w:top w:val="nil"/>
              <w:left w:val="nil"/>
              <w:bottom w:val="single" w:sz="6" w:space="0" w:color="00467E"/>
              <w:right w:val="nil"/>
            </w:tcBorders>
            <w:shd w:val="clear" w:color="CFD4D8" w:fill="CFD4D8"/>
            <w:vAlign w:val="bottom"/>
          </w:tcPr>
          <w:p w:rsidR="0073298C" w:rsidRDefault="0073298C" w:rsidP="0073298C">
            <w:pPr>
              <w:spacing w:before="22" w:after="22"/>
              <w:ind w:left="22" w:right="22"/>
              <w:rPr>
                <w:color w:val="000000"/>
              </w:rPr>
            </w:pPr>
            <w:r>
              <w:rPr>
                <w:color w:val="000000"/>
              </w:rPr>
              <w:t> </w:t>
            </w:r>
          </w:p>
        </w:tc>
        <w:tc>
          <w:tcPr>
            <w:tcW w:w="1322" w:type="dxa"/>
            <w:gridSpan w:val="2"/>
            <w:tcBorders>
              <w:top w:val="nil"/>
              <w:left w:val="nil"/>
              <w:bottom w:val="single" w:sz="6" w:space="0" w:color="00467E"/>
              <w:right w:val="nil"/>
            </w:tcBorders>
            <w:shd w:val="clear" w:color="CFD4D8" w:fill="CFD4D8"/>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7.4</w:t>
            </w:r>
          </w:p>
        </w:tc>
        <w:tc>
          <w:tcPr>
            <w:tcW w:w="180" w:type="dxa"/>
            <w:tcBorders>
              <w:top w:val="nil"/>
              <w:left w:val="nil"/>
              <w:bottom w:val="single" w:sz="6" w:space="0" w:color="00467E"/>
              <w:right w:val="nil"/>
            </w:tcBorders>
            <w:shd w:val="clear" w:color="CFD4D8" w:fill="CFD4D8"/>
            <w:vAlign w:val="center"/>
          </w:tcPr>
          <w:p w:rsidR="0073298C" w:rsidRDefault="0073298C" w:rsidP="0073298C">
            <w:pPr>
              <w:spacing w:before="22" w:after="22"/>
              <w:ind w:right="22"/>
              <w:rPr>
                <w:rFonts w:ascii="Arial" w:hAnsi="Arial" w:cs="Arial"/>
                <w:color w:val="000000"/>
                <w:sz w:val="18"/>
                <w:szCs w:val="18"/>
              </w:rPr>
            </w:pPr>
            <w:r>
              <w:rPr>
                <w:rFonts w:ascii="Arial" w:hAnsi="Arial" w:cs="Arial"/>
                <w:color w:val="000000"/>
                <w:sz w:val="18"/>
                <w:szCs w:val="18"/>
              </w:rPr>
              <w:t>%</w:t>
            </w:r>
          </w:p>
        </w:tc>
        <w:tc>
          <w:tcPr>
            <w:tcW w:w="103" w:type="dxa"/>
            <w:tcBorders>
              <w:top w:val="nil"/>
              <w:left w:val="nil"/>
              <w:bottom w:val="single" w:sz="6" w:space="0" w:color="00467E"/>
              <w:right w:val="nil"/>
            </w:tcBorders>
            <w:shd w:val="clear" w:color="CFD4D8" w:fill="CFD4D8"/>
            <w:vAlign w:val="bottom"/>
          </w:tcPr>
          <w:p w:rsidR="0073298C" w:rsidRDefault="0073298C" w:rsidP="0073298C">
            <w:pPr>
              <w:spacing w:before="22" w:after="22"/>
              <w:ind w:left="22" w:right="22"/>
              <w:rPr>
                <w:color w:val="000000"/>
              </w:rPr>
            </w:pPr>
            <w:r>
              <w:rPr>
                <w:color w:val="000000"/>
              </w:rPr>
              <w:t> </w:t>
            </w:r>
          </w:p>
        </w:tc>
        <w:tc>
          <w:tcPr>
            <w:tcW w:w="1322" w:type="dxa"/>
            <w:gridSpan w:val="2"/>
            <w:tcBorders>
              <w:top w:val="nil"/>
              <w:left w:val="nil"/>
              <w:bottom w:val="single" w:sz="6" w:space="0" w:color="00467E"/>
              <w:right w:val="nil"/>
            </w:tcBorders>
            <w:shd w:val="clear" w:color="CFD4D8" w:fill="CFD4D8"/>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7.6</w:t>
            </w:r>
          </w:p>
        </w:tc>
        <w:tc>
          <w:tcPr>
            <w:tcW w:w="181" w:type="dxa"/>
            <w:tcBorders>
              <w:top w:val="nil"/>
              <w:left w:val="nil"/>
              <w:bottom w:val="single" w:sz="6" w:space="0" w:color="00467E"/>
              <w:right w:val="nil"/>
            </w:tcBorders>
            <w:shd w:val="clear" w:color="CFD4D8" w:fill="CFD4D8"/>
            <w:vAlign w:val="center"/>
          </w:tcPr>
          <w:p w:rsidR="0073298C" w:rsidRDefault="0073298C" w:rsidP="0073298C">
            <w:pPr>
              <w:spacing w:before="22" w:after="22"/>
              <w:ind w:right="22"/>
              <w:rPr>
                <w:rFonts w:ascii="Arial" w:hAnsi="Arial" w:cs="Arial"/>
                <w:color w:val="000000"/>
                <w:sz w:val="18"/>
                <w:szCs w:val="18"/>
              </w:rPr>
            </w:pPr>
            <w:r>
              <w:rPr>
                <w:rFonts w:ascii="Arial" w:hAnsi="Arial" w:cs="Arial"/>
                <w:color w:val="000000"/>
                <w:sz w:val="18"/>
                <w:szCs w:val="18"/>
              </w:rPr>
              <w:t>%</w:t>
            </w:r>
          </w:p>
        </w:tc>
        <w:tc>
          <w:tcPr>
            <w:tcW w:w="103" w:type="dxa"/>
            <w:tcBorders>
              <w:top w:val="single" w:sz="6" w:space="0" w:color="00467E"/>
              <w:left w:val="nil"/>
              <w:bottom w:val="single" w:sz="6" w:space="0" w:color="00467E"/>
              <w:right w:val="nil"/>
            </w:tcBorders>
            <w:shd w:val="clear" w:color="00467E" w:fill="00467E"/>
            <w:vAlign w:val="bottom"/>
          </w:tcPr>
          <w:p w:rsidR="0073298C" w:rsidRDefault="0073298C" w:rsidP="0073298C">
            <w:pPr>
              <w:spacing w:before="22" w:after="22"/>
              <w:ind w:left="22" w:right="22"/>
              <w:rPr>
                <w:color w:val="000000"/>
              </w:rPr>
            </w:pPr>
            <w:r>
              <w:rPr>
                <w:color w:val="000000"/>
              </w:rPr>
              <w:t> </w:t>
            </w:r>
          </w:p>
        </w:tc>
        <w:tc>
          <w:tcPr>
            <w:tcW w:w="1027" w:type="dxa"/>
            <w:tcBorders>
              <w:top w:val="nil"/>
              <w:left w:val="nil"/>
              <w:bottom w:val="single" w:sz="6" w:space="0" w:color="00467E"/>
              <w:right w:val="nil"/>
            </w:tcBorders>
            <w:shd w:val="clear" w:color="CFD4D8" w:fill="CFD4D8"/>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10</w:t>
            </w:r>
          </w:p>
        </w:tc>
        <w:tc>
          <w:tcPr>
            <w:tcW w:w="360" w:type="dxa"/>
            <w:tcBorders>
              <w:top w:val="nil"/>
              <w:left w:val="nil"/>
              <w:bottom w:val="single" w:sz="6" w:space="0" w:color="00467E"/>
              <w:right w:val="nil"/>
            </w:tcBorders>
            <w:shd w:val="clear" w:color="CFD4D8" w:fill="CFD4D8"/>
            <w:vAlign w:val="center"/>
          </w:tcPr>
          <w:p w:rsidR="0073298C" w:rsidRDefault="0073298C" w:rsidP="0073298C">
            <w:pPr>
              <w:spacing w:before="22" w:after="22"/>
              <w:ind w:right="22"/>
              <w:rPr>
                <w:rFonts w:ascii="Arial" w:hAnsi="Arial" w:cs="Arial"/>
                <w:color w:val="000000"/>
                <w:sz w:val="18"/>
                <w:szCs w:val="18"/>
              </w:rPr>
            </w:pPr>
            <w:r>
              <w:rPr>
                <w:rFonts w:ascii="Arial" w:hAnsi="Arial" w:cs="Arial"/>
                <w:color w:val="000000"/>
                <w:sz w:val="18"/>
                <w:szCs w:val="18"/>
              </w:rPr>
              <w:t> bps</w:t>
            </w:r>
          </w:p>
        </w:tc>
        <w:tc>
          <w:tcPr>
            <w:tcW w:w="103" w:type="dxa"/>
            <w:tcBorders>
              <w:top w:val="nil"/>
              <w:left w:val="nil"/>
              <w:bottom w:val="single" w:sz="6" w:space="0" w:color="00467E"/>
              <w:right w:val="nil"/>
            </w:tcBorders>
            <w:shd w:val="clear" w:color="CFD4D8" w:fill="CFD4D8"/>
            <w:vAlign w:val="bottom"/>
          </w:tcPr>
          <w:p w:rsidR="0073298C" w:rsidRDefault="0073298C" w:rsidP="0073298C">
            <w:pPr>
              <w:spacing w:before="22" w:after="22"/>
              <w:ind w:left="22" w:right="22"/>
              <w:rPr>
                <w:color w:val="000000"/>
              </w:rPr>
            </w:pPr>
            <w:r>
              <w:rPr>
                <w:color w:val="000000"/>
              </w:rPr>
              <w:t> </w:t>
            </w:r>
          </w:p>
        </w:tc>
        <w:tc>
          <w:tcPr>
            <w:tcW w:w="1027" w:type="dxa"/>
            <w:tcBorders>
              <w:top w:val="nil"/>
              <w:left w:val="nil"/>
              <w:bottom w:val="single" w:sz="6" w:space="0" w:color="00467E"/>
              <w:right w:val="nil"/>
            </w:tcBorders>
            <w:shd w:val="clear" w:color="CFD4D8" w:fill="CFD4D8"/>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(20 bps)</w:t>
            </w:r>
          </w:p>
        </w:tc>
        <w:tc>
          <w:tcPr>
            <w:tcW w:w="292" w:type="dxa"/>
            <w:tcBorders>
              <w:top w:val="nil"/>
              <w:left w:val="nil"/>
              <w:bottom w:val="single" w:sz="6" w:space="0" w:color="00467E"/>
              <w:right w:val="single" w:sz="6" w:space="0" w:color="00467E"/>
            </w:tcBorders>
            <w:shd w:val="clear" w:color="CFD4D8" w:fill="CFD4D8"/>
            <w:vAlign w:val="bottom"/>
          </w:tcPr>
          <w:p w:rsidR="0073298C" w:rsidRDefault="0073298C" w:rsidP="0073298C">
            <w:pPr>
              <w:spacing w:before="22" w:after="22"/>
              <w:ind w:left="22"/>
              <w:jc w:val="right"/>
              <w:rPr>
                <w:rFonts w:ascii="Arial" w:hAnsi="Arial" w:cs="Arial"/>
                <w:color w:val="000000"/>
                <w:sz w:val="18"/>
                <w:szCs w:val="18"/>
              </w:rPr>
            </w:pPr>
          </w:p>
          <w:p w:rsidR="0073298C" w:rsidRDefault="0073298C" w:rsidP="0073298C">
            <w:pPr>
              <w:rPr>
                <w:sz w:val="16"/>
                <w:szCs w:val="16"/>
              </w:rPr>
            </w:pPr>
            <w:r>
              <w:rPr>
                <w:sz w:val="16"/>
                <w:szCs w:val="16"/>
              </w:rPr>
              <w:t> </w:t>
            </w:r>
          </w:p>
        </w:tc>
      </w:tr>
    </w:tbl>
    <w:p w:rsidR="0073298C" w:rsidRDefault="0073298C" w:rsidP="0073298C">
      <w:pPr>
        <w:spacing w:after="132"/>
        <w:jc w:val="both"/>
        <w:rPr>
          <w:rFonts w:ascii="Arial" w:hAnsi="Arial" w:cs="Arial"/>
          <w:color w:val="000000"/>
          <w:sz w:val="18"/>
          <w:szCs w:val="18"/>
        </w:rPr>
      </w:pPr>
      <w:r>
        <w:rPr>
          <w:rFonts w:ascii="Arial" w:hAnsi="Arial" w:cs="Arial"/>
          <w:color w:val="000000"/>
          <w:sz w:val="18"/>
          <w:szCs w:val="18"/>
        </w:rPr>
        <w:t>Operations and maintenance expense consists of direct operating expenses, equipment maintenance, and tire expense.  Operations and maintenance expenses are affected by the age of our company-owned fleet of tractors and trailers. We expect the driver market to remain competitive throughout 2018, which could increase future driving associate development and recruiting costs and negatively affect our operations and maintenance expense. We expect to begin refreshing our Knight and Swift tractor fleets in the coming quarters, and anticipate that maintenance costs will gradually decrease as we reduce the average age of our fleet.</w:t>
      </w:r>
    </w:p>
    <w:p w:rsidR="0073298C" w:rsidRDefault="0073298C" w:rsidP="0073298C">
      <w:pPr>
        <w:spacing w:after="132"/>
        <w:jc w:val="both"/>
        <w:rPr>
          <w:rFonts w:ascii="Arial" w:hAnsi="Arial" w:cs="Arial"/>
          <w:color w:val="000000"/>
          <w:sz w:val="18"/>
          <w:szCs w:val="18"/>
        </w:rPr>
      </w:pPr>
      <w:r>
        <w:rPr>
          <w:rFonts w:ascii="Arial" w:hAnsi="Arial" w:cs="Arial"/>
          <w:i/>
          <w:iCs/>
          <w:color w:val="000000"/>
          <w:sz w:val="18"/>
          <w:szCs w:val="18"/>
        </w:rPr>
        <w:t>2017 Compared to 2016 —</w:t>
      </w:r>
      <w:r>
        <w:rPr>
          <w:rFonts w:ascii="Arial" w:hAnsi="Arial" w:cs="Arial"/>
          <w:color w:val="000000"/>
          <w:sz w:val="18"/>
          <w:szCs w:val="18"/>
        </w:rPr>
        <w:t xml:space="preserve"> The $88.1 million increase in operations and maintenance expense includes $81.6 million of expense from Swift's results for the September 9, 2017 through December 31, 2017 period. Increasing maintenance expense is negatively impacting performance in our Swift Truckload, Swift Dedicated, and Swift Refrigerated segments. Knight's operations and maintenance expense increased $6.5 million from 2016 to 2017. With rising equipment prices and a soft used equipment market, Knight extended its tractor trade cycle beginning in the third quarter of 2016. Accordingly, equipment maintenance expense increased from 2016 to 2017 as Knight has been maintaining its tractors for comparatively longer periods. As a percentage of revenue before fuel surcharge, consolidated operations and maintenance expense was relatively consistent. Direct operating expenses, including operating supplies and driving associate development and recruiting costs also increased from 2016 to 2017.</w:t>
      </w:r>
    </w:p>
    <w:p w:rsidR="0073298C" w:rsidRDefault="0073298C" w:rsidP="0073298C">
      <w:pPr>
        <w:spacing w:after="264"/>
        <w:jc w:val="both"/>
        <w:rPr>
          <w:rFonts w:ascii="Arial" w:hAnsi="Arial" w:cs="Arial"/>
          <w:color w:val="000000"/>
          <w:sz w:val="18"/>
          <w:szCs w:val="18"/>
        </w:rPr>
      </w:pPr>
      <w:r>
        <w:rPr>
          <w:rFonts w:ascii="Arial" w:hAnsi="Arial" w:cs="Arial"/>
          <w:i/>
          <w:iCs/>
          <w:color w:val="000000"/>
          <w:sz w:val="18"/>
          <w:szCs w:val="18"/>
        </w:rPr>
        <w:t>2016 Compared to 2015 —</w:t>
      </w:r>
      <w:r>
        <w:rPr>
          <w:rFonts w:ascii="Arial" w:hAnsi="Arial" w:cs="Arial"/>
          <w:color w:val="000000"/>
          <w:sz w:val="18"/>
          <w:szCs w:val="18"/>
        </w:rPr>
        <w:t xml:space="preserve"> Operations and maintenance expense, as a percentage of total revenue, remained flat at 6.8% in 2016 and 2015. Operations and maintenance expense as a percentage of revenue before fuel surcharge, decreased to 7.4% in 2016 from 7.6% in 2015, due to improved cost control measures at Knight. Direct operating expenses decreased as a percentage of total revenue before fuel surcharge in 2016 due to lower operating supply costs and drayage related operating costs.</w:t>
      </w:r>
    </w:p>
    <w:tbl>
      <w:tblPr>
        <w:tblW w:w="0" w:type="auto"/>
        <w:tblLayout w:type="fixed"/>
        <w:tblCellMar>
          <w:left w:w="0" w:type="dxa"/>
          <w:right w:w="0" w:type="dxa"/>
        </w:tblCellMar>
        <w:tblLook w:val="0000"/>
      </w:tblPr>
      <w:tblGrid>
        <w:gridCol w:w="3148"/>
        <w:gridCol w:w="120"/>
        <w:gridCol w:w="1209"/>
        <w:gridCol w:w="180"/>
        <w:gridCol w:w="103"/>
        <w:gridCol w:w="120"/>
        <w:gridCol w:w="1209"/>
        <w:gridCol w:w="180"/>
        <w:gridCol w:w="103"/>
        <w:gridCol w:w="120"/>
        <w:gridCol w:w="1209"/>
        <w:gridCol w:w="181"/>
        <w:gridCol w:w="103"/>
        <w:gridCol w:w="1006"/>
        <w:gridCol w:w="361"/>
        <w:gridCol w:w="103"/>
        <w:gridCol w:w="982"/>
        <w:gridCol w:w="365"/>
      </w:tblGrid>
      <w:tr w:rsidR="0073298C" w:rsidTr="0073298C">
        <w:tblPrEx>
          <w:tblCellMar>
            <w:top w:w="0" w:type="dxa"/>
            <w:left w:w="0" w:type="dxa"/>
            <w:bottom w:w="0" w:type="dxa"/>
            <w:right w:w="0" w:type="dxa"/>
          </w:tblCellMar>
        </w:tblPrEx>
        <w:trPr>
          <w:trHeight w:val="66"/>
        </w:trPr>
        <w:tc>
          <w:tcPr>
            <w:tcW w:w="10800" w:type="dxa"/>
            <w:gridSpan w:val="18"/>
            <w:tcBorders>
              <w:top w:val="nil"/>
              <w:left w:val="nil"/>
              <w:bottom w:val="nil"/>
              <w:right w:val="nil"/>
            </w:tcBorders>
            <w:vAlign w:val="center"/>
          </w:tcPr>
          <w:p w:rsidR="0073298C" w:rsidRDefault="0073298C" w:rsidP="0073298C">
            <w:pPr>
              <w:rPr>
                <w:sz w:val="16"/>
                <w:szCs w:val="16"/>
              </w:rPr>
            </w:pPr>
            <w:r>
              <w:rPr>
                <w:sz w:val="16"/>
                <w:szCs w:val="16"/>
              </w:rPr>
              <w:t> </w:t>
            </w:r>
          </w:p>
        </w:tc>
      </w:tr>
      <w:tr w:rsidR="0073298C" w:rsidTr="0073298C">
        <w:tblPrEx>
          <w:tblCellMar>
            <w:top w:w="0" w:type="dxa"/>
            <w:left w:w="0" w:type="dxa"/>
            <w:bottom w:w="0" w:type="dxa"/>
            <w:right w:w="0" w:type="dxa"/>
          </w:tblCellMar>
        </w:tblPrEx>
        <w:trPr>
          <w:trHeight w:val="66"/>
        </w:trPr>
        <w:tc>
          <w:tcPr>
            <w:tcW w:w="3148" w:type="dxa"/>
            <w:tcBorders>
              <w:top w:val="nil"/>
              <w:left w:val="nil"/>
              <w:bottom w:val="nil"/>
              <w:right w:val="nil"/>
            </w:tcBorders>
            <w:vAlign w:val="center"/>
          </w:tcPr>
          <w:p w:rsidR="0073298C" w:rsidRDefault="0073298C" w:rsidP="0073298C">
            <w:pPr>
              <w:rPr>
                <w:sz w:val="16"/>
                <w:szCs w:val="16"/>
              </w:rPr>
            </w:pPr>
            <w:r>
              <w:rPr>
                <w:sz w:val="16"/>
                <w:szCs w:val="16"/>
              </w:rPr>
              <w:t> </w:t>
            </w:r>
          </w:p>
        </w:tc>
        <w:tc>
          <w:tcPr>
            <w:tcW w:w="120" w:type="dxa"/>
            <w:tcBorders>
              <w:top w:val="nil"/>
              <w:left w:val="nil"/>
              <w:bottom w:val="nil"/>
              <w:right w:val="nil"/>
            </w:tcBorders>
            <w:vAlign w:val="center"/>
          </w:tcPr>
          <w:p w:rsidR="0073298C" w:rsidRDefault="0073298C" w:rsidP="0073298C">
            <w:pPr>
              <w:rPr>
                <w:sz w:val="16"/>
                <w:szCs w:val="16"/>
              </w:rPr>
            </w:pPr>
            <w:r>
              <w:rPr>
                <w:sz w:val="16"/>
                <w:szCs w:val="16"/>
              </w:rPr>
              <w:t> </w:t>
            </w:r>
          </w:p>
        </w:tc>
        <w:tc>
          <w:tcPr>
            <w:tcW w:w="1209" w:type="dxa"/>
            <w:tcBorders>
              <w:top w:val="nil"/>
              <w:left w:val="nil"/>
              <w:bottom w:val="nil"/>
              <w:right w:val="nil"/>
            </w:tcBorders>
            <w:vAlign w:val="center"/>
          </w:tcPr>
          <w:p w:rsidR="0073298C" w:rsidRDefault="0073298C" w:rsidP="0073298C">
            <w:pPr>
              <w:rPr>
                <w:sz w:val="16"/>
                <w:szCs w:val="16"/>
              </w:rPr>
            </w:pPr>
            <w:r>
              <w:rPr>
                <w:sz w:val="16"/>
                <w:szCs w:val="16"/>
              </w:rPr>
              <w:t> </w:t>
            </w:r>
          </w:p>
        </w:tc>
        <w:tc>
          <w:tcPr>
            <w:tcW w:w="180" w:type="dxa"/>
            <w:tcBorders>
              <w:top w:val="nil"/>
              <w:left w:val="nil"/>
              <w:bottom w:val="nil"/>
              <w:right w:val="nil"/>
            </w:tcBorders>
            <w:vAlign w:val="center"/>
          </w:tcPr>
          <w:p w:rsidR="0073298C" w:rsidRDefault="0073298C" w:rsidP="0073298C">
            <w:pPr>
              <w:rPr>
                <w:sz w:val="16"/>
                <w:szCs w:val="16"/>
              </w:rPr>
            </w:pPr>
            <w:r>
              <w:rPr>
                <w:sz w:val="16"/>
                <w:szCs w:val="16"/>
              </w:rPr>
              <w:t> </w:t>
            </w:r>
          </w:p>
        </w:tc>
        <w:tc>
          <w:tcPr>
            <w:tcW w:w="103" w:type="dxa"/>
            <w:tcBorders>
              <w:top w:val="nil"/>
              <w:left w:val="nil"/>
              <w:bottom w:val="nil"/>
              <w:right w:val="nil"/>
            </w:tcBorders>
            <w:vAlign w:val="center"/>
          </w:tcPr>
          <w:p w:rsidR="0073298C" w:rsidRDefault="0073298C" w:rsidP="0073298C">
            <w:pPr>
              <w:rPr>
                <w:sz w:val="16"/>
                <w:szCs w:val="16"/>
              </w:rPr>
            </w:pPr>
            <w:r>
              <w:rPr>
                <w:sz w:val="16"/>
                <w:szCs w:val="16"/>
              </w:rPr>
              <w:t> </w:t>
            </w:r>
          </w:p>
        </w:tc>
        <w:tc>
          <w:tcPr>
            <w:tcW w:w="120" w:type="dxa"/>
            <w:tcBorders>
              <w:top w:val="nil"/>
              <w:left w:val="nil"/>
              <w:bottom w:val="nil"/>
              <w:right w:val="nil"/>
            </w:tcBorders>
            <w:vAlign w:val="center"/>
          </w:tcPr>
          <w:p w:rsidR="0073298C" w:rsidRDefault="0073298C" w:rsidP="0073298C">
            <w:pPr>
              <w:rPr>
                <w:sz w:val="16"/>
                <w:szCs w:val="16"/>
              </w:rPr>
            </w:pPr>
            <w:r>
              <w:rPr>
                <w:sz w:val="16"/>
                <w:szCs w:val="16"/>
              </w:rPr>
              <w:t> </w:t>
            </w:r>
          </w:p>
        </w:tc>
        <w:tc>
          <w:tcPr>
            <w:tcW w:w="1209" w:type="dxa"/>
            <w:tcBorders>
              <w:top w:val="nil"/>
              <w:left w:val="nil"/>
              <w:bottom w:val="nil"/>
              <w:right w:val="nil"/>
            </w:tcBorders>
            <w:vAlign w:val="center"/>
          </w:tcPr>
          <w:p w:rsidR="0073298C" w:rsidRDefault="0073298C" w:rsidP="0073298C">
            <w:pPr>
              <w:rPr>
                <w:sz w:val="16"/>
                <w:szCs w:val="16"/>
              </w:rPr>
            </w:pPr>
            <w:r>
              <w:rPr>
                <w:sz w:val="16"/>
                <w:szCs w:val="16"/>
              </w:rPr>
              <w:t> </w:t>
            </w:r>
          </w:p>
        </w:tc>
        <w:tc>
          <w:tcPr>
            <w:tcW w:w="180" w:type="dxa"/>
            <w:tcBorders>
              <w:top w:val="nil"/>
              <w:left w:val="nil"/>
              <w:bottom w:val="nil"/>
              <w:right w:val="nil"/>
            </w:tcBorders>
            <w:vAlign w:val="center"/>
          </w:tcPr>
          <w:p w:rsidR="0073298C" w:rsidRDefault="0073298C" w:rsidP="0073298C">
            <w:pPr>
              <w:rPr>
                <w:sz w:val="16"/>
                <w:szCs w:val="16"/>
              </w:rPr>
            </w:pPr>
            <w:r>
              <w:rPr>
                <w:sz w:val="16"/>
                <w:szCs w:val="16"/>
              </w:rPr>
              <w:t> </w:t>
            </w:r>
          </w:p>
        </w:tc>
        <w:tc>
          <w:tcPr>
            <w:tcW w:w="103" w:type="dxa"/>
            <w:tcBorders>
              <w:top w:val="nil"/>
              <w:left w:val="nil"/>
              <w:bottom w:val="nil"/>
              <w:right w:val="nil"/>
            </w:tcBorders>
            <w:vAlign w:val="center"/>
          </w:tcPr>
          <w:p w:rsidR="0073298C" w:rsidRDefault="0073298C" w:rsidP="0073298C">
            <w:pPr>
              <w:rPr>
                <w:sz w:val="16"/>
                <w:szCs w:val="16"/>
              </w:rPr>
            </w:pPr>
            <w:r>
              <w:rPr>
                <w:sz w:val="16"/>
                <w:szCs w:val="16"/>
              </w:rPr>
              <w:t> </w:t>
            </w:r>
          </w:p>
        </w:tc>
        <w:tc>
          <w:tcPr>
            <w:tcW w:w="120" w:type="dxa"/>
            <w:tcBorders>
              <w:top w:val="nil"/>
              <w:left w:val="nil"/>
              <w:bottom w:val="nil"/>
              <w:right w:val="nil"/>
            </w:tcBorders>
            <w:vAlign w:val="center"/>
          </w:tcPr>
          <w:p w:rsidR="0073298C" w:rsidRDefault="0073298C" w:rsidP="0073298C">
            <w:pPr>
              <w:rPr>
                <w:sz w:val="16"/>
                <w:szCs w:val="16"/>
              </w:rPr>
            </w:pPr>
            <w:r>
              <w:rPr>
                <w:sz w:val="16"/>
                <w:szCs w:val="16"/>
              </w:rPr>
              <w:t> </w:t>
            </w:r>
          </w:p>
        </w:tc>
        <w:tc>
          <w:tcPr>
            <w:tcW w:w="1209" w:type="dxa"/>
            <w:tcBorders>
              <w:top w:val="nil"/>
              <w:left w:val="nil"/>
              <w:bottom w:val="nil"/>
              <w:right w:val="nil"/>
            </w:tcBorders>
            <w:vAlign w:val="center"/>
          </w:tcPr>
          <w:p w:rsidR="0073298C" w:rsidRDefault="0073298C" w:rsidP="0073298C">
            <w:pPr>
              <w:rPr>
                <w:sz w:val="16"/>
                <w:szCs w:val="16"/>
              </w:rPr>
            </w:pPr>
            <w:r>
              <w:rPr>
                <w:sz w:val="16"/>
                <w:szCs w:val="16"/>
              </w:rPr>
              <w:t> </w:t>
            </w:r>
          </w:p>
        </w:tc>
        <w:tc>
          <w:tcPr>
            <w:tcW w:w="180" w:type="dxa"/>
            <w:tcBorders>
              <w:top w:val="nil"/>
              <w:left w:val="nil"/>
              <w:bottom w:val="nil"/>
              <w:right w:val="nil"/>
            </w:tcBorders>
            <w:vAlign w:val="center"/>
          </w:tcPr>
          <w:p w:rsidR="0073298C" w:rsidRDefault="0073298C" w:rsidP="0073298C">
            <w:pPr>
              <w:rPr>
                <w:sz w:val="16"/>
                <w:szCs w:val="16"/>
              </w:rPr>
            </w:pPr>
            <w:r>
              <w:rPr>
                <w:sz w:val="16"/>
                <w:szCs w:val="16"/>
              </w:rPr>
              <w:t> </w:t>
            </w:r>
          </w:p>
        </w:tc>
        <w:tc>
          <w:tcPr>
            <w:tcW w:w="103" w:type="dxa"/>
            <w:tcBorders>
              <w:top w:val="nil"/>
              <w:left w:val="nil"/>
              <w:bottom w:val="nil"/>
              <w:right w:val="nil"/>
            </w:tcBorders>
            <w:vAlign w:val="center"/>
          </w:tcPr>
          <w:p w:rsidR="0073298C" w:rsidRDefault="0073298C" w:rsidP="0073298C">
            <w:pPr>
              <w:rPr>
                <w:sz w:val="16"/>
                <w:szCs w:val="16"/>
              </w:rPr>
            </w:pPr>
            <w:r>
              <w:rPr>
                <w:sz w:val="16"/>
                <w:szCs w:val="16"/>
              </w:rPr>
              <w:t> </w:t>
            </w:r>
          </w:p>
        </w:tc>
        <w:tc>
          <w:tcPr>
            <w:tcW w:w="1006" w:type="dxa"/>
            <w:tcBorders>
              <w:top w:val="nil"/>
              <w:left w:val="nil"/>
              <w:bottom w:val="nil"/>
              <w:right w:val="nil"/>
            </w:tcBorders>
            <w:vAlign w:val="center"/>
          </w:tcPr>
          <w:p w:rsidR="0073298C" w:rsidRDefault="0073298C" w:rsidP="0073298C">
            <w:pPr>
              <w:rPr>
                <w:sz w:val="16"/>
                <w:szCs w:val="16"/>
              </w:rPr>
            </w:pPr>
            <w:r>
              <w:rPr>
                <w:sz w:val="16"/>
                <w:szCs w:val="16"/>
              </w:rPr>
              <w:t> </w:t>
            </w:r>
          </w:p>
        </w:tc>
        <w:tc>
          <w:tcPr>
            <w:tcW w:w="360" w:type="dxa"/>
            <w:tcBorders>
              <w:top w:val="nil"/>
              <w:left w:val="nil"/>
              <w:bottom w:val="nil"/>
              <w:right w:val="nil"/>
            </w:tcBorders>
            <w:vAlign w:val="center"/>
          </w:tcPr>
          <w:p w:rsidR="0073298C" w:rsidRDefault="0073298C" w:rsidP="0073298C">
            <w:pPr>
              <w:rPr>
                <w:sz w:val="16"/>
                <w:szCs w:val="16"/>
              </w:rPr>
            </w:pPr>
            <w:r>
              <w:rPr>
                <w:sz w:val="16"/>
                <w:szCs w:val="16"/>
              </w:rPr>
              <w:t> </w:t>
            </w:r>
          </w:p>
        </w:tc>
        <w:tc>
          <w:tcPr>
            <w:tcW w:w="103" w:type="dxa"/>
            <w:tcBorders>
              <w:top w:val="nil"/>
              <w:left w:val="nil"/>
              <w:bottom w:val="nil"/>
              <w:right w:val="nil"/>
            </w:tcBorders>
            <w:vAlign w:val="center"/>
          </w:tcPr>
          <w:p w:rsidR="0073298C" w:rsidRDefault="0073298C" w:rsidP="0073298C">
            <w:pPr>
              <w:rPr>
                <w:sz w:val="16"/>
                <w:szCs w:val="16"/>
              </w:rPr>
            </w:pPr>
            <w:r>
              <w:rPr>
                <w:sz w:val="16"/>
                <w:szCs w:val="16"/>
              </w:rPr>
              <w:t> </w:t>
            </w:r>
          </w:p>
        </w:tc>
        <w:tc>
          <w:tcPr>
            <w:tcW w:w="982" w:type="dxa"/>
            <w:tcBorders>
              <w:top w:val="nil"/>
              <w:left w:val="nil"/>
              <w:bottom w:val="nil"/>
              <w:right w:val="nil"/>
            </w:tcBorders>
            <w:vAlign w:val="center"/>
          </w:tcPr>
          <w:p w:rsidR="0073298C" w:rsidRDefault="0073298C" w:rsidP="0073298C">
            <w:pPr>
              <w:rPr>
                <w:sz w:val="16"/>
                <w:szCs w:val="16"/>
              </w:rPr>
            </w:pPr>
            <w:r>
              <w:rPr>
                <w:sz w:val="16"/>
                <w:szCs w:val="16"/>
              </w:rPr>
              <w:t> </w:t>
            </w:r>
          </w:p>
        </w:tc>
        <w:tc>
          <w:tcPr>
            <w:tcW w:w="365" w:type="dxa"/>
            <w:tcBorders>
              <w:top w:val="nil"/>
              <w:left w:val="nil"/>
              <w:bottom w:val="nil"/>
              <w:right w:val="nil"/>
            </w:tcBorders>
            <w:vAlign w:val="center"/>
          </w:tcPr>
          <w:p w:rsidR="0073298C" w:rsidRDefault="0073298C" w:rsidP="0073298C">
            <w:pPr>
              <w:rPr>
                <w:sz w:val="16"/>
                <w:szCs w:val="16"/>
              </w:rPr>
            </w:pPr>
            <w:r>
              <w:rPr>
                <w:sz w:val="16"/>
                <w:szCs w:val="16"/>
              </w:rPr>
              <w:t> </w:t>
            </w:r>
          </w:p>
        </w:tc>
      </w:tr>
      <w:tr w:rsidR="0073298C" w:rsidTr="0073298C">
        <w:tblPrEx>
          <w:tblCellMar>
            <w:top w:w="0" w:type="dxa"/>
            <w:left w:w="0" w:type="dxa"/>
            <w:bottom w:w="0" w:type="dxa"/>
            <w:right w:w="0" w:type="dxa"/>
          </w:tblCellMar>
        </w:tblPrEx>
        <w:trPr>
          <w:trHeight w:val="298"/>
        </w:trPr>
        <w:tc>
          <w:tcPr>
            <w:tcW w:w="3148" w:type="dxa"/>
            <w:tcBorders>
              <w:top w:val="single" w:sz="6" w:space="0" w:color="00467E"/>
              <w:left w:val="single" w:sz="6" w:space="0" w:color="00467E"/>
              <w:bottom w:val="nil"/>
              <w:right w:val="nil"/>
            </w:tcBorders>
            <w:vAlign w:val="center"/>
          </w:tcPr>
          <w:p w:rsidR="0073298C" w:rsidRDefault="0073298C" w:rsidP="0073298C">
            <w:pPr>
              <w:spacing w:before="22" w:after="22"/>
              <w:ind w:left="22" w:right="22"/>
              <w:rPr>
                <w:rFonts w:ascii="Arial" w:hAnsi="Arial" w:cs="Arial"/>
                <w:b/>
                <w:bCs w:val="0"/>
                <w:color w:val="000000"/>
                <w:sz w:val="16"/>
                <w:szCs w:val="16"/>
              </w:rPr>
            </w:pPr>
            <w:r>
              <w:rPr>
                <w:rFonts w:ascii="Arial" w:hAnsi="Arial" w:cs="Arial"/>
                <w:b/>
                <w:bCs w:val="0"/>
                <w:color w:val="000000"/>
                <w:sz w:val="16"/>
                <w:szCs w:val="16"/>
              </w:rPr>
              <w:t> </w:t>
            </w:r>
          </w:p>
        </w:tc>
        <w:tc>
          <w:tcPr>
            <w:tcW w:w="1509" w:type="dxa"/>
            <w:gridSpan w:val="3"/>
            <w:tcBorders>
              <w:top w:val="single" w:sz="6" w:space="0" w:color="00467E"/>
              <w:left w:val="nil"/>
              <w:bottom w:val="single" w:sz="6" w:space="0" w:color="000000"/>
              <w:right w:val="nil"/>
            </w:tcBorders>
            <w:vAlign w:val="center"/>
          </w:tcPr>
          <w:p w:rsidR="0073298C" w:rsidRDefault="0073298C" w:rsidP="0073298C">
            <w:pPr>
              <w:spacing w:before="22" w:after="22"/>
              <w:ind w:left="22" w:right="22"/>
              <w:jc w:val="center"/>
              <w:rPr>
                <w:rFonts w:ascii="Arial" w:hAnsi="Arial" w:cs="Arial"/>
                <w:b/>
                <w:bCs w:val="0"/>
                <w:color w:val="000000"/>
                <w:sz w:val="14"/>
                <w:szCs w:val="14"/>
              </w:rPr>
            </w:pPr>
            <w:r>
              <w:rPr>
                <w:rFonts w:ascii="Arial" w:hAnsi="Arial" w:cs="Arial"/>
                <w:b/>
                <w:bCs w:val="0"/>
                <w:color w:val="000000"/>
                <w:sz w:val="14"/>
                <w:szCs w:val="14"/>
              </w:rPr>
              <w:t>2017</w:t>
            </w:r>
          </w:p>
        </w:tc>
        <w:tc>
          <w:tcPr>
            <w:tcW w:w="103" w:type="dxa"/>
            <w:tcBorders>
              <w:top w:val="single" w:sz="6" w:space="0" w:color="00467E"/>
              <w:left w:val="nil"/>
              <w:bottom w:val="nil"/>
              <w:right w:val="nil"/>
            </w:tcBorders>
            <w:vAlign w:val="bottom"/>
          </w:tcPr>
          <w:p w:rsidR="0073298C" w:rsidRDefault="0073298C" w:rsidP="0073298C">
            <w:pPr>
              <w:spacing w:before="22" w:after="22"/>
              <w:ind w:left="22" w:right="22"/>
              <w:rPr>
                <w:color w:val="000000"/>
              </w:rPr>
            </w:pPr>
            <w:r>
              <w:rPr>
                <w:color w:val="000000"/>
              </w:rPr>
              <w:t> </w:t>
            </w:r>
          </w:p>
        </w:tc>
        <w:tc>
          <w:tcPr>
            <w:tcW w:w="1509" w:type="dxa"/>
            <w:gridSpan w:val="3"/>
            <w:tcBorders>
              <w:top w:val="single" w:sz="6" w:space="0" w:color="00467E"/>
              <w:left w:val="nil"/>
              <w:bottom w:val="single" w:sz="6" w:space="0" w:color="000000"/>
              <w:right w:val="nil"/>
            </w:tcBorders>
            <w:vAlign w:val="center"/>
          </w:tcPr>
          <w:p w:rsidR="0073298C" w:rsidRDefault="0073298C" w:rsidP="0073298C">
            <w:pPr>
              <w:spacing w:before="22" w:after="22"/>
              <w:ind w:left="22" w:right="22"/>
              <w:jc w:val="center"/>
              <w:rPr>
                <w:rFonts w:ascii="Arial" w:hAnsi="Arial" w:cs="Arial"/>
                <w:b/>
                <w:bCs w:val="0"/>
                <w:color w:val="000000"/>
                <w:sz w:val="14"/>
                <w:szCs w:val="14"/>
              </w:rPr>
            </w:pPr>
            <w:r>
              <w:rPr>
                <w:rFonts w:ascii="Arial" w:hAnsi="Arial" w:cs="Arial"/>
                <w:b/>
                <w:bCs w:val="0"/>
                <w:color w:val="000000"/>
                <w:sz w:val="14"/>
                <w:szCs w:val="14"/>
              </w:rPr>
              <w:t>2016</w:t>
            </w:r>
          </w:p>
        </w:tc>
        <w:tc>
          <w:tcPr>
            <w:tcW w:w="103" w:type="dxa"/>
            <w:tcBorders>
              <w:top w:val="single" w:sz="6" w:space="0" w:color="00467E"/>
              <w:left w:val="nil"/>
              <w:bottom w:val="nil"/>
              <w:right w:val="nil"/>
            </w:tcBorders>
            <w:vAlign w:val="bottom"/>
          </w:tcPr>
          <w:p w:rsidR="0073298C" w:rsidRDefault="0073298C" w:rsidP="0073298C">
            <w:pPr>
              <w:spacing w:before="22" w:after="22"/>
              <w:ind w:left="22" w:right="22"/>
              <w:rPr>
                <w:color w:val="000000"/>
              </w:rPr>
            </w:pPr>
            <w:r>
              <w:rPr>
                <w:color w:val="000000"/>
              </w:rPr>
              <w:t> </w:t>
            </w:r>
          </w:p>
        </w:tc>
        <w:tc>
          <w:tcPr>
            <w:tcW w:w="1509" w:type="dxa"/>
            <w:gridSpan w:val="3"/>
            <w:tcBorders>
              <w:top w:val="single" w:sz="6" w:space="0" w:color="00467E"/>
              <w:left w:val="nil"/>
              <w:bottom w:val="single" w:sz="6" w:space="0" w:color="000000"/>
              <w:right w:val="nil"/>
            </w:tcBorders>
            <w:vAlign w:val="center"/>
          </w:tcPr>
          <w:p w:rsidR="0073298C" w:rsidRDefault="0073298C" w:rsidP="0073298C">
            <w:pPr>
              <w:spacing w:before="22" w:after="22"/>
              <w:ind w:left="22" w:right="22"/>
              <w:jc w:val="center"/>
              <w:rPr>
                <w:rFonts w:ascii="Arial" w:hAnsi="Arial" w:cs="Arial"/>
                <w:b/>
                <w:bCs w:val="0"/>
                <w:color w:val="000000"/>
                <w:sz w:val="14"/>
                <w:szCs w:val="14"/>
              </w:rPr>
            </w:pPr>
            <w:r>
              <w:rPr>
                <w:rFonts w:ascii="Arial" w:hAnsi="Arial" w:cs="Arial"/>
                <w:b/>
                <w:bCs w:val="0"/>
                <w:color w:val="000000"/>
                <w:sz w:val="14"/>
                <w:szCs w:val="14"/>
              </w:rPr>
              <w:t>2015</w:t>
            </w:r>
          </w:p>
        </w:tc>
        <w:tc>
          <w:tcPr>
            <w:tcW w:w="103" w:type="dxa"/>
            <w:tcBorders>
              <w:top w:val="single" w:sz="6" w:space="0" w:color="00467E"/>
              <w:left w:val="nil"/>
              <w:bottom w:val="nil"/>
              <w:right w:val="nil"/>
            </w:tcBorders>
            <w:shd w:val="clear" w:color="00467E" w:fill="00467E"/>
            <w:vAlign w:val="bottom"/>
          </w:tcPr>
          <w:p w:rsidR="0073298C" w:rsidRDefault="0073298C" w:rsidP="0073298C">
            <w:pPr>
              <w:spacing w:before="22" w:after="22"/>
              <w:ind w:left="22" w:right="22"/>
              <w:rPr>
                <w:color w:val="000000"/>
              </w:rPr>
            </w:pPr>
            <w:r>
              <w:rPr>
                <w:color w:val="000000"/>
              </w:rPr>
              <w:t> </w:t>
            </w:r>
          </w:p>
        </w:tc>
        <w:tc>
          <w:tcPr>
            <w:tcW w:w="1367" w:type="dxa"/>
            <w:gridSpan w:val="2"/>
            <w:tcBorders>
              <w:top w:val="single" w:sz="6" w:space="0" w:color="00467E"/>
              <w:left w:val="nil"/>
              <w:bottom w:val="single" w:sz="6" w:space="0" w:color="000000"/>
              <w:right w:val="nil"/>
            </w:tcBorders>
            <w:vAlign w:val="center"/>
          </w:tcPr>
          <w:p w:rsidR="0073298C" w:rsidRDefault="0073298C" w:rsidP="0073298C">
            <w:pPr>
              <w:spacing w:before="22" w:after="22"/>
              <w:ind w:left="22" w:right="22"/>
              <w:jc w:val="center"/>
              <w:rPr>
                <w:rFonts w:ascii="Arial" w:hAnsi="Arial" w:cs="Arial"/>
                <w:b/>
                <w:bCs w:val="0"/>
                <w:color w:val="000000"/>
                <w:sz w:val="14"/>
                <w:szCs w:val="14"/>
              </w:rPr>
            </w:pPr>
            <w:r>
              <w:rPr>
                <w:rFonts w:ascii="Arial" w:hAnsi="Arial" w:cs="Arial"/>
                <w:b/>
                <w:bCs w:val="0"/>
                <w:color w:val="000000"/>
                <w:sz w:val="14"/>
                <w:szCs w:val="14"/>
              </w:rPr>
              <w:t>2017 vs. 2016</w:t>
            </w:r>
          </w:p>
        </w:tc>
        <w:tc>
          <w:tcPr>
            <w:tcW w:w="103" w:type="dxa"/>
            <w:tcBorders>
              <w:top w:val="single" w:sz="6" w:space="0" w:color="00467E"/>
              <w:left w:val="nil"/>
              <w:bottom w:val="nil"/>
              <w:right w:val="nil"/>
            </w:tcBorders>
            <w:vAlign w:val="bottom"/>
          </w:tcPr>
          <w:p w:rsidR="0073298C" w:rsidRDefault="0073298C" w:rsidP="0073298C">
            <w:pPr>
              <w:spacing w:before="22" w:after="22"/>
              <w:ind w:left="22" w:right="22"/>
              <w:rPr>
                <w:color w:val="000000"/>
              </w:rPr>
            </w:pPr>
            <w:r>
              <w:rPr>
                <w:color w:val="000000"/>
              </w:rPr>
              <w:t> </w:t>
            </w:r>
          </w:p>
        </w:tc>
        <w:tc>
          <w:tcPr>
            <w:tcW w:w="1343" w:type="dxa"/>
            <w:gridSpan w:val="2"/>
            <w:tcBorders>
              <w:top w:val="single" w:sz="6" w:space="0" w:color="00467E"/>
              <w:left w:val="nil"/>
              <w:bottom w:val="single" w:sz="6" w:space="0" w:color="000000"/>
              <w:right w:val="single" w:sz="6" w:space="0" w:color="00467E"/>
            </w:tcBorders>
            <w:vAlign w:val="center"/>
          </w:tcPr>
          <w:p w:rsidR="0073298C" w:rsidRDefault="0073298C" w:rsidP="0073298C">
            <w:pPr>
              <w:spacing w:before="22" w:after="22"/>
              <w:ind w:left="22" w:right="22"/>
              <w:jc w:val="center"/>
              <w:rPr>
                <w:rFonts w:ascii="Arial" w:hAnsi="Arial" w:cs="Arial"/>
                <w:b/>
                <w:bCs w:val="0"/>
                <w:color w:val="000000"/>
                <w:sz w:val="14"/>
                <w:szCs w:val="14"/>
              </w:rPr>
            </w:pPr>
            <w:r>
              <w:rPr>
                <w:rFonts w:ascii="Arial" w:hAnsi="Arial" w:cs="Arial"/>
                <w:b/>
                <w:bCs w:val="0"/>
                <w:color w:val="000000"/>
                <w:sz w:val="14"/>
                <w:szCs w:val="14"/>
              </w:rPr>
              <w:t>2016 vs. 2015</w:t>
            </w:r>
          </w:p>
        </w:tc>
      </w:tr>
      <w:tr w:rsidR="0073298C" w:rsidTr="0073298C">
        <w:tblPrEx>
          <w:tblCellMar>
            <w:top w:w="0" w:type="dxa"/>
            <w:left w:w="0" w:type="dxa"/>
            <w:bottom w:w="0" w:type="dxa"/>
            <w:right w:w="0" w:type="dxa"/>
          </w:tblCellMar>
        </w:tblPrEx>
        <w:trPr>
          <w:trHeight w:val="298"/>
        </w:trPr>
        <w:tc>
          <w:tcPr>
            <w:tcW w:w="3148" w:type="dxa"/>
            <w:tcBorders>
              <w:top w:val="nil"/>
              <w:left w:val="single" w:sz="6" w:space="0" w:color="00467E"/>
              <w:bottom w:val="nil"/>
              <w:right w:val="nil"/>
            </w:tcBorders>
            <w:vAlign w:val="bottom"/>
          </w:tcPr>
          <w:p w:rsidR="0073298C" w:rsidRDefault="0073298C" w:rsidP="0073298C">
            <w:pPr>
              <w:spacing w:before="22" w:after="22"/>
              <w:ind w:left="22" w:right="22"/>
              <w:rPr>
                <w:color w:val="000000"/>
              </w:rPr>
            </w:pPr>
            <w:r>
              <w:rPr>
                <w:color w:val="000000"/>
              </w:rPr>
              <w:t> </w:t>
            </w:r>
          </w:p>
        </w:tc>
        <w:tc>
          <w:tcPr>
            <w:tcW w:w="4734" w:type="dxa"/>
            <w:gridSpan w:val="11"/>
            <w:tcBorders>
              <w:top w:val="nil"/>
              <w:left w:val="nil"/>
              <w:bottom w:val="single" w:sz="6" w:space="0" w:color="000000"/>
              <w:right w:val="nil"/>
            </w:tcBorders>
            <w:vAlign w:val="center"/>
          </w:tcPr>
          <w:p w:rsidR="0073298C" w:rsidRDefault="0073298C" w:rsidP="0073298C">
            <w:pPr>
              <w:spacing w:before="22" w:after="22"/>
              <w:ind w:left="22"/>
              <w:jc w:val="center"/>
              <w:rPr>
                <w:rFonts w:ascii="Arial" w:hAnsi="Arial" w:cs="Arial"/>
                <w:b/>
                <w:bCs w:val="0"/>
                <w:color w:val="000000"/>
                <w:sz w:val="14"/>
                <w:szCs w:val="14"/>
              </w:rPr>
            </w:pPr>
            <w:r>
              <w:rPr>
                <w:rFonts w:ascii="Arial" w:hAnsi="Arial" w:cs="Arial"/>
                <w:b/>
                <w:bCs w:val="0"/>
                <w:color w:val="000000"/>
                <w:sz w:val="14"/>
                <w:szCs w:val="14"/>
              </w:rPr>
              <w:t>(Dollars in thousands)</w:t>
            </w:r>
          </w:p>
        </w:tc>
        <w:tc>
          <w:tcPr>
            <w:tcW w:w="103" w:type="dxa"/>
            <w:tcBorders>
              <w:top w:val="single" w:sz="6" w:space="0" w:color="00467E"/>
              <w:left w:val="nil"/>
              <w:bottom w:val="nil"/>
              <w:right w:val="nil"/>
            </w:tcBorders>
            <w:shd w:val="clear" w:color="00467E" w:fill="00467E"/>
            <w:vAlign w:val="bottom"/>
          </w:tcPr>
          <w:p w:rsidR="0073298C" w:rsidRDefault="0073298C" w:rsidP="0073298C">
            <w:pPr>
              <w:spacing w:before="22" w:after="22"/>
              <w:ind w:left="22" w:right="22"/>
              <w:rPr>
                <w:color w:val="000000"/>
              </w:rPr>
            </w:pPr>
            <w:r>
              <w:rPr>
                <w:color w:val="000000"/>
              </w:rPr>
              <w:t> </w:t>
            </w:r>
          </w:p>
        </w:tc>
        <w:tc>
          <w:tcPr>
            <w:tcW w:w="2813" w:type="dxa"/>
            <w:gridSpan w:val="5"/>
            <w:tcBorders>
              <w:top w:val="nil"/>
              <w:left w:val="nil"/>
              <w:bottom w:val="single" w:sz="6" w:space="0" w:color="000000"/>
              <w:right w:val="single" w:sz="6" w:space="0" w:color="00467E"/>
            </w:tcBorders>
            <w:vAlign w:val="center"/>
          </w:tcPr>
          <w:p w:rsidR="0073298C" w:rsidRDefault="0073298C" w:rsidP="0073298C">
            <w:pPr>
              <w:spacing w:before="22" w:after="22"/>
              <w:ind w:left="22"/>
              <w:jc w:val="center"/>
              <w:rPr>
                <w:rFonts w:ascii="Arial" w:hAnsi="Arial" w:cs="Arial"/>
                <w:b/>
                <w:bCs w:val="0"/>
                <w:color w:val="000000"/>
                <w:sz w:val="14"/>
                <w:szCs w:val="14"/>
              </w:rPr>
            </w:pPr>
            <w:r>
              <w:rPr>
                <w:rFonts w:ascii="Arial" w:hAnsi="Arial" w:cs="Arial"/>
                <w:b/>
                <w:bCs w:val="0"/>
                <w:color w:val="000000"/>
                <w:sz w:val="14"/>
                <w:szCs w:val="14"/>
              </w:rPr>
              <w:t>Increase (decrease)</w:t>
            </w:r>
          </w:p>
        </w:tc>
      </w:tr>
      <w:tr w:rsidR="0073298C" w:rsidTr="0073298C">
        <w:tblPrEx>
          <w:tblCellMar>
            <w:top w:w="0" w:type="dxa"/>
            <w:left w:w="0" w:type="dxa"/>
            <w:bottom w:w="0" w:type="dxa"/>
            <w:right w:w="0" w:type="dxa"/>
          </w:tblCellMar>
        </w:tblPrEx>
        <w:trPr>
          <w:trHeight w:val="298"/>
        </w:trPr>
        <w:tc>
          <w:tcPr>
            <w:tcW w:w="3148" w:type="dxa"/>
            <w:tcBorders>
              <w:top w:val="nil"/>
              <w:left w:val="single" w:sz="6" w:space="0" w:color="00467E"/>
              <w:bottom w:val="nil"/>
              <w:right w:val="nil"/>
            </w:tcBorders>
            <w:shd w:val="clear" w:color="CFD4D8" w:fill="CFD4D8"/>
            <w:vAlign w:val="center"/>
          </w:tcPr>
          <w:p w:rsidR="0073298C" w:rsidRDefault="0073298C" w:rsidP="0073298C">
            <w:pPr>
              <w:spacing w:before="22" w:after="22"/>
              <w:ind w:left="22" w:right="22"/>
              <w:rPr>
                <w:rFonts w:ascii="Arial" w:hAnsi="Arial" w:cs="Arial"/>
                <w:b/>
                <w:bCs w:val="0"/>
                <w:i/>
                <w:iCs/>
                <w:color w:val="9D1B11"/>
                <w:sz w:val="18"/>
                <w:szCs w:val="18"/>
              </w:rPr>
            </w:pPr>
            <w:r>
              <w:rPr>
                <w:rFonts w:ascii="Arial" w:hAnsi="Arial" w:cs="Arial"/>
                <w:b/>
                <w:bCs w:val="0"/>
                <w:i/>
                <w:iCs/>
                <w:color w:val="9D1B11"/>
                <w:sz w:val="18"/>
                <w:szCs w:val="18"/>
              </w:rPr>
              <w:t>Insurance and claims</w:t>
            </w:r>
          </w:p>
        </w:tc>
        <w:tc>
          <w:tcPr>
            <w:tcW w:w="120" w:type="dxa"/>
            <w:tcBorders>
              <w:top w:val="nil"/>
              <w:left w:val="nil"/>
              <w:bottom w:val="nil"/>
              <w:right w:val="nil"/>
            </w:tcBorders>
            <w:shd w:val="clear" w:color="CFD4D8" w:fill="CFD4D8"/>
            <w:vAlign w:val="center"/>
          </w:tcPr>
          <w:p w:rsidR="0073298C" w:rsidRDefault="0073298C" w:rsidP="0073298C">
            <w:pPr>
              <w:spacing w:before="22" w:after="22"/>
              <w:ind w:left="22"/>
              <w:rPr>
                <w:rFonts w:ascii="Arial" w:hAnsi="Arial" w:cs="Arial"/>
                <w:color w:val="000000"/>
                <w:sz w:val="18"/>
                <w:szCs w:val="18"/>
              </w:rPr>
            </w:pPr>
            <w:r>
              <w:rPr>
                <w:rFonts w:ascii="Arial" w:hAnsi="Arial" w:cs="Arial"/>
                <w:color w:val="000000"/>
                <w:sz w:val="18"/>
                <w:szCs w:val="18"/>
              </w:rPr>
              <w:t>$</w:t>
            </w:r>
          </w:p>
        </w:tc>
        <w:tc>
          <w:tcPr>
            <w:tcW w:w="1209" w:type="dxa"/>
            <w:tcBorders>
              <w:top w:val="nil"/>
              <w:left w:val="nil"/>
              <w:bottom w:val="nil"/>
              <w:right w:val="nil"/>
            </w:tcBorders>
            <w:shd w:val="clear" w:color="CFD4D8" w:fill="CFD4D8"/>
            <w:vAlign w:val="center"/>
          </w:tcPr>
          <w:p w:rsidR="0073298C" w:rsidRDefault="0073298C" w:rsidP="0073298C">
            <w:pPr>
              <w:spacing w:before="22" w:after="22"/>
              <w:jc w:val="right"/>
              <w:rPr>
                <w:rFonts w:ascii="Arial" w:hAnsi="Arial" w:cs="Arial"/>
                <w:color w:val="000000"/>
                <w:sz w:val="18"/>
                <w:szCs w:val="18"/>
              </w:rPr>
            </w:pPr>
            <w:r>
              <w:rPr>
                <w:rFonts w:ascii="Arial" w:hAnsi="Arial" w:cs="Arial"/>
                <w:color w:val="000000"/>
                <w:sz w:val="18"/>
                <w:szCs w:val="18"/>
              </w:rPr>
              <w:t>95,199</w:t>
            </w:r>
          </w:p>
        </w:tc>
        <w:tc>
          <w:tcPr>
            <w:tcW w:w="180" w:type="dxa"/>
            <w:tcBorders>
              <w:top w:val="nil"/>
              <w:left w:val="nil"/>
              <w:bottom w:val="nil"/>
              <w:right w:val="nil"/>
            </w:tcBorders>
            <w:shd w:val="clear" w:color="CFD4D8" w:fill="CFD4D8"/>
            <w:vAlign w:val="bottom"/>
          </w:tcPr>
          <w:p w:rsidR="0073298C" w:rsidRDefault="0073298C" w:rsidP="0073298C">
            <w:pPr>
              <w:spacing w:before="22" w:after="22"/>
              <w:jc w:val="right"/>
              <w:rPr>
                <w:rFonts w:ascii="Arial" w:hAnsi="Arial" w:cs="Arial"/>
                <w:color w:val="000000"/>
                <w:sz w:val="18"/>
                <w:szCs w:val="18"/>
              </w:rPr>
            </w:pPr>
          </w:p>
          <w:p w:rsidR="0073298C" w:rsidRDefault="0073298C" w:rsidP="0073298C">
            <w:pPr>
              <w:rPr>
                <w:sz w:val="16"/>
                <w:szCs w:val="16"/>
              </w:rPr>
            </w:pPr>
            <w:r>
              <w:rPr>
                <w:sz w:val="16"/>
                <w:szCs w:val="16"/>
              </w:rPr>
              <w:t> </w:t>
            </w:r>
          </w:p>
        </w:tc>
        <w:tc>
          <w:tcPr>
            <w:tcW w:w="103" w:type="dxa"/>
            <w:tcBorders>
              <w:top w:val="nil"/>
              <w:left w:val="nil"/>
              <w:bottom w:val="nil"/>
              <w:right w:val="nil"/>
            </w:tcBorders>
            <w:shd w:val="clear" w:color="CFD4D8" w:fill="CFD4D8"/>
            <w:vAlign w:val="bottom"/>
          </w:tcPr>
          <w:p w:rsidR="0073298C" w:rsidRDefault="0073298C" w:rsidP="0073298C">
            <w:pPr>
              <w:spacing w:before="22" w:after="22"/>
              <w:ind w:left="22" w:right="22"/>
              <w:rPr>
                <w:color w:val="000000"/>
              </w:rPr>
            </w:pPr>
            <w:r>
              <w:rPr>
                <w:color w:val="000000"/>
              </w:rPr>
              <w:t> </w:t>
            </w:r>
          </w:p>
        </w:tc>
        <w:tc>
          <w:tcPr>
            <w:tcW w:w="120" w:type="dxa"/>
            <w:tcBorders>
              <w:top w:val="nil"/>
              <w:left w:val="nil"/>
              <w:bottom w:val="nil"/>
              <w:right w:val="nil"/>
            </w:tcBorders>
            <w:shd w:val="clear" w:color="CFD4D8" w:fill="CFD4D8"/>
            <w:vAlign w:val="center"/>
          </w:tcPr>
          <w:p w:rsidR="0073298C" w:rsidRDefault="0073298C" w:rsidP="0073298C">
            <w:pPr>
              <w:spacing w:before="22" w:after="22"/>
              <w:ind w:left="22"/>
              <w:rPr>
                <w:rFonts w:ascii="Arial" w:hAnsi="Arial" w:cs="Arial"/>
                <w:color w:val="000000"/>
                <w:sz w:val="18"/>
                <w:szCs w:val="18"/>
              </w:rPr>
            </w:pPr>
            <w:r>
              <w:rPr>
                <w:rFonts w:ascii="Arial" w:hAnsi="Arial" w:cs="Arial"/>
                <w:color w:val="000000"/>
                <w:sz w:val="18"/>
                <w:szCs w:val="18"/>
              </w:rPr>
              <w:t>$</w:t>
            </w:r>
          </w:p>
        </w:tc>
        <w:tc>
          <w:tcPr>
            <w:tcW w:w="1209" w:type="dxa"/>
            <w:tcBorders>
              <w:top w:val="nil"/>
              <w:left w:val="nil"/>
              <w:bottom w:val="nil"/>
              <w:right w:val="nil"/>
            </w:tcBorders>
            <w:shd w:val="clear" w:color="CFD4D8" w:fill="CFD4D8"/>
            <w:vAlign w:val="center"/>
          </w:tcPr>
          <w:p w:rsidR="0073298C" w:rsidRDefault="0073298C" w:rsidP="0073298C">
            <w:pPr>
              <w:spacing w:before="22" w:after="22"/>
              <w:jc w:val="right"/>
              <w:rPr>
                <w:rFonts w:ascii="Arial" w:hAnsi="Arial" w:cs="Arial"/>
                <w:color w:val="000000"/>
                <w:sz w:val="18"/>
                <w:szCs w:val="18"/>
              </w:rPr>
            </w:pPr>
            <w:r>
              <w:rPr>
                <w:rFonts w:ascii="Arial" w:hAnsi="Arial" w:cs="Arial"/>
                <w:color w:val="000000"/>
                <w:sz w:val="18"/>
                <w:szCs w:val="18"/>
              </w:rPr>
              <w:t>34,441</w:t>
            </w:r>
          </w:p>
        </w:tc>
        <w:tc>
          <w:tcPr>
            <w:tcW w:w="180" w:type="dxa"/>
            <w:tcBorders>
              <w:top w:val="nil"/>
              <w:left w:val="nil"/>
              <w:bottom w:val="nil"/>
              <w:right w:val="nil"/>
            </w:tcBorders>
            <w:shd w:val="clear" w:color="CFD4D8" w:fill="CFD4D8"/>
            <w:vAlign w:val="bottom"/>
          </w:tcPr>
          <w:p w:rsidR="0073298C" w:rsidRDefault="0073298C" w:rsidP="0073298C">
            <w:pPr>
              <w:spacing w:before="22" w:after="22"/>
              <w:jc w:val="right"/>
              <w:rPr>
                <w:rFonts w:ascii="Arial" w:hAnsi="Arial" w:cs="Arial"/>
                <w:color w:val="000000"/>
                <w:sz w:val="18"/>
                <w:szCs w:val="18"/>
              </w:rPr>
            </w:pPr>
          </w:p>
          <w:p w:rsidR="0073298C" w:rsidRDefault="0073298C" w:rsidP="0073298C">
            <w:pPr>
              <w:rPr>
                <w:sz w:val="16"/>
                <w:szCs w:val="16"/>
              </w:rPr>
            </w:pPr>
            <w:r>
              <w:rPr>
                <w:sz w:val="16"/>
                <w:szCs w:val="16"/>
              </w:rPr>
              <w:t> </w:t>
            </w:r>
          </w:p>
        </w:tc>
        <w:tc>
          <w:tcPr>
            <w:tcW w:w="103" w:type="dxa"/>
            <w:tcBorders>
              <w:top w:val="nil"/>
              <w:left w:val="nil"/>
              <w:bottom w:val="nil"/>
              <w:right w:val="nil"/>
            </w:tcBorders>
            <w:shd w:val="clear" w:color="CFD4D8" w:fill="CFD4D8"/>
            <w:vAlign w:val="bottom"/>
          </w:tcPr>
          <w:p w:rsidR="0073298C" w:rsidRDefault="0073298C" w:rsidP="0073298C">
            <w:pPr>
              <w:spacing w:before="22" w:after="22"/>
              <w:ind w:left="22" w:right="22"/>
              <w:rPr>
                <w:color w:val="000000"/>
              </w:rPr>
            </w:pPr>
            <w:r>
              <w:rPr>
                <w:color w:val="000000"/>
              </w:rPr>
              <w:t> </w:t>
            </w:r>
          </w:p>
        </w:tc>
        <w:tc>
          <w:tcPr>
            <w:tcW w:w="120" w:type="dxa"/>
            <w:tcBorders>
              <w:top w:val="nil"/>
              <w:left w:val="nil"/>
              <w:bottom w:val="nil"/>
              <w:right w:val="nil"/>
            </w:tcBorders>
            <w:shd w:val="clear" w:color="CFD4D8" w:fill="CFD4D8"/>
            <w:vAlign w:val="center"/>
          </w:tcPr>
          <w:p w:rsidR="0073298C" w:rsidRDefault="0073298C" w:rsidP="0073298C">
            <w:pPr>
              <w:spacing w:before="22" w:after="22"/>
              <w:ind w:left="22"/>
              <w:rPr>
                <w:rFonts w:ascii="Arial" w:hAnsi="Arial" w:cs="Arial"/>
                <w:color w:val="000000"/>
                <w:sz w:val="18"/>
                <w:szCs w:val="18"/>
              </w:rPr>
            </w:pPr>
            <w:r>
              <w:rPr>
                <w:rFonts w:ascii="Arial" w:hAnsi="Arial" w:cs="Arial"/>
                <w:color w:val="000000"/>
                <w:sz w:val="18"/>
                <w:szCs w:val="18"/>
              </w:rPr>
              <w:t>$</w:t>
            </w:r>
          </w:p>
        </w:tc>
        <w:tc>
          <w:tcPr>
            <w:tcW w:w="1209" w:type="dxa"/>
            <w:tcBorders>
              <w:top w:val="nil"/>
              <w:left w:val="nil"/>
              <w:bottom w:val="nil"/>
              <w:right w:val="nil"/>
            </w:tcBorders>
            <w:shd w:val="clear" w:color="CFD4D8" w:fill="CFD4D8"/>
            <w:vAlign w:val="center"/>
          </w:tcPr>
          <w:p w:rsidR="0073298C" w:rsidRDefault="0073298C" w:rsidP="0073298C">
            <w:pPr>
              <w:spacing w:before="22" w:after="22"/>
              <w:jc w:val="right"/>
              <w:rPr>
                <w:rFonts w:ascii="Arial" w:hAnsi="Arial" w:cs="Arial"/>
                <w:color w:val="000000"/>
                <w:sz w:val="18"/>
                <w:szCs w:val="18"/>
              </w:rPr>
            </w:pPr>
            <w:r>
              <w:rPr>
                <w:rFonts w:ascii="Arial" w:hAnsi="Arial" w:cs="Arial"/>
                <w:color w:val="000000"/>
                <w:sz w:val="18"/>
                <w:szCs w:val="18"/>
              </w:rPr>
              <w:t>33,632</w:t>
            </w:r>
          </w:p>
        </w:tc>
        <w:tc>
          <w:tcPr>
            <w:tcW w:w="180" w:type="dxa"/>
            <w:tcBorders>
              <w:top w:val="nil"/>
              <w:left w:val="nil"/>
              <w:bottom w:val="nil"/>
              <w:right w:val="nil"/>
            </w:tcBorders>
            <w:shd w:val="clear" w:color="CFD4D8" w:fill="CFD4D8"/>
            <w:vAlign w:val="bottom"/>
          </w:tcPr>
          <w:p w:rsidR="0073298C" w:rsidRDefault="0073298C" w:rsidP="0073298C">
            <w:pPr>
              <w:spacing w:before="22" w:after="22"/>
              <w:jc w:val="right"/>
              <w:rPr>
                <w:rFonts w:ascii="Arial" w:hAnsi="Arial" w:cs="Arial"/>
                <w:color w:val="000000"/>
                <w:sz w:val="18"/>
                <w:szCs w:val="18"/>
              </w:rPr>
            </w:pPr>
          </w:p>
          <w:p w:rsidR="0073298C" w:rsidRDefault="0073298C" w:rsidP="0073298C">
            <w:pPr>
              <w:rPr>
                <w:sz w:val="16"/>
                <w:szCs w:val="16"/>
              </w:rPr>
            </w:pPr>
            <w:r>
              <w:rPr>
                <w:sz w:val="16"/>
                <w:szCs w:val="16"/>
              </w:rPr>
              <w:t> </w:t>
            </w:r>
          </w:p>
        </w:tc>
        <w:tc>
          <w:tcPr>
            <w:tcW w:w="103" w:type="dxa"/>
            <w:tcBorders>
              <w:top w:val="single" w:sz="6" w:space="0" w:color="00467E"/>
              <w:left w:val="nil"/>
              <w:bottom w:val="nil"/>
              <w:right w:val="nil"/>
            </w:tcBorders>
            <w:shd w:val="clear" w:color="00467E" w:fill="00467E"/>
            <w:vAlign w:val="bottom"/>
          </w:tcPr>
          <w:p w:rsidR="0073298C" w:rsidRDefault="0073298C" w:rsidP="0073298C">
            <w:pPr>
              <w:spacing w:before="22" w:after="22"/>
              <w:ind w:left="22" w:right="22"/>
              <w:rPr>
                <w:color w:val="000000"/>
              </w:rPr>
            </w:pPr>
            <w:r>
              <w:rPr>
                <w:color w:val="000000"/>
              </w:rPr>
              <w:t> </w:t>
            </w:r>
          </w:p>
        </w:tc>
        <w:tc>
          <w:tcPr>
            <w:tcW w:w="1006" w:type="dxa"/>
            <w:tcBorders>
              <w:top w:val="single" w:sz="6" w:space="0" w:color="000000"/>
              <w:left w:val="nil"/>
              <w:bottom w:val="nil"/>
              <w:right w:val="nil"/>
            </w:tcBorders>
            <w:shd w:val="clear" w:color="CFD4D8" w:fill="CFD4D8"/>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176.4</w:t>
            </w:r>
          </w:p>
        </w:tc>
        <w:tc>
          <w:tcPr>
            <w:tcW w:w="360" w:type="dxa"/>
            <w:tcBorders>
              <w:top w:val="single" w:sz="6" w:space="0" w:color="000000"/>
              <w:left w:val="nil"/>
              <w:bottom w:val="nil"/>
              <w:right w:val="nil"/>
            </w:tcBorders>
            <w:shd w:val="clear" w:color="CFD4D8" w:fill="CFD4D8"/>
            <w:vAlign w:val="center"/>
          </w:tcPr>
          <w:p w:rsidR="0073298C" w:rsidRDefault="0073298C" w:rsidP="0073298C">
            <w:pPr>
              <w:spacing w:before="22" w:after="22"/>
              <w:ind w:right="22"/>
              <w:rPr>
                <w:rFonts w:ascii="Arial" w:hAnsi="Arial" w:cs="Arial"/>
                <w:color w:val="000000"/>
                <w:sz w:val="18"/>
                <w:szCs w:val="18"/>
              </w:rPr>
            </w:pPr>
            <w:r>
              <w:rPr>
                <w:rFonts w:ascii="Arial" w:hAnsi="Arial" w:cs="Arial"/>
                <w:color w:val="000000"/>
                <w:sz w:val="18"/>
                <w:szCs w:val="18"/>
              </w:rPr>
              <w:t> %</w:t>
            </w:r>
          </w:p>
        </w:tc>
        <w:tc>
          <w:tcPr>
            <w:tcW w:w="103" w:type="dxa"/>
            <w:tcBorders>
              <w:top w:val="single" w:sz="6" w:space="0" w:color="000000"/>
              <w:left w:val="nil"/>
              <w:bottom w:val="nil"/>
              <w:right w:val="nil"/>
            </w:tcBorders>
            <w:shd w:val="clear" w:color="CFD4D8" w:fill="CFD4D8"/>
            <w:vAlign w:val="bottom"/>
          </w:tcPr>
          <w:p w:rsidR="0073298C" w:rsidRDefault="0073298C" w:rsidP="0073298C">
            <w:pPr>
              <w:spacing w:before="22" w:after="22"/>
              <w:ind w:left="22" w:right="22"/>
              <w:rPr>
                <w:color w:val="000000"/>
              </w:rPr>
            </w:pPr>
            <w:r>
              <w:rPr>
                <w:color w:val="000000"/>
              </w:rPr>
              <w:t> </w:t>
            </w:r>
          </w:p>
        </w:tc>
        <w:tc>
          <w:tcPr>
            <w:tcW w:w="982" w:type="dxa"/>
            <w:tcBorders>
              <w:top w:val="single" w:sz="6" w:space="0" w:color="000000"/>
              <w:left w:val="nil"/>
              <w:bottom w:val="nil"/>
              <w:right w:val="nil"/>
            </w:tcBorders>
            <w:shd w:val="clear" w:color="CFD4D8" w:fill="CFD4D8"/>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2.4</w:t>
            </w:r>
          </w:p>
        </w:tc>
        <w:tc>
          <w:tcPr>
            <w:tcW w:w="365" w:type="dxa"/>
            <w:tcBorders>
              <w:top w:val="single" w:sz="6" w:space="0" w:color="000000"/>
              <w:left w:val="nil"/>
              <w:bottom w:val="nil"/>
              <w:right w:val="single" w:sz="6" w:space="0" w:color="00467E"/>
            </w:tcBorders>
            <w:shd w:val="clear" w:color="CFD4D8" w:fill="CFD4D8"/>
            <w:vAlign w:val="center"/>
          </w:tcPr>
          <w:p w:rsidR="0073298C" w:rsidRDefault="0073298C" w:rsidP="0073298C">
            <w:pPr>
              <w:spacing w:before="22" w:after="22"/>
              <w:ind w:right="22"/>
              <w:rPr>
                <w:rFonts w:ascii="Arial" w:hAnsi="Arial" w:cs="Arial"/>
                <w:color w:val="000000"/>
                <w:sz w:val="18"/>
                <w:szCs w:val="18"/>
              </w:rPr>
            </w:pPr>
            <w:r>
              <w:rPr>
                <w:rFonts w:ascii="Arial" w:hAnsi="Arial" w:cs="Arial"/>
                <w:color w:val="000000"/>
                <w:sz w:val="18"/>
                <w:szCs w:val="18"/>
              </w:rPr>
              <w:t> %</w:t>
            </w:r>
          </w:p>
        </w:tc>
      </w:tr>
      <w:tr w:rsidR="0073298C" w:rsidTr="0073298C">
        <w:tblPrEx>
          <w:tblCellMar>
            <w:top w:w="0" w:type="dxa"/>
            <w:left w:w="0" w:type="dxa"/>
            <w:bottom w:w="0" w:type="dxa"/>
            <w:right w:w="0" w:type="dxa"/>
          </w:tblCellMar>
        </w:tblPrEx>
        <w:trPr>
          <w:trHeight w:val="298"/>
        </w:trPr>
        <w:tc>
          <w:tcPr>
            <w:tcW w:w="3148" w:type="dxa"/>
            <w:tcBorders>
              <w:top w:val="nil"/>
              <w:left w:val="single" w:sz="6" w:space="0" w:color="00467E"/>
              <w:bottom w:val="nil"/>
              <w:right w:val="nil"/>
            </w:tcBorders>
            <w:vAlign w:val="center"/>
          </w:tcPr>
          <w:p w:rsidR="0073298C" w:rsidRDefault="0073298C" w:rsidP="0073298C">
            <w:pPr>
              <w:spacing w:before="22" w:after="22"/>
              <w:ind w:left="330" w:right="22"/>
              <w:rPr>
                <w:rFonts w:ascii="Arial" w:hAnsi="Arial" w:cs="Arial"/>
                <w:color w:val="000000"/>
                <w:sz w:val="18"/>
                <w:szCs w:val="18"/>
              </w:rPr>
            </w:pPr>
            <w:r>
              <w:rPr>
                <w:rFonts w:ascii="Arial" w:hAnsi="Arial" w:cs="Arial"/>
                <w:color w:val="000000"/>
                <w:sz w:val="18"/>
                <w:szCs w:val="18"/>
              </w:rPr>
              <w:t>% of total revenue</w:t>
            </w:r>
          </w:p>
        </w:tc>
        <w:tc>
          <w:tcPr>
            <w:tcW w:w="1329" w:type="dxa"/>
            <w:gridSpan w:val="2"/>
            <w:tcBorders>
              <w:top w:val="nil"/>
              <w:left w:val="nil"/>
              <w:bottom w:val="nil"/>
              <w:right w:val="nil"/>
            </w:tcBorders>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3.9</w:t>
            </w:r>
          </w:p>
        </w:tc>
        <w:tc>
          <w:tcPr>
            <w:tcW w:w="180" w:type="dxa"/>
            <w:tcBorders>
              <w:top w:val="nil"/>
              <w:left w:val="nil"/>
              <w:bottom w:val="nil"/>
              <w:right w:val="nil"/>
            </w:tcBorders>
            <w:vAlign w:val="center"/>
          </w:tcPr>
          <w:p w:rsidR="0073298C" w:rsidRDefault="0073298C" w:rsidP="0073298C">
            <w:pPr>
              <w:spacing w:before="22" w:after="22"/>
              <w:ind w:right="22"/>
              <w:rPr>
                <w:rFonts w:ascii="Arial" w:hAnsi="Arial" w:cs="Arial"/>
                <w:color w:val="000000"/>
                <w:sz w:val="18"/>
                <w:szCs w:val="18"/>
              </w:rPr>
            </w:pPr>
            <w:r>
              <w:rPr>
                <w:rFonts w:ascii="Arial" w:hAnsi="Arial" w:cs="Arial"/>
                <w:color w:val="000000"/>
                <w:sz w:val="18"/>
                <w:szCs w:val="18"/>
              </w:rPr>
              <w:t>%</w:t>
            </w:r>
          </w:p>
        </w:tc>
        <w:tc>
          <w:tcPr>
            <w:tcW w:w="103" w:type="dxa"/>
            <w:tcBorders>
              <w:top w:val="nil"/>
              <w:left w:val="nil"/>
              <w:bottom w:val="nil"/>
              <w:right w:val="nil"/>
            </w:tcBorders>
            <w:vAlign w:val="bottom"/>
          </w:tcPr>
          <w:p w:rsidR="0073298C" w:rsidRDefault="0073298C" w:rsidP="0073298C">
            <w:pPr>
              <w:spacing w:before="22" w:after="22"/>
              <w:ind w:left="22" w:right="22"/>
              <w:rPr>
                <w:color w:val="000000"/>
              </w:rPr>
            </w:pPr>
            <w:r>
              <w:rPr>
                <w:color w:val="000000"/>
              </w:rPr>
              <w:t> </w:t>
            </w:r>
          </w:p>
        </w:tc>
        <w:tc>
          <w:tcPr>
            <w:tcW w:w="1329" w:type="dxa"/>
            <w:gridSpan w:val="2"/>
            <w:tcBorders>
              <w:top w:val="nil"/>
              <w:left w:val="nil"/>
              <w:bottom w:val="nil"/>
              <w:right w:val="nil"/>
            </w:tcBorders>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3.1</w:t>
            </w:r>
          </w:p>
        </w:tc>
        <w:tc>
          <w:tcPr>
            <w:tcW w:w="180" w:type="dxa"/>
            <w:tcBorders>
              <w:top w:val="nil"/>
              <w:left w:val="nil"/>
              <w:bottom w:val="nil"/>
              <w:right w:val="nil"/>
            </w:tcBorders>
            <w:vAlign w:val="center"/>
          </w:tcPr>
          <w:p w:rsidR="0073298C" w:rsidRDefault="0073298C" w:rsidP="0073298C">
            <w:pPr>
              <w:spacing w:before="22" w:after="22"/>
              <w:ind w:right="22"/>
              <w:rPr>
                <w:rFonts w:ascii="Arial" w:hAnsi="Arial" w:cs="Arial"/>
                <w:color w:val="000000"/>
                <w:sz w:val="18"/>
                <w:szCs w:val="18"/>
              </w:rPr>
            </w:pPr>
            <w:r>
              <w:rPr>
                <w:rFonts w:ascii="Arial" w:hAnsi="Arial" w:cs="Arial"/>
                <w:color w:val="000000"/>
                <w:sz w:val="18"/>
                <w:szCs w:val="18"/>
              </w:rPr>
              <w:t>%</w:t>
            </w:r>
          </w:p>
        </w:tc>
        <w:tc>
          <w:tcPr>
            <w:tcW w:w="103" w:type="dxa"/>
            <w:tcBorders>
              <w:top w:val="nil"/>
              <w:left w:val="nil"/>
              <w:bottom w:val="nil"/>
              <w:right w:val="nil"/>
            </w:tcBorders>
            <w:vAlign w:val="bottom"/>
          </w:tcPr>
          <w:p w:rsidR="0073298C" w:rsidRDefault="0073298C" w:rsidP="0073298C">
            <w:pPr>
              <w:spacing w:before="22" w:after="22"/>
              <w:ind w:left="22" w:right="22"/>
              <w:rPr>
                <w:color w:val="000000"/>
              </w:rPr>
            </w:pPr>
            <w:r>
              <w:rPr>
                <w:color w:val="000000"/>
              </w:rPr>
              <w:t> </w:t>
            </w:r>
          </w:p>
        </w:tc>
        <w:tc>
          <w:tcPr>
            <w:tcW w:w="1329" w:type="dxa"/>
            <w:gridSpan w:val="2"/>
            <w:tcBorders>
              <w:top w:val="nil"/>
              <w:left w:val="nil"/>
              <w:bottom w:val="nil"/>
              <w:right w:val="nil"/>
            </w:tcBorders>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2.9</w:t>
            </w:r>
          </w:p>
        </w:tc>
        <w:tc>
          <w:tcPr>
            <w:tcW w:w="180" w:type="dxa"/>
            <w:tcBorders>
              <w:top w:val="nil"/>
              <w:left w:val="nil"/>
              <w:bottom w:val="nil"/>
              <w:right w:val="nil"/>
            </w:tcBorders>
            <w:vAlign w:val="center"/>
          </w:tcPr>
          <w:p w:rsidR="0073298C" w:rsidRDefault="0073298C" w:rsidP="0073298C">
            <w:pPr>
              <w:spacing w:before="22" w:after="22"/>
              <w:ind w:right="22"/>
              <w:rPr>
                <w:rFonts w:ascii="Arial" w:hAnsi="Arial" w:cs="Arial"/>
                <w:color w:val="000000"/>
                <w:sz w:val="18"/>
                <w:szCs w:val="18"/>
              </w:rPr>
            </w:pPr>
            <w:r>
              <w:rPr>
                <w:rFonts w:ascii="Arial" w:hAnsi="Arial" w:cs="Arial"/>
                <w:color w:val="000000"/>
                <w:sz w:val="18"/>
                <w:szCs w:val="18"/>
              </w:rPr>
              <w:t>%</w:t>
            </w:r>
          </w:p>
        </w:tc>
        <w:tc>
          <w:tcPr>
            <w:tcW w:w="103" w:type="dxa"/>
            <w:tcBorders>
              <w:top w:val="single" w:sz="6" w:space="0" w:color="00467E"/>
              <w:left w:val="nil"/>
              <w:bottom w:val="nil"/>
              <w:right w:val="nil"/>
            </w:tcBorders>
            <w:shd w:val="clear" w:color="00467E" w:fill="00467E"/>
            <w:vAlign w:val="bottom"/>
          </w:tcPr>
          <w:p w:rsidR="0073298C" w:rsidRDefault="0073298C" w:rsidP="0073298C">
            <w:pPr>
              <w:spacing w:before="22" w:after="22"/>
              <w:ind w:left="22" w:right="22"/>
              <w:rPr>
                <w:color w:val="000000"/>
              </w:rPr>
            </w:pPr>
            <w:r>
              <w:rPr>
                <w:color w:val="000000"/>
              </w:rPr>
              <w:t> </w:t>
            </w:r>
          </w:p>
        </w:tc>
        <w:tc>
          <w:tcPr>
            <w:tcW w:w="1006" w:type="dxa"/>
            <w:tcBorders>
              <w:top w:val="nil"/>
              <w:left w:val="nil"/>
              <w:bottom w:val="nil"/>
              <w:right w:val="nil"/>
            </w:tcBorders>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80</w:t>
            </w:r>
          </w:p>
        </w:tc>
        <w:tc>
          <w:tcPr>
            <w:tcW w:w="360" w:type="dxa"/>
            <w:tcBorders>
              <w:top w:val="nil"/>
              <w:left w:val="nil"/>
              <w:bottom w:val="nil"/>
              <w:right w:val="nil"/>
            </w:tcBorders>
            <w:vAlign w:val="center"/>
          </w:tcPr>
          <w:p w:rsidR="0073298C" w:rsidRDefault="0073298C" w:rsidP="0073298C">
            <w:pPr>
              <w:spacing w:before="22" w:after="22"/>
              <w:ind w:right="22"/>
              <w:rPr>
                <w:rFonts w:ascii="Arial" w:hAnsi="Arial" w:cs="Arial"/>
                <w:color w:val="000000"/>
                <w:sz w:val="18"/>
                <w:szCs w:val="18"/>
              </w:rPr>
            </w:pPr>
            <w:r>
              <w:rPr>
                <w:rFonts w:ascii="Arial" w:hAnsi="Arial" w:cs="Arial"/>
                <w:color w:val="000000"/>
                <w:sz w:val="18"/>
                <w:szCs w:val="18"/>
              </w:rPr>
              <w:t> bps</w:t>
            </w:r>
          </w:p>
        </w:tc>
        <w:tc>
          <w:tcPr>
            <w:tcW w:w="103" w:type="dxa"/>
            <w:tcBorders>
              <w:top w:val="nil"/>
              <w:left w:val="nil"/>
              <w:bottom w:val="nil"/>
              <w:right w:val="nil"/>
            </w:tcBorders>
            <w:vAlign w:val="bottom"/>
          </w:tcPr>
          <w:p w:rsidR="0073298C" w:rsidRDefault="0073298C" w:rsidP="0073298C">
            <w:pPr>
              <w:spacing w:before="22" w:after="22"/>
              <w:ind w:left="22" w:right="22"/>
              <w:rPr>
                <w:color w:val="000000"/>
              </w:rPr>
            </w:pPr>
            <w:r>
              <w:rPr>
                <w:color w:val="000000"/>
              </w:rPr>
              <w:t> </w:t>
            </w:r>
          </w:p>
        </w:tc>
        <w:tc>
          <w:tcPr>
            <w:tcW w:w="982" w:type="dxa"/>
            <w:tcBorders>
              <w:top w:val="nil"/>
              <w:left w:val="nil"/>
              <w:bottom w:val="nil"/>
              <w:right w:val="nil"/>
            </w:tcBorders>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20</w:t>
            </w:r>
          </w:p>
        </w:tc>
        <w:tc>
          <w:tcPr>
            <w:tcW w:w="365" w:type="dxa"/>
            <w:tcBorders>
              <w:top w:val="nil"/>
              <w:left w:val="nil"/>
              <w:bottom w:val="nil"/>
              <w:right w:val="single" w:sz="6" w:space="0" w:color="00467E"/>
            </w:tcBorders>
            <w:vAlign w:val="center"/>
          </w:tcPr>
          <w:p w:rsidR="0073298C" w:rsidRDefault="0073298C" w:rsidP="0073298C">
            <w:pPr>
              <w:spacing w:before="22" w:after="22"/>
              <w:ind w:right="22"/>
              <w:rPr>
                <w:rFonts w:ascii="Arial" w:hAnsi="Arial" w:cs="Arial"/>
                <w:color w:val="000000"/>
                <w:sz w:val="18"/>
                <w:szCs w:val="18"/>
              </w:rPr>
            </w:pPr>
            <w:r>
              <w:rPr>
                <w:rFonts w:ascii="Arial" w:hAnsi="Arial" w:cs="Arial"/>
                <w:color w:val="000000"/>
                <w:sz w:val="18"/>
                <w:szCs w:val="18"/>
              </w:rPr>
              <w:t> bps</w:t>
            </w:r>
          </w:p>
        </w:tc>
      </w:tr>
      <w:tr w:rsidR="0073298C" w:rsidTr="0073298C">
        <w:tblPrEx>
          <w:tblCellMar>
            <w:top w:w="0" w:type="dxa"/>
            <w:left w:w="0" w:type="dxa"/>
            <w:bottom w:w="0" w:type="dxa"/>
            <w:right w:w="0" w:type="dxa"/>
          </w:tblCellMar>
        </w:tblPrEx>
        <w:trPr>
          <w:trHeight w:val="479"/>
        </w:trPr>
        <w:tc>
          <w:tcPr>
            <w:tcW w:w="3148" w:type="dxa"/>
            <w:tcBorders>
              <w:top w:val="nil"/>
              <w:left w:val="single" w:sz="6" w:space="0" w:color="00467E"/>
              <w:bottom w:val="single" w:sz="6" w:space="0" w:color="00467E"/>
              <w:right w:val="nil"/>
            </w:tcBorders>
            <w:shd w:val="clear" w:color="CFD4D8" w:fill="CFD4D8"/>
            <w:vAlign w:val="center"/>
          </w:tcPr>
          <w:p w:rsidR="0073298C" w:rsidRDefault="0073298C" w:rsidP="0073298C">
            <w:pPr>
              <w:spacing w:before="22" w:after="22"/>
              <w:ind w:left="330" w:right="22"/>
              <w:rPr>
                <w:rFonts w:ascii="Arial" w:hAnsi="Arial" w:cs="Arial"/>
                <w:color w:val="000000"/>
                <w:sz w:val="18"/>
                <w:szCs w:val="18"/>
              </w:rPr>
            </w:pPr>
            <w:r>
              <w:rPr>
                <w:rFonts w:ascii="Arial" w:hAnsi="Arial" w:cs="Arial"/>
                <w:color w:val="000000"/>
                <w:sz w:val="18"/>
                <w:szCs w:val="18"/>
              </w:rPr>
              <w:t>% of revenue before fuel surcharge</w:t>
            </w:r>
          </w:p>
        </w:tc>
        <w:tc>
          <w:tcPr>
            <w:tcW w:w="1329" w:type="dxa"/>
            <w:gridSpan w:val="2"/>
            <w:tcBorders>
              <w:top w:val="nil"/>
              <w:left w:val="nil"/>
              <w:bottom w:val="single" w:sz="6" w:space="0" w:color="00467E"/>
              <w:right w:val="nil"/>
            </w:tcBorders>
            <w:shd w:val="clear" w:color="CFD4D8" w:fill="CFD4D8"/>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4.4</w:t>
            </w:r>
          </w:p>
        </w:tc>
        <w:tc>
          <w:tcPr>
            <w:tcW w:w="180" w:type="dxa"/>
            <w:tcBorders>
              <w:top w:val="nil"/>
              <w:left w:val="nil"/>
              <w:bottom w:val="single" w:sz="6" w:space="0" w:color="00467E"/>
              <w:right w:val="nil"/>
            </w:tcBorders>
            <w:shd w:val="clear" w:color="CFD4D8" w:fill="CFD4D8"/>
            <w:vAlign w:val="center"/>
          </w:tcPr>
          <w:p w:rsidR="0073298C" w:rsidRDefault="0073298C" w:rsidP="0073298C">
            <w:pPr>
              <w:spacing w:before="22" w:after="22"/>
              <w:ind w:right="22"/>
              <w:rPr>
                <w:rFonts w:ascii="Arial" w:hAnsi="Arial" w:cs="Arial"/>
                <w:color w:val="000000"/>
                <w:sz w:val="18"/>
                <w:szCs w:val="18"/>
              </w:rPr>
            </w:pPr>
            <w:r>
              <w:rPr>
                <w:rFonts w:ascii="Arial" w:hAnsi="Arial" w:cs="Arial"/>
                <w:color w:val="000000"/>
                <w:sz w:val="18"/>
                <w:szCs w:val="18"/>
              </w:rPr>
              <w:t>%</w:t>
            </w:r>
          </w:p>
        </w:tc>
        <w:tc>
          <w:tcPr>
            <w:tcW w:w="103" w:type="dxa"/>
            <w:tcBorders>
              <w:top w:val="nil"/>
              <w:left w:val="nil"/>
              <w:bottom w:val="single" w:sz="6" w:space="0" w:color="00467E"/>
              <w:right w:val="nil"/>
            </w:tcBorders>
            <w:shd w:val="clear" w:color="CFD4D8" w:fill="CFD4D8"/>
            <w:vAlign w:val="bottom"/>
          </w:tcPr>
          <w:p w:rsidR="0073298C" w:rsidRDefault="0073298C" w:rsidP="0073298C">
            <w:pPr>
              <w:spacing w:before="22" w:after="22"/>
              <w:ind w:left="22" w:right="22"/>
              <w:rPr>
                <w:color w:val="000000"/>
              </w:rPr>
            </w:pPr>
            <w:r>
              <w:rPr>
                <w:color w:val="000000"/>
              </w:rPr>
              <w:t> </w:t>
            </w:r>
          </w:p>
        </w:tc>
        <w:tc>
          <w:tcPr>
            <w:tcW w:w="1329" w:type="dxa"/>
            <w:gridSpan w:val="2"/>
            <w:tcBorders>
              <w:top w:val="nil"/>
              <w:left w:val="nil"/>
              <w:bottom w:val="single" w:sz="6" w:space="0" w:color="00467E"/>
              <w:right w:val="nil"/>
            </w:tcBorders>
            <w:shd w:val="clear" w:color="CFD4D8" w:fill="CFD4D8"/>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3.3</w:t>
            </w:r>
          </w:p>
        </w:tc>
        <w:tc>
          <w:tcPr>
            <w:tcW w:w="180" w:type="dxa"/>
            <w:tcBorders>
              <w:top w:val="nil"/>
              <w:left w:val="nil"/>
              <w:bottom w:val="single" w:sz="6" w:space="0" w:color="00467E"/>
              <w:right w:val="nil"/>
            </w:tcBorders>
            <w:shd w:val="clear" w:color="CFD4D8" w:fill="CFD4D8"/>
            <w:vAlign w:val="center"/>
          </w:tcPr>
          <w:p w:rsidR="0073298C" w:rsidRDefault="0073298C" w:rsidP="0073298C">
            <w:pPr>
              <w:spacing w:before="22" w:after="22"/>
              <w:ind w:right="22"/>
              <w:rPr>
                <w:rFonts w:ascii="Arial" w:hAnsi="Arial" w:cs="Arial"/>
                <w:color w:val="000000"/>
                <w:sz w:val="18"/>
                <w:szCs w:val="18"/>
              </w:rPr>
            </w:pPr>
            <w:r>
              <w:rPr>
                <w:rFonts w:ascii="Arial" w:hAnsi="Arial" w:cs="Arial"/>
                <w:color w:val="000000"/>
                <w:sz w:val="18"/>
                <w:szCs w:val="18"/>
              </w:rPr>
              <w:t>%</w:t>
            </w:r>
          </w:p>
        </w:tc>
        <w:tc>
          <w:tcPr>
            <w:tcW w:w="103" w:type="dxa"/>
            <w:tcBorders>
              <w:top w:val="nil"/>
              <w:left w:val="nil"/>
              <w:bottom w:val="single" w:sz="6" w:space="0" w:color="00467E"/>
              <w:right w:val="nil"/>
            </w:tcBorders>
            <w:shd w:val="clear" w:color="CFD4D8" w:fill="CFD4D8"/>
            <w:vAlign w:val="bottom"/>
          </w:tcPr>
          <w:p w:rsidR="0073298C" w:rsidRDefault="0073298C" w:rsidP="0073298C">
            <w:pPr>
              <w:spacing w:before="22" w:after="22"/>
              <w:ind w:left="22" w:right="22"/>
              <w:rPr>
                <w:color w:val="000000"/>
              </w:rPr>
            </w:pPr>
            <w:r>
              <w:rPr>
                <w:color w:val="000000"/>
              </w:rPr>
              <w:t> </w:t>
            </w:r>
          </w:p>
        </w:tc>
        <w:tc>
          <w:tcPr>
            <w:tcW w:w="1329" w:type="dxa"/>
            <w:gridSpan w:val="2"/>
            <w:tcBorders>
              <w:top w:val="nil"/>
              <w:left w:val="nil"/>
              <w:bottom w:val="single" w:sz="6" w:space="0" w:color="00467E"/>
              <w:right w:val="nil"/>
            </w:tcBorders>
            <w:shd w:val="clear" w:color="CFD4D8" w:fill="CFD4D8"/>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3.2</w:t>
            </w:r>
          </w:p>
        </w:tc>
        <w:tc>
          <w:tcPr>
            <w:tcW w:w="180" w:type="dxa"/>
            <w:tcBorders>
              <w:top w:val="nil"/>
              <w:left w:val="nil"/>
              <w:bottom w:val="single" w:sz="6" w:space="0" w:color="00467E"/>
              <w:right w:val="nil"/>
            </w:tcBorders>
            <w:shd w:val="clear" w:color="CFD4D8" w:fill="CFD4D8"/>
            <w:vAlign w:val="center"/>
          </w:tcPr>
          <w:p w:rsidR="0073298C" w:rsidRDefault="0073298C" w:rsidP="0073298C">
            <w:pPr>
              <w:spacing w:before="22" w:after="22"/>
              <w:ind w:right="22"/>
              <w:rPr>
                <w:rFonts w:ascii="Arial" w:hAnsi="Arial" w:cs="Arial"/>
                <w:color w:val="000000"/>
                <w:sz w:val="18"/>
                <w:szCs w:val="18"/>
              </w:rPr>
            </w:pPr>
            <w:r>
              <w:rPr>
                <w:rFonts w:ascii="Arial" w:hAnsi="Arial" w:cs="Arial"/>
                <w:color w:val="000000"/>
                <w:sz w:val="18"/>
                <w:szCs w:val="18"/>
              </w:rPr>
              <w:t>%</w:t>
            </w:r>
          </w:p>
        </w:tc>
        <w:tc>
          <w:tcPr>
            <w:tcW w:w="103" w:type="dxa"/>
            <w:tcBorders>
              <w:top w:val="single" w:sz="6" w:space="0" w:color="00467E"/>
              <w:left w:val="nil"/>
              <w:bottom w:val="single" w:sz="6" w:space="0" w:color="00467E"/>
              <w:right w:val="nil"/>
            </w:tcBorders>
            <w:shd w:val="clear" w:color="00467E" w:fill="00467E"/>
            <w:vAlign w:val="bottom"/>
          </w:tcPr>
          <w:p w:rsidR="0073298C" w:rsidRDefault="0073298C" w:rsidP="0073298C">
            <w:pPr>
              <w:spacing w:before="22" w:after="22"/>
              <w:ind w:left="22" w:right="22"/>
              <w:rPr>
                <w:color w:val="000000"/>
              </w:rPr>
            </w:pPr>
            <w:r>
              <w:rPr>
                <w:color w:val="000000"/>
              </w:rPr>
              <w:t> </w:t>
            </w:r>
          </w:p>
        </w:tc>
        <w:tc>
          <w:tcPr>
            <w:tcW w:w="1006" w:type="dxa"/>
            <w:tcBorders>
              <w:top w:val="nil"/>
              <w:left w:val="nil"/>
              <w:bottom w:val="single" w:sz="6" w:space="0" w:color="00467E"/>
              <w:right w:val="nil"/>
            </w:tcBorders>
            <w:shd w:val="clear" w:color="CFD4D8" w:fill="CFD4D8"/>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110</w:t>
            </w:r>
          </w:p>
        </w:tc>
        <w:tc>
          <w:tcPr>
            <w:tcW w:w="360" w:type="dxa"/>
            <w:tcBorders>
              <w:top w:val="nil"/>
              <w:left w:val="nil"/>
              <w:bottom w:val="single" w:sz="6" w:space="0" w:color="00467E"/>
              <w:right w:val="nil"/>
            </w:tcBorders>
            <w:shd w:val="clear" w:color="CFD4D8" w:fill="CFD4D8"/>
            <w:vAlign w:val="center"/>
          </w:tcPr>
          <w:p w:rsidR="0073298C" w:rsidRDefault="0073298C" w:rsidP="0073298C">
            <w:pPr>
              <w:spacing w:before="22" w:after="22"/>
              <w:ind w:right="22"/>
              <w:rPr>
                <w:rFonts w:ascii="Arial" w:hAnsi="Arial" w:cs="Arial"/>
                <w:color w:val="000000"/>
                <w:sz w:val="18"/>
                <w:szCs w:val="18"/>
              </w:rPr>
            </w:pPr>
            <w:r>
              <w:rPr>
                <w:rFonts w:ascii="Arial" w:hAnsi="Arial" w:cs="Arial"/>
                <w:color w:val="000000"/>
                <w:sz w:val="18"/>
                <w:szCs w:val="18"/>
              </w:rPr>
              <w:t> bps</w:t>
            </w:r>
          </w:p>
        </w:tc>
        <w:tc>
          <w:tcPr>
            <w:tcW w:w="103" w:type="dxa"/>
            <w:tcBorders>
              <w:top w:val="nil"/>
              <w:left w:val="nil"/>
              <w:bottom w:val="single" w:sz="6" w:space="0" w:color="00467E"/>
              <w:right w:val="nil"/>
            </w:tcBorders>
            <w:shd w:val="clear" w:color="CFD4D8" w:fill="CFD4D8"/>
            <w:vAlign w:val="bottom"/>
          </w:tcPr>
          <w:p w:rsidR="0073298C" w:rsidRDefault="0073298C" w:rsidP="0073298C">
            <w:pPr>
              <w:spacing w:before="22" w:after="22"/>
              <w:ind w:left="22" w:right="22"/>
              <w:rPr>
                <w:color w:val="000000"/>
              </w:rPr>
            </w:pPr>
            <w:r>
              <w:rPr>
                <w:color w:val="000000"/>
              </w:rPr>
              <w:t> </w:t>
            </w:r>
          </w:p>
        </w:tc>
        <w:tc>
          <w:tcPr>
            <w:tcW w:w="982" w:type="dxa"/>
            <w:tcBorders>
              <w:top w:val="nil"/>
              <w:left w:val="nil"/>
              <w:bottom w:val="single" w:sz="6" w:space="0" w:color="00467E"/>
              <w:right w:val="nil"/>
            </w:tcBorders>
            <w:shd w:val="clear" w:color="CFD4D8" w:fill="CFD4D8"/>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10</w:t>
            </w:r>
          </w:p>
        </w:tc>
        <w:tc>
          <w:tcPr>
            <w:tcW w:w="365" w:type="dxa"/>
            <w:tcBorders>
              <w:top w:val="nil"/>
              <w:left w:val="nil"/>
              <w:bottom w:val="single" w:sz="6" w:space="0" w:color="00467E"/>
              <w:right w:val="single" w:sz="6" w:space="0" w:color="00467E"/>
            </w:tcBorders>
            <w:shd w:val="clear" w:color="CFD4D8" w:fill="CFD4D8"/>
            <w:vAlign w:val="center"/>
          </w:tcPr>
          <w:p w:rsidR="0073298C" w:rsidRDefault="0073298C" w:rsidP="0073298C">
            <w:pPr>
              <w:spacing w:before="22" w:after="22"/>
              <w:ind w:right="22"/>
              <w:rPr>
                <w:rFonts w:ascii="Arial" w:hAnsi="Arial" w:cs="Arial"/>
                <w:color w:val="000000"/>
                <w:sz w:val="18"/>
                <w:szCs w:val="18"/>
              </w:rPr>
            </w:pPr>
            <w:r>
              <w:rPr>
                <w:rFonts w:ascii="Arial" w:hAnsi="Arial" w:cs="Arial"/>
                <w:color w:val="000000"/>
                <w:sz w:val="18"/>
                <w:szCs w:val="18"/>
              </w:rPr>
              <w:t> bps</w:t>
            </w:r>
          </w:p>
        </w:tc>
      </w:tr>
    </w:tbl>
    <w:p w:rsidR="0073298C" w:rsidRDefault="0073298C" w:rsidP="0073298C">
      <w:pPr>
        <w:spacing w:after="132"/>
        <w:jc w:val="both"/>
        <w:rPr>
          <w:rFonts w:ascii="Arial" w:hAnsi="Arial" w:cs="Arial"/>
          <w:color w:val="000000"/>
          <w:sz w:val="18"/>
          <w:szCs w:val="18"/>
        </w:rPr>
      </w:pPr>
      <w:r>
        <w:rPr>
          <w:rFonts w:ascii="Arial" w:hAnsi="Arial" w:cs="Arial"/>
          <w:color w:val="000000"/>
          <w:sz w:val="18"/>
          <w:szCs w:val="18"/>
        </w:rPr>
        <w:t xml:space="preserve">Insurance and claims expense consists of premiums for liability, physical damage, and cargo, and will vary based upon the frequency and severity of claims, as well as our level of self-insurance, and premium expense. In recent years, insurance carriers have raised premiums for many businesses, including transportation companies, and as a result, our insurance and claims expense could increase in the future, or we could raise our self-insured retention when our policies are renewed or replaced. Insurance and claims expense also varies based on the number of miles </w:t>
      </w:r>
      <w:r>
        <w:rPr>
          <w:rFonts w:ascii="Arial" w:hAnsi="Arial" w:cs="Arial"/>
          <w:color w:val="000000"/>
          <w:sz w:val="18"/>
          <w:szCs w:val="18"/>
        </w:rPr>
        <w:lastRenderedPageBreak/>
        <w:t>driven by company driving associates and independent contractors, the frequency and severity of accidents, trends in development factors used in actuarial accruals, and developments in large, prior-year claims.</w:t>
      </w:r>
    </w:p>
    <w:p w:rsidR="0073298C" w:rsidRDefault="0073298C" w:rsidP="0073298C">
      <w:pPr>
        <w:spacing w:after="132"/>
        <w:jc w:val="both"/>
        <w:rPr>
          <w:rFonts w:ascii="Arial" w:hAnsi="Arial" w:cs="Arial"/>
          <w:color w:val="000000"/>
          <w:sz w:val="18"/>
          <w:szCs w:val="18"/>
        </w:rPr>
      </w:pPr>
      <w:r>
        <w:rPr>
          <w:rFonts w:ascii="Arial" w:hAnsi="Arial" w:cs="Arial"/>
          <w:i/>
          <w:iCs/>
          <w:color w:val="000000"/>
          <w:sz w:val="18"/>
          <w:szCs w:val="18"/>
        </w:rPr>
        <w:t>2017 Compared to 2016 —</w:t>
      </w:r>
      <w:r>
        <w:rPr>
          <w:rFonts w:ascii="Arial" w:hAnsi="Arial" w:cs="Arial"/>
          <w:color w:val="000000"/>
          <w:sz w:val="18"/>
          <w:szCs w:val="18"/>
        </w:rPr>
        <w:t xml:space="preserve"> The $60.8 million increase in consolidated insurance and claims expense includes $60.0 million of expense from Swift's results for the September 9, 2017 through December 31, 2017 period. Knight's insurance and claims expense increased $0.8 million from 2016 to 2017. As a percentage of revenue before fuel surcharge, consolidated insurance and claims expense increased by 110 basis points. The increase is predominately associated with Swift's higher self-retention limits assumed following the close of the 2017 Merger, which may cause our insurance and claims expense to fluctuate more in future periods.</w:t>
      </w:r>
    </w:p>
    <w:p w:rsidR="0073298C" w:rsidRDefault="0073298C" w:rsidP="000E3B20">
      <w:pPr>
        <w:spacing w:after="264"/>
        <w:jc w:val="both"/>
        <w:rPr>
          <w:sz w:val="16"/>
          <w:szCs w:val="16"/>
        </w:rPr>
      </w:pPr>
      <w:r>
        <w:rPr>
          <w:rFonts w:ascii="Arial" w:hAnsi="Arial" w:cs="Arial"/>
          <w:i/>
          <w:iCs/>
          <w:color w:val="000000"/>
          <w:sz w:val="18"/>
          <w:szCs w:val="18"/>
        </w:rPr>
        <w:t>2016 Compared to 2015 —</w:t>
      </w:r>
      <w:r>
        <w:rPr>
          <w:rFonts w:ascii="Arial" w:hAnsi="Arial" w:cs="Arial"/>
          <w:color w:val="000000"/>
          <w:sz w:val="18"/>
          <w:szCs w:val="18"/>
        </w:rPr>
        <w:t xml:space="preserve"> Insurance and claims expense, as a percentage of total revenue, increased to 3.1% in 2016, from 2.9% in 2015. Insurance and claims expense as a percentage of total revenue before fuel surcharge increased slightly to 3.3% in 2016 from 3.2% in 2015, and increased slightly on a per mile basis, year-over-year. The increase was partly due to the decrease in total revenue in 2016 from 2015, combined with slightly higher premium costs and changes in the severity of claims.</w:t>
      </w:r>
      <w:r w:rsidR="000E3B20">
        <w:t xml:space="preserve"> </w:t>
      </w:r>
    </w:p>
    <w:tbl>
      <w:tblPr>
        <w:tblW w:w="10803" w:type="dxa"/>
        <w:tblInd w:w="8" w:type="dxa"/>
        <w:tblLayout w:type="fixed"/>
        <w:tblCellMar>
          <w:left w:w="0" w:type="dxa"/>
          <w:right w:w="0" w:type="dxa"/>
        </w:tblCellMar>
        <w:tblLook w:val="0000"/>
      </w:tblPr>
      <w:tblGrid>
        <w:gridCol w:w="3158"/>
        <w:gridCol w:w="120"/>
        <w:gridCol w:w="1211"/>
        <w:gridCol w:w="180"/>
        <w:gridCol w:w="103"/>
        <w:gridCol w:w="120"/>
        <w:gridCol w:w="1211"/>
        <w:gridCol w:w="180"/>
        <w:gridCol w:w="103"/>
        <w:gridCol w:w="120"/>
        <w:gridCol w:w="1211"/>
        <w:gridCol w:w="183"/>
        <w:gridCol w:w="103"/>
        <w:gridCol w:w="1009"/>
        <w:gridCol w:w="360"/>
        <w:gridCol w:w="103"/>
        <w:gridCol w:w="1032"/>
        <w:gridCol w:w="296"/>
      </w:tblGrid>
      <w:tr w:rsidR="0073298C" w:rsidTr="000E3B20">
        <w:tblPrEx>
          <w:tblCellMar>
            <w:top w:w="0" w:type="dxa"/>
            <w:left w:w="0" w:type="dxa"/>
            <w:bottom w:w="0" w:type="dxa"/>
            <w:right w:w="0" w:type="dxa"/>
          </w:tblCellMar>
        </w:tblPrEx>
        <w:trPr>
          <w:trHeight w:val="298"/>
        </w:trPr>
        <w:tc>
          <w:tcPr>
            <w:tcW w:w="3158" w:type="dxa"/>
            <w:tcBorders>
              <w:top w:val="single" w:sz="6" w:space="0" w:color="00467E"/>
              <w:left w:val="single" w:sz="6" w:space="0" w:color="00467E"/>
              <w:bottom w:val="nil"/>
              <w:right w:val="nil"/>
            </w:tcBorders>
            <w:vAlign w:val="center"/>
          </w:tcPr>
          <w:p w:rsidR="0073298C" w:rsidRDefault="0073298C" w:rsidP="0073298C">
            <w:pPr>
              <w:spacing w:before="22" w:after="22"/>
              <w:ind w:left="22" w:right="22"/>
              <w:rPr>
                <w:rFonts w:ascii="Arial" w:hAnsi="Arial" w:cs="Arial"/>
                <w:b/>
                <w:bCs w:val="0"/>
                <w:color w:val="000000"/>
                <w:sz w:val="16"/>
                <w:szCs w:val="16"/>
              </w:rPr>
            </w:pPr>
            <w:r>
              <w:rPr>
                <w:rFonts w:ascii="Arial" w:hAnsi="Arial" w:cs="Arial"/>
                <w:b/>
                <w:bCs w:val="0"/>
                <w:color w:val="000000"/>
                <w:sz w:val="16"/>
                <w:szCs w:val="16"/>
              </w:rPr>
              <w:t> </w:t>
            </w:r>
          </w:p>
        </w:tc>
        <w:tc>
          <w:tcPr>
            <w:tcW w:w="1511" w:type="dxa"/>
            <w:gridSpan w:val="3"/>
            <w:tcBorders>
              <w:top w:val="single" w:sz="6" w:space="0" w:color="00467E"/>
              <w:left w:val="nil"/>
              <w:bottom w:val="single" w:sz="6" w:space="0" w:color="000000"/>
              <w:right w:val="nil"/>
            </w:tcBorders>
            <w:vAlign w:val="center"/>
          </w:tcPr>
          <w:p w:rsidR="0073298C" w:rsidRDefault="0073298C" w:rsidP="0073298C">
            <w:pPr>
              <w:spacing w:before="22" w:after="22"/>
              <w:ind w:left="22" w:right="22"/>
              <w:jc w:val="center"/>
              <w:rPr>
                <w:rFonts w:ascii="Arial" w:hAnsi="Arial" w:cs="Arial"/>
                <w:b/>
                <w:bCs w:val="0"/>
                <w:color w:val="000000"/>
                <w:sz w:val="14"/>
                <w:szCs w:val="14"/>
              </w:rPr>
            </w:pPr>
            <w:r>
              <w:rPr>
                <w:rFonts w:ascii="Arial" w:hAnsi="Arial" w:cs="Arial"/>
                <w:b/>
                <w:bCs w:val="0"/>
                <w:color w:val="000000"/>
                <w:sz w:val="14"/>
                <w:szCs w:val="14"/>
              </w:rPr>
              <w:t>2017</w:t>
            </w:r>
          </w:p>
        </w:tc>
        <w:tc>
          <w:tcPr>
            <w:tcW w:w="103" w:type="dxa"/>
            <w:tcBorders>
              <w:top w:val="single" w:sz="6" w:space="0" w:color="00467E"/>
              <w:left w:val="nil"/>
              <w:bottom w:val="nil"/>
              <w:right w:val="nil"/>
            </w:tcBorders>
            <w:vAlign w:val="bottom"/>
          </w:tcPr>
          <w:p w:rsidR="0073298C" w:rsidRDefault="0073298C" w:rsidP="0073298C">
            <w:pPr>
              <w:spacing w:before="22" w:after="22"/>
              <w:ind w:left="22" w:right="22"/>
              <w:rPr>
                <w:color w:val="000000"/>
              </w:rPr>
            </w:pPr>
            <w:r>
              <w:rPr>
                <w:color w:val="000000"/>
              </w:rPr>
              <w:t> </w:t>
            </w:r>
          </w:p>
        </w:tc>
        <w:tc>
          <w:tcPr>
            <w:tcW w:w="1511" w:type="dxa"/>
            <w:gridSpan w:val="3"/>
            <w:tcBorders>
              <w:top w:val="single" w:sz="6" w:space="0" w:color="00467E"/>
              <w:left w:val="nil"/>
              <w:bottom w:val="single" w:sz="6" w:space="0" w:color="000000"/>
              <w:right w:val="nil"/>
            </w:tcBorders>
            <w:vAlign w:val="center"/>
          </w:tcPr>
          <w:p w:rsidR="0073298C" w:rsidRDefault="0073298C" w:rsidP="0073298C">
            <w:pPr>
              <w:spacing w:before="22" w:after="22"/>
              <w:ind w:left="22" w:right="22"/>
              <w:jc w:val="center"/>
              <w:rPr>
                <w:rFonts w:ascii="Arial" w:hAnsi="Arial" w:cs="Arial"/>
                <w:b/>
                <w:bCs w:val="0"/>
                <w:color w:val="000000"/>
                <w:sz w:val="14"/>
                <w:szCs w:val="14"/>
              </w:rPr>
            </w:pPr>
            <w:r>
              <w:rPr>
                <w:rFonts w:ascii="Arial" w:hAnsi="Arial" w:cs="Arial"/>
                <w:b/>
                <w:bCs w:val="0"/>
                <w:color w:val="000000"/>
                <w:sz w:val="14"/>
                <w:szCs w:val="14"/>
              </w:rPr>
              <w:t>2016</w:t>
            </w:r>
          </w:p>
        </w:tc>
        <w:tc>
          <w:tcPr>
            <w:tcW w:w="103" w:type="dxa"/>
            <w:tcBorders>
              <w:top w:val="single" w:sz="6" w:space="0" w:color="00467E"/>
              <w:left w:val="nil"/>
              <w:bottom w:val="nil"/>
              <w:right w:val="nil"/>
            </w:tcBorders>
            <w:vAlign w:val="bottom"/>
          </w:tcPr>
          <w:p w:rsidR="0073298C" w:rsidRDefault="0073298C" w:rsidP="0073298C">
            <w:pPr>
              <w:spacing w:before="22" w:after="22"/>
              <w:ind w:left="22" w:right="22"/>
              <w:rPr>
                <w:color w:val="000000"/>
              </w:rPr>
            </w:pPr>
            <w:r>
              <w:rPr>
                <w:color w:val="000000"/>
              </w:rPr>
              <w:t> </w:t>
            </w:r>
          </w:p>
        </w:tc>
        <w:tc>
          <w:tcPr>
            <w:tcW w:w="1514" w:type="dxa"/>
            <w:gridSpan w:val="3"/>
            <w:tcBorders>
              <w:top w:val="single" w:sz="6" w:space="0" w:color="00467E"/>
              <w:left w:val="nil"/>
              <w:bottom w:val="single" w:sz="6" w:space="0" w:color="000000"/>
              <w:right w:val="nil"/>
            </w:tcBorders>
            <w:vAlign w:val="center"/>
          </w:tcPr>
          <w:p w:rsidR="0073298C" w:rsidRDefault="0073298C" w:rsidP="0073298C">
            <w:pPr>
              <w:spacing w:before="22" w:after="22"/>
              <w:ind w:left="22" w:right="22"/>
              <w:jc w:val="center"/>
              <w:rPr>
                <w:rFonts w:ascii="Arial" w:hAnsi="Arial" w:cs="Arial"/>
                <w:b/>
                <w:bCs w:val="0"/>
                <w:color w:val="000000"/>
                <w:sz w:val="14"/>
                <w:szCs w:val="14"/>
              </w:rPr>
            </w:pPr>
            <w:r>
              <w:rPr>
                <w:rFonts w:ascii="Arial" w:hAnsi="Arial" w:cs="Arial"/>
                <w:b/>
                <w:bCs w:val="0"/>
                <w:color w:val="000000"/>
                <w:sz w:val="14"/>
                <w:szCs w:val="14"/>
              </w:rPr>
              <w:t>2015</w:t>
            </w:r>
          </w:p>
        </w:tc>
        <w:tc>
          <w:tcPr>
            <w:tcW w:w="103" w:type="dxa"/>
            <w:tcBorders>
              <w:top w:val="single" w:sz="6" w:space="0" w:color="00467E"/>
              <w:left w:val="nil"/>
              <w:bottom w:val="nil"/>
              <w:right w:val="nil"/>
            </w:tcBorders>
            <w:shd w:val="clear" w:color="00467E" w:fill="00467E"/>
            <w:vAlign w:val="bottom"/>
          </w:tcPr>
          <w:p w:rsidR="0073298C" w:rsidRDefault="0073298C" w:rsidP="0073298C">
            <w:pPr>
              <w:spacing w:before="22" w:after="22"/>
              <w:ind w:left="22" w:right="22"/>
              <w:rPr>
                <w:color w:val="000000"/>
              </w:rPr>
            </w:pPr>
            <w:r>
              <w:rPr>
                <w:color w:val="000000"/>
              </w:rPr>
              <w:t> </w:t>
            </w:r>
          </w:p>
        </w:tc>
        <w:tc>
          <w:tcPr>
            <w:tcW w:w="1369" w:type="dxa"/>
            <w:gridSpan w:val="2"/>
            <w:tcBorders>
              <w:top w:val="single" w:sz="6" w:space="0" w:color="00467E"/>
              <w:left w:val="nil"/>
              <w:bottom w:val="single" w:sz="6" w:space="0" w:color="000000"/>
              <w:right w:val="nil"/>
            </w:tcBorders>
            <w:vAlign w:val="center"/>
          </w:tcPr>
          <w:p w:rsidR="0073298C" w:rsidRDefault="0073298C" w:rsidP="0073298C">
            <w:pPr>
              <w:spacing w:before="22" w:after="22"/>
              <w:ind w:left="22" w:right="22"/>
              <w:jc w:val="center"/>
              <w:rPr>
                <w:rFonts w:ascii="Arial" w:hAnsi="Arial" w:cs="Arial"/>
                <w:b/>
                <w:bCs w:val="0"/>
                <w:color w:val="000000"/>
                <w:sz w:val="14"/>
                <w:szCs w:val="14"/>
              </w:rPr>
            </w:pPr>
            <w:r>
              <w:rPr>
                <w:rFonts w:ascii="Arial" w:hAnsi="Arial" w:cs="Arial"/>
                <w:b/>
                <w:bCs w:val="0"/>
                <w:color w:val="000000"/>
                <w:sz w:val="14"/>
                <w:szCs w:val="14"/>
              </w:rPr>
              <w:t>2017 vs. 2016</w:t>
            </w:r>
          </w:p>
        </w:tc>
        <w:tc>
          <w:tcPr>
            <w:tcW w:w="103" w:type="dxa"/>
            <w:tcBorders>
              <w:top w:val="single" w:sz="6" w:space="0" w:color="00467E"/>
              <w:left w:val="nil"/>
              <w:bottom w:val="nil"/>
              <w:right w:val="nil"/>
            </w:tcBorders>
            <w:vAlign w:val="bottom"/>
          </w:tcPr>
          <w:p w:rsidR="0073298C" w:rsidRDefault="0073298C" w:rsidP="0073298C">
            <w:pPr>
              <w:spacing w:before="22" w:after="22"/>
              <w:ind w:left="22" w:right="22"/>
              <w:rPr>
                <w:color w:val="000000"/>
              </w:rPr>
            </w:pPr>
            <w:r>
              <w:rPr>
                <w:color w:val="000000"/>
              </w:rPr>
              <w:t> </w:t>
            </w:r>
          </w:p>
        </w:tc>
        <w:tc>
          <w:tcPr>
            <w:tcW w:w="1328" w:type="dxa"/>
            <w:gridSpan w:val="2"/>
            <w:tcBorders>
              <w:top w:val="single" w:sz="6" w:space="0" w:color="00467E"/>
              <w:left w:val="nil"/>
              <w:bottom w:val="single" w:sz="6" w:space="0" w:color="000000"/>
              <w:right w:val="single" w:sz="6" w:space="0" w:color="00467E"/>
            </w:tcBorders>
            <w:vAlign w:val="center"/>
          </w:tcPr>
          <w:p w:rsidR="0073298C" w:rsidRDefault="0073298C" w:rsidP="0073298C">
            <w:pPr>
              <w:spacing w:before="22" w:after="22"/>
              <w:ind w:left="22" w:right="22"/>
              <w:jc w:val="center"/>
              <w:rPr>
                <w:rFonts w:ascii="Arial" w:hAnsi="Arial" w:cs="Arial"/>
                <w:b/>
                <w:bCs w:val="0"/>
                <w:color w:val="000000"/>
                <w:sz w:val="14"/>
                <w:szCs w:val="14"/>
              </w:rPr>
            </w:pPr>
            <w:r>
              <w:rPr>
                <w:rFonts w:ascii="Arial" w:hAnsi="Arial" w:cs="Arial"/>
                <w:b/>
                <w:bCs w:val="0"/>
                <w:color w:val="000000"/>
                <w:sz w:val="14"/>
                <w:szCs w:val="14"/>
              </w:rPr>
              <w:t>2016 vs. 2015</w:t>
            </w:r>
          </w:p>
        </w:tc>
      </w:tr>
      <w:tr w:rsidR="0073298C" w:rsidTr="000E3B20">
        <w:tblPrEx>
          <w:tblCellMar>
            <w:top w:w="0" w:type="dxa"/>
            <w:left w:w="0" w:type="dxa"/>
            <w:bottom w:w="0" w:type="dxa"/>
            <w:right w:w="0" w:type="dxa"/>
          </w:tblCellMar>
        </w:tblPrEx>
        <w:trPr>
          <w:trHeight w:val="298"/>
        </w:trPr>
        <w:tc>
          <w:tcPr>
            <w:tcW w:w="3158" w:type="dxa"/>
            <w:tcBorders>
              <w:top w:val="nil"/>
              <w:left w:val="single" w:sz="6" w:space="0" w:color="00467E"/>
              <w:bottom w:val="nil"/>
              <w:right w:val="nil"/>
            </w:tcBorders>
            <w:vAlign w:val="bottom"/>
          </w:tcPr>
          <w:p w:rsidR="0073298C" w:rsidRDefault="0073298C" w:rsidP="0073298C">
            <w:pPr>
              <w:spacing w:before="22" w:after="22"/>
              <w:ind w:left="22" w:right="22"/>
              <w:rPr>
                <w:color w:val="000000"/>
              </w:rPr>
            </w:pPr>
            <w:r>
              <w:rPr>
                <w:color w:val="000000"/>
              </w:rPr>
              <w:t> </w:t>
            </w:r>
          </w:p>
        </w:tc>
        <w:tc>
          <w:tcPr>
            <w:tcW w:w="4742" w:type="dxa"/>
            <w:gridSpan w:val="11"/>
            <w:tcBorders>
              <w:top w:val="nil"/>
              <w:left w:val="nil"/>
              <w:bottom w:val="single" w:sz="6" w:space="0" w:color="000000"/>
              <w:right w:val="nil"/>
            </w:tcBorders>
            <w:vAlign w:val="center"/>
          </w:tcPr>
          <w:p w:rsidR="0073298C" w:rsidRDefault="0073298C" w:rsidP="0073298C">
            <w:pPr>
              <w:spacing w:before="22" w:after="22"/>
              <w:ind w:left="22"/>
              <w:jc w:val="center"/>
              <w:rPr>
                <w:rFonts w:ascii="Arial" w:hAnsi="Arial" w:cs="Arial"/>
                <w:b/>
                <w:bCs w:val="0"/>
                <w:color w:val="000000"/>
                <w:sz w:val="14"/>
                <w:szCs w:val="14"/>
              </w:rPr>
            </w:pPr>
            <w:r>
              <w:rPr>
                <w:rFonts w:ascii="Arial" w:hAnsi="Arial" w:cs="Arial"/>
                <w:b/>
                <w:bCs w:val="0"/>
                <w:color w:val="000000"/>
                <w:sz w:val="14"/>
                <w:szCs w:val="14"/>
              </w:rPr>
              <w:t>(Dollars in thousands)</w:t>
            </w:r>
          </w:p>
        </w:tc>
        <w:tc>
          <w:tcPr>
            <w:tcW w:w="103" w:type="dxa"/>
            <w:tcBorders>
              <w:top w:val="single" w:sz="6" w:space="0" w:color="00467E"/>
              <w:left w:val="nil"/>
              <w:bottom w:val="nil"/>
              <w:right w:val="nil"/>
            </w:tcBorders>
            <w:shd w:val="clear" w:color="00467E" w:fill="00467E"/>
            <w:vAlign w:val="bottom"/>
          </w:tcPr>
          <w:p w:rsidR="0073298C" w:rsidRDefault="0073298C" w:rsidP="0073298C">
            <w:pPr>
              <w:spacing w:before="22" w:after="22"/>
              <w:ind w:left="22" w:right="22"/>
              <w:rPr>
                <w:color w:val="000000"/>
              </w:rPr>
            </w:pPr>
            <w:r>
              <w:rPr>
                <w:color w:val="000000"/>
              </w:rPr>
              <w:t> </w:t>
            </w:r>
          </w:p>
        </w:tc>
        <w:tc>
          <w:tcPr>
            <w:tcW w:w="2800" w:type="dxa"/>
            <w:gridSpan w:val="5"/>
            <w:tcBorders>
              <w:top w:val="nil"/>
              <w:left w:val="nil"/>
              <w:bottom w:val="single" w:sz="6" w:space="0" w:color="000000"/>
              <w:right w:val="single" w:sz="6" w:space="0" w:color="00467E"/>
            </w:tcBorders>
            <w:vAlign w:val="center"/>
          </w:tcPr>
          <w:p w:rsidR="0073298C" w:rsidRDefault="0073298C" w:rsidP="0073298C">
            <w:pPr>
              <w:spacing w:before="22" w:after="22"/>
              <w:ind w:left="22"/>
              <w:jc w:val="center"/>
              <w:rPr>
                <w:rFonts w:ascii="Arial" w:hAnsi="Arial" w:cs="Arial"/>
                <w:b/>
                <w:bCs w:val="0"/>
                <w:color w:val="000000"/>
                <w:sz w:val="14"/>
                <w:szCs w:val="14"/>
              </w:rPr>
            </w:pPr>
            <w:r>
              <w:rPr>
                <w:rFonts w:ascii="Arial" w:hAnsi="Arial" w:cs="Arial"/>
                <w:b/>
                <w:bCs w:val="0"/>
                <w:color w:val="000000"/>
                <w:sz w:val="14"/>
                <w:szCs w:val="14"/>
              </w:rPr>
              <w:t>Increase (decrease)</w:t>
            </w:r>
          </w:p>
        </w:tc>
      </w:tr>
      <w:tr w:rsidR="0073298C" w:rsidTr="000E3B20">
        <w:tblPrEx>
          <w:tblCellMar>
            <w:top w:w="0" w:type="dxa"/>
            <w:left w:w="0" w:type="dxa"/>
            <w:bottom w:w="0" w:type="dxa"/>
            <w:right w:w="0" w:type="dxa"/>
          </w:tblCellMar>
        </w:tblPrEx>
        <w:trPr>
          <w:trHeight w:val="298"/>
        </w:trPr>
        <w:tc>
          <w:tcPr>
            <w:tcW w:w="3158" w:type="dxa"/>
            <w:tcBorders>
              <w:top w:val="nil"/>
              <w:left w:val="single" w:sz="6" w:space="0" w:color="00467E"/>
              <w:bottom w:val="nil"/>
              <w:right w:val="nil"/>
            </w:tcBorders>
            <w:shd w:val="clear" w:color="CFD4D8" w:fill="CFD4D8"/>
            <w:vAlign w:val="center"/>
          </w:tcPr>
          <w:p w:rsidR="0073298C" w:rsidRDefault="0073298C" w:rsidP="0073298C">
            <w:pPr>
              <w:spacing w:before="22" w:after="22"/>
              <w:ind w:left="22" w:right="22"/>
              <w:rPr>
                <w:rFonts w:ascii="Arial" w:hAnsi="Arial" w:cs="Arial"/>
                <w:b/>
                <w:bCs w:val="0"/>
                <w:i/>
                <w:iCs/>
                <w:color w:val="9D1B11"/>
                <w:sz w:val="18"/>
                <w:szCs w:val="18"/>
              </w:rPr>
            </w:pPr>
            <w:r>
              <w:rPr>
                <w:rFonts w:ascii="Arial" w:hAnsi="Arial" w:cs="Arial"/>
                <w:b/>
                <w:bCs w:val="0"/>
                <w:i/>
                <w:iCs/>
                <w:color w:val="9D1B11"/>
                <w:sz w:val="18"/>
                <w:szCs w:val="18"/>
              </w:rPr>
              <w:t>Operating taxes and licenses</w:t>
            </w:r>
          </w:p>
        </w:tc>
        <w:tc>
          <w:tcPr>
            <w:tcW w:w="120" w:type="dxa"/>
            <w:tcBorders>
              <w:top w:val="nil"/>
              <w:left w:val="nil"/>
              <w:bottom w:val="nil"/>
              <w:right w:val="nil"/>
            </w:tcBorders>
            <w:shd w:val="clear" w:color="CFD4D8" w:fill="CFD4D8"/>
            <w:vAlign w:val="center"/>
          </w:tcPr>
          <w:p w:rsidR="0073298C" w:rsidRDefault="0073298C" w:rsidP="0073298C">
            <w:pPr>
              <w:spacing w:before="22" w:after="22"/>
              <w:ind w:left="22"/>
              <w:rPr>
                <w:rFonts w:ascii="Arial" w:hAnsi="Arial" w:cs="Arial"/>
                <w:color w:val="000000"/>
                <w:sz w:val="18"/>
                <w:szCs w:val="18"/>
              </w:rPr>
            </w:pPr>
            <w:r>
              <w:rPr>
                <w:rFonts w:ascii="Arial" w:hAnsi="Arial" w:cs="Arial"/>
                <w:color w:val="000000"/>
                <w:sz w:val="18"/>
                <w:szCs w:val="18"/>
              </w:rPr>
              <w:t>$</w:t>
            </w:r>
          </w:p>
        </w:tc>
        <w:tc>
          <w:tcPr>
            <w:tcW w:w="1211" w:type="dxa"/>
            <w:tcBorders>
              <w:top w:val="nil"/>
              <w:left w:val="nil"/>
              <w:bottom w:val="nil"/>
              <w:right w:val="nil"/>
            </w:tcBorders>
            <w:shd w:val="clear" w:color="CFD4D8" w:fill="CFD4D8"/>
            <w:vAlign w:val="center"/>
          </w:tcPr>
          <w:p w:rsidR="0073298C" w:rsidRDefault="0073298C" w:rsidP="0073298C">
            <w:pPr>
              <w:spacing w:before="22" w:after="22"/>
              <w:jc w:val="right"/>
              <w:rPr>
                <w:rFonts w:ascii="Arial" w:hAnsi="Arial" w:cs="Arial"/>
                <w:color w:val="000000"/>
                <w:sz w:val="18"/>
                <w:szCs w:val="18"/>
              </w:rPr>
            </w:pPr>
            <w:r>
              <w:rPr>
                <w:rFonts w:ascii="Arial" w:hAnsi="Arial" w:cs="Arial"/>
                <w:color w:val="000000"/>
                <w:sz w:val="18"/>
                <w:szCs w:val="18"/>
              </w:rPr>
              <w:t>40,544</w:t>
            </w:r>
          </w:p>
        </w:tc>
        <w:tc>
          <w:tcPr>
            <w:tcW w:w="180" w:type="dxa"/>
            <w:tcBorders>
              <w:top w:val="nil"/>
              <w:left w:val="nil"/>
              <w:bottom w:val="nil"/>
              <w:right w:val="nil"/>
            </w:tcBorders>
            <w:shd w:val="clear" w:color="CFD4D8" w:fill="CFD4D8"/>
            <w:vAlign w:val="bottom"/>
          </w:tcPr>
          <w:p w:rsidR="0073298C" w:rsidRDefault="0073298C" w:rsidP="0073298C">
            <w:pPr>
              <w:spacing w:before="22" w:after="22"/>
              <w:jc w:val="right"/>
              <w:rPr>
                <w:rFonts w:ascii="Arial" w:hAnsi="Arial" w:cs="Arial"/>
                <w:color w:val="000000"/>
                <w:sz w:val="18"/>
                <w:szCs w:val="18"/>
              </w:rPr>
            </w:pPr>
          </w:p>
          <w:p w:rsidR="0073298C" w:rsidRDefault="0073298C" w:rsidP="0073298C">
            <w:pPr>
              <w:rPr>
                <w:sz w:val="16"/>
                <w:szCs w:val="16"/>
              </w:rPr>
            </w:pPr>
            <w:r>
              <w:rPr>
                <w:sz w:val="16"/>
                <w:szCs w:val="16"/>
              </w:rPr>
              <w:t> </w:t>
            </w:r>
          </w:p>
        </w:tc>
        <w:tc>
          <w:tcPr>
            <w:tcW w:w="103" w:type="dxa"/>
            <w:tcBorders>
              <w:top w:val="nil"/>
              <w:left w:val="nil"/>
              <w:bottom w:val="nil"/>
              <w:right w:val="nil"/>
            </w:tcBorders>
            <w:shd w:val="clear" w:color="CFD4D8" w:fill="CFD4D8"/>
            <w:vAlign w:val="bottom"/>
          </w:tcPr>
          <w:p w:rsidR="0073298C" w:rsidRDefault="0073298C" w:rsidP="0073298C">
            <w:pPr>
              <w:spacing w:before="22" w:after="22"/>
              <w:ind w:left="22" w:right="22"/>
              <w:rPr>
                <w:color w:val="000000"/>
              </w:rPr>
            </w:pPr>
            <w:r>
              <w:rPr>
                <w:color w:val="000000"/>
              </w:rPr>
              <w:t> </w:t>
            </w:r>
          </w:p>
        </w:tc>
        <w:tc>
          <w:tcPr>
            <w:tcW w:w="120" w:type="dxa"/>
            <w:tcBorders>
              <w:top w:val="nil"/>
              <w:left w:val="nil"/>
              <w:bottom w:val="nil"/>
              <w:right w:val="nil"/>
            </w:tcBorders>
            <w:shd w:val="clear" w:color="CFD4D8" w:fill="CFD4D8"/>
            <w:vAlign w:val="center"/>
          </w:tcPr>
          <w:p w:rsidR="0073298C" w:rsidRDefault="0073298C" w:rsidP="0073298C">
            <w:pPr>
              <w:spacing w:before="22" w:after="22"/>
              <w:ind w:left="22"/>
              <w:rPr>
                <w:rFonts w:ascii="Arial" w:hAnsi="Arial" w:cs="Arial"/>
                <w:color w:val="000000"/>
                <w:sz w:val="18"/>
                <w:szCs w:val="18"/>
              </w:rPr>
            </w:pPr>
            <w:r>
              <w:rPr>
                <w:rFonts w:ascii="Arial" w:hAnsi="Arial" w:cs="Arial"/>
                <w:color w:val="000000"/>
                <w:sz w:val="18"/>
                <w:szCs w:val="18"/>
              </w:rPr>
              <w:t>$</w:t>
            </w:r>
          </w:p>
        </w:tc>
        <w:tc>
          <w:tcPr>
            <w:tcW w:w="1211" w:type="dxa"/>
            <w:tcBorders>
              <w:top w:val="nil"/>
              <w:left w:val="nil"/>
              <w:bottom w:val="nil"/>
              <w:right w:val="nil"/>
            </w:tcBorders>
            <w:shd w:val="clear" w:color="CFD4D8" w:fill="CFD4D8"/>
            <w:vAlign w:val="center"/>
          </w:tcPr>
          <w:p w:rsidR="0073298C" w:rsidRDefault="0073298C" w:rsidP="0073298C">
            <w:pPr>
              <w:spacing w:before="22" w:after="22"/>
              <w:jc w:val="right"/>
              <w:rPr>
                <w:rFonts w:ascii="Arial" w:hAnsi="Arial" w:cs="Arial"/>
                <w:color w:val="000000"/>
                <w:sz w:val="18"/>
                <w:szCs w:val="18"/>
              </w:rPr>
            </w:pPr>
            <w:r>
              <w:rPr>
                <w:rFonts w:ascii="Arial" w:hAnsi="Arial" w:cs="Arial"/>
                <w:color w:val="000000"/>
                <w:sz w:val="18"/>
                <w:szCs w:val="18"/>
              </w:rPr>
              <w:t>18,728</w:t>
            </w:r>
          </w:p>
        </w:tc>
        <w:tc>
          <w:tcPr>
            <w:tcW w:w="180" w:type="dxa"/>
            <w:tcBorders>
              <w:top w:val="nil"/>
              <w:left w:val="nil"/>
              <w:bottom w:val="nil"/>
              <w:right w:val="nil"/>
            </w:tcBorders>
            <w:shd w:val="clear" w:color="CFD4D8" w:fill="CFD4D8"/>
            <w:vAlign w:val="bottom"/>
          </w:tcPr>
          <w:p w:rsidR="0073298C" w:rsidRDefault="0073298C" w:rsidP="0073298C">
            <w:pPr>
              <w:spacing w:before="22" w:after="22"/>
              <w:jc w:val="right"/>
              <w:rPr>
                <w:rFonts w:ascii="Arial" w:hAnsi="Arial" w:cs="Arial"/>
                <w:color w:val="000000"/>
                <w:sz w:val="18"/>
                <w:szCs w:val="18"/>
              </w:rPr>
            </w:pPr>
          </w:p>
          <w:p w:rsidR="0073298C" w:rsidRDefault="0073298C" w:rsidP="0073298C">
            <w:pPr>
              <w:rPr>
                <w:sz w:val="16"/>
                <w:szCs w:val="16"/>
              </w:rPr>
            </w:pPr>
            <w:r>
              <w:rPr>
                <w:sz w:val="16"/>
                <w:szCs w:val="16"/>
              </w:rPr>
              <w:t> </w:t>
            </w:r>
          </w:p>
        </w:tc>
        <w:tc>
          <w:tcPr>
            <w:tcW w:w="103" w:type="dxa"/>
            <w:tcBorders>
              <w:top w:val="nil"/>
              <w:left w:val="nil"/>
              <w:bottom w:val="nil"/>
              <w:right w:val="nil"/>
            </w:tcBorders>
            <w:shd w:val="clear" w:color="CFD4D8" w:fill="CFD4D8"/>
            <w:vAlign w:val="bottom"/>
          </w:tcPr>
          <w:p w:rsidR="0073298C" w:rsidRDefault="0073298C" w:rsidP="0073298C">
            <w:pPr>
              <w:spacing w:before="22" w:after="22"/>
              <w:ind w:left="22" w:right="22"/>
              <w:rPr>
                <w:color w:val="000000"/>
              </w:rPr>
            </w:pPr>
            <w:r>
              <w:rPr>
                <w:color w:val="000000"/>
              </w:rPr>
              <w:t> </w:t>
            </w:r>
          </w:p>
        </w:tc>
        <w:tc>
          <w:tcPr>
            <w:tcW w:w="120" w:type="dxa"/>
            <w:tcBorders>
              <w:top w:val="nil"/>
              <w:left w:val="nil"/>
              <w:bottom w:val="nil"/>
              <w:right w:val="nil"/>
            </w:tcBorders>
            <w:shd w:val="clear" w:color="CFD4D8" w:fill="CFD4D8"/>
            <w:vAlign w:val="center"/>
          </w:tcPr>
          <w:p w:rsidR="0073298C" w:rsidRDefault="0073298C" w:rsidP="0073298C">
            <w:pPr>
              <w:spacing w:before="22" w:after="22"/>
              <w:ind w:left="22"/>
              <w:rPr>
                <w:rFonts w:ascii="Arial" w:hAnsi="Arial" w:cs="Arial"/>
                <w:color w:val="000000"/>
                <w:sz w:val="18"/>
                <w:szCs w:val="18"/>
              </w:rPr>
            </w:pPr>
            <w:r>
              <w:rPr>
                <w:rFonts w:ascii="Arial" w:hAnsi="Arial" w:cs="Arial"/>
                <w:color w:val="000000"/>
                <w:sz w:val="18"/>
                <w:szCs w:val="18"/>
              </w:rPr>
              <w:t>$</w:t>
            </w:r>
          </w:p>
        </w:tc>
        <w:tc>
          <w:tcPr>
            <w:tcW w:w="1211" w:type="dxa"/>
            <w:tcBorders>
              <w:top w:val="nil"/>
              <w:left w:val="nil"/>
              <w:bottom w:val="nil"/>
              <w:right w:val="nil"/>
            </w:tcBorders>
            <w:shd w:val="clear" w:color="CFD4D8" w:fill="CFD4D8"/>
            <w:vAlign w:val="center"/>
          </w:tcPr>
          <w:p w:rsidR="0073298C" w:rsidRDefault="0073298C" w:rsidP="0073298C">
            <w:pPr>
              <w:spacing w:before="22" w:after="22"/>
              <w:jc w:val="right"/>
              <w:rPr>
                <w:rFonts w:ascii="Arial" w:hAnsi="Arial" w:cs="Arial"/>
                <w:color w:val="000000"/>
                <w:sz w:val="18"/>
                <w:szCs w:val="18"/>
              </w:rPr>
            </w:pPr>
            <w:r>
              <w:rPr>
                <w:rFonts w:ascii="Arial" w:hAnsi="Arial" w:cs="Arial"/>
                <w:color w:val="000000"/>
                <w:sz w:val="18"/>
                <w:szCs w:val="18"/>
              </w:rPr>
              <w:t>18,911</w:t>
            </w:r>
          </w:p>
        </w:tc>
        <w:tc>
          <w:tcPr>
            <w:tcW w:w="183" w:type="dxa"/>
            <w:tcBorders>
              <w:top w:val="nil"/>
              <w:left w:val="nil"/>
              <w:bottom w:val="nil"/>
              <w:right w:val="nil"/>
            </w:tcBorders>
            <w:shd w:val="clear" w:color="CFD4D8" w:fill="CFD4D8"/>
            <w:vAlign w:val="bottom"/>
          </w:tcPr>
          <w:p w:rsidR="0073298C" w:rsidRDefault="0073298C" w:rsidP="0073298C">
            <w:pPr>
              <w:spacing w:before="22" w:after="22"/>
              <w:jc w:val="right"/>
              <w:rPr>
                <w:rFonts w:ascii="Arial" w:hAnsi="Arial" w:cs="Arial"/>
                <w:color w:val="000000"/>
                <w:sz w:val="18"/>
                <w:szCs w:val="18"/>
              </w:rPr>
            </w:pPr>
          </w:p>
          <w:p w:rsidR="0073298C" w:rsidRDefault="0073298C" w:rsidP="0073298C">
            <w:pPr>
              <w:rPr>
                <w:sz w:val="16"/>
                <w:szCs w:val="16"/>
              </w:rPr>
            </w:pPr>
            <w:r>
              <w:rPr>
                <w:sz w:val="16"/>
                <w:szCs w:val="16"/>
              </w:rPr>
              <w:t> </w:t>
            </w:r>
          </w:p>
        </w:tc>
        <w:tc>
          <w:tcPr>
            <w:tcW w:w="103" w:type="dxa"/>
            <w:tcBorders>
              <w:top w:val="single" w:sz="6" w:space="0" w:color="00467E"/>
              <w:left w:val="nil"/>
              <w:bottom w:val="nil"/>
              <w:right w:val="nil"/>
            </w:tcBorders>
            <w:shd w:val="clear" w:color="00467E" w:fill="00467E"/>
            <w:vAlign w:val="bottom"/>
          </w:tcPr>
          <w:p w:rsidR="0073298C" w:rsidRDefault="0073298C" w:rsidP="0073298C">
            <w:pPr>
              <w:spacing w:before="22" w:after="22"/>
              <w:ind w:left="22" w:right="22"/>
              <w:rPr>
                <w:color w:val="000000"/>
              </w:rPr>
            </w:pPr>
            <w:r>
              <w:rPr>
                <w:color w:val="000000"/>
              </w:rPr>
              <w:t> </w:t>
            </w:r>
          </w:p>
        </w:tc>
        <w:tc>
          <w:tcPr>
            <w:tcW w:w="1009" w:type="dxa"/>
            <w:tcBorders>
              <w:top w:val="single" w:sz="6" w:space="0" w:color="000000"/>
              <w:left w:val="nil"/>
              <w:bottom w:val="nil"/>
              <w:right w:val="nil"/>
            </w:tcBorders>
            <w:shd w:val="clear" w:color="CFD4D8" w:fill="CFD4D8"/>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116.5</w:t>
            </w:r>
          </w:p>
        </w:tc>
        <w:tc>
          <w:tcPr>
            <w:tcW w:w="360" w:type="dxa"/>
            <w:tcBorders>
              <w:top w:val="single" w:sz="6" w:space="0" w:color="000000"/>
              <w:left w:val="nil"/>
              <w:bottom w:val="nil"/>
              <w:right w:val="nil"/>
            </w:tcBorders>
            <w:shd w:val="clear" w:color="CFD4D8" w:fill="CFD4D8"/>
            <w:vAlign w:val="center"/>
          </w:tcPr>
          <w:p w:rsidR="0073298C" w:rsidRDefault="0073298C" w:rsidP="0073298C">
            <w:pPr>
              <w:spacing w:before="22" w:after="22"/>
              <w:ind w:right="22"/>
              <w:rPr>
                <w:rFonts w:ascii="Arial" w:hAnsi="Arial" w:cs="Arial"/>
                <w:color w:val="000000"/>
                <w:sz w:val="18"/>
                <w:szCs w:val="18"/>
              </w:rPr>
            </w:pPr>
            <w:r>
              <w:rPr>
                <w:rFonts w:ascii="Arial" w:hAnsi="Arial" w:cs="Arial"/>
                <w:color w:val="000000"/>
                <w:sz w:val="18"/>
                <w:szCs w:val="18"/>
              </w:rPr>
              <w:t> %</w:t>
            </w:r>
          </w:p>
        </w:tc>
        <w:tc>
          <w:tcPr>
            <w:tcW w:w="103" w:type="dxa"/>
            <w:tcBorders>
              <w:top w:val="single" w:sz="6" w:space="0" w:color="000000"/>
              <w:left w:val="nil"/>
              <w:bottom w:val="nil"/>
              <w:right w:val="nil"/>
            </w:tcBorders>
            <w:shd w:val="clear" w:color="CFD4D8" w:fill="CFD4D8"/>
            <w:vAlign w:val="bottom"/>
          </w:tcPr>
          <w:p w:rsidR="0073298C" w:rsidRDefault="0073298C" w:rsidP="0073298C">
            <w:pPr>
              <w:spacing w:before="22" w:after="22"/>
              <w:ind w:left="22" w:right="22"/>
              <w:rPr>
                <w:color w:val="000000"/>
              </w:rPr>
            </w:pPr>
            <w:r>
              <w:rPr>
                <w:color w:val="000000"/>
              </w:rPr>
              <w:t> </w:t>
            </w:r>
          </w:p>
        </w:tc>
        <w:tc>
          <w:tcPr>
            <w:tcW w:w="1032" w:type="dxa"/>
            <w:tcBorders>
              <w:top w:val="single" w:sz="6" w:space="0" w:color="000000"/>
              <w:left w:val="nil"/>
              <w:bottom w:val="nil"/>
              <w:right w:val="nil"/>
            </w:tcBorders>
            <w:shd w:val="clear" w:color="CFD4D8" w:fill="CFD4D8"/>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(1.0</w:t>
            </w:r>
          </w:p>
        </w:tc>
        <w:tc>
          <w:tcPr>
            <w:tcW w:w="296" w:type="dxa"/>
            <w:tcBorders>
              <w:top w:val="single" w:sz="6" w:space="0" w:color="000000"/>
              <w:left w:val="nil"/>
              <w:bottom w:val="nil"/>
              <w:right w:val="single" w:sz="6" w:space="0" w:color="00467E"/>
            </w:tcBorders>
            <w:shd w:val="clear" w:color="CFD4D8" w:fill="CFD4D8"/>
            <w:vAlign w:val="center"/>
          </w:tcPr>
          <w:p w:rsidR="0073298C" w:rsidRDefault="0073298C" w:rsidP="0073298C">
            <w:pPr>
              <w:spacing w:before="22" w:after="22"/>
              <w:ind w:right="22"/>
              <w:rPr>
                <w:rFonts w:ascii="Arial" w:hAnsi="Arial" w:cs="Arial"/>
                <w:color w:val="000000"/>
                <w:sz w:val="18"/>
                <w:szCs w:val="18"/>
              </w:rPr>
            </w:pPr>
            <w:r>
              <w:rPr>
                <w:rFonts w:ascii="Arial" w:hAnsi="Arial" w:cs="Arial"/>
                <w:color w:val="000000"/>
                <w:sz w:val="18"/>
                <w:szCs w:val="18"/>
              </w:rPr>
              <w:t> %)</w:t>
            </w:r>
          </w:p>
        </w:tc>
      </w:tr>
      <w:tr w:rsidR="0073298C" w:rsidTr="000E3B20">
        <w:tblPrEx>
          <w:tblCellMar>
            <w:top w:w="0" w:type="dxa"/>
            <w:left w:w="0" w:type="dxa"/>
            <w:bottom w:w="0" w:type="dxa"/>
            <w:right w:w="0" w:type="dxa"/>
          </w:tblCellMar>
        </w:tblPrEx>
        <w:trPr>
          <w:trHeight w:val="298"/>
        </w:trPr>
        <w:tc>
          <w:tcPr>
            <w:tcW w:w="3158" w:type="dxa"/>
            <w:tcBorders>
              <w:top w:val="nil"/>
              <w:left w:val="single" w:sz="6" w:space="0" w:color="00467E"/>
              <w:bottom w:val="nil"/>
              <w:right w:val="nil"/>
            </w:tcBorders>
            <w:vAlign w:val="center"/>
          </w:tcPr>
          <w:p w:rsidR="0073298C" w:rsidRDefault="0073298C" w:rsidP="0073298C">
            <w:pPr>
              <w:spacing w:before="22" w:after="22"/>
              <w:ind w:left="330" w:right="22"/>
              <w:rPr>
                <w:rFonts w:ascii="Arial" w:hAnsi="Arial" w:cs="Arial"/>
                <w:color w:val="000000"/>
                <w:sz w:val="18"/>
                <w:szCs w:val="18"/>
              </w:rPr>
            </w:pPr>
            <w:r>
              <w:rPr>
                <w:rFonts w:ascii="Arial" w:hAnsi="Arial" w:cs="Arial"/>
                <w:color w:val="000000"/>
                <w:sz w:val="18"/>
                <w:szCs w:val="18"/>
              </w:rPr>
              <w:t>% of total revenue</w:t>
            </w:r>
          </w:p>
        </w:tc>
        <w:tc>
          <w:tcPr>
            <w:tcW w:w="1331" w:type="dxa"/>
            <w:gridSpan w:val="2"/>
            <w:tcBorders>
              <w:top w:val="nil"/>
              <w:left w:val="nil"/>
              <w:bottom w:val="nil"/>
              <w:right w:val="nil"/>
            </w:tcBorders>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1.7</w:t>
            </w:r>
          </w:p>
        </w:tc>
        <w:tc>
          <w:tcPr>
            <w:tcW w:w="180" w:type="dxa"/>
            <w:tcBorders>
              <w:top w:val="nil"/>
              <w:left w:val="nil"/>
              <w:bottom w:val="nil"/>
              <w:right w:val="nil"/>
            </w:tcBorders>
            <w:vAlign w:val="center"/>
          </w:tcPr>
          <w:p w:rsidR="0073298C" w:rsidRDefault="0073298C" w:rsidP="0073298C">
            <w:pPr>
              <w:spacing w:before="22" w:after="22"/>
              <w:ind w:right="22"/>
              <w:rPr>
                <w:rFonts w:ascii="Arial" w:hAnsi="Arial" w:cs="Arial"/>
                <w:color w:val="000000"/>
                <w:sz w:val="18"/>
                <w:szCs w:val="18"/>
              </w:rPr>
            </w:pPr>
            <w:r>
              <w:rPr>
                <w:rFonts w:ascii="Arial" w:hAnsi="Arial" w:cs="Arial"/>
                <w:color w:val="000000"/>
                <w:sz w:val="18"/>
                <w:szCs w:val="18"/>
              </w:rPr>
              <w:t>%</w:t>
            </w:r>
          </w:p>
        </w:tc>
        <w:tc>
          <w:tcPr>
            <w:tcW w:w="103" w:type="dxa"/>
            <w:tcBorders>
              <w:top w:val="nil"/>
              <w:left w:val="nil"/>
              <w:bottom w:val="nil"/>
              <w:right w:val="nil"/>
            </w:tcBorders>
            <w:vAlign w:val="bottom"/>
          </w:tcPr>
          <w:p w:rsidR="0073298C" w:rsidRDefault="0073298C" w:rsidP="0073298C">
            <w:pPr>
              <w:spacing w:before="22" w:after="22"/>
              <w:ind w:left="22" w:right="22"/>
              <w:rPr>
                <w:color w:val="000000"/>
              </w:rPr>
            </w:pPr>
            <w:r>
              <w:rPr>
                <w:color w:val="000000"/>
              </w:rPr>
              <w:t> </w:t>
            </w:r>
          </w:p>
        </w:tc>
        <w:tc>
          <w:tcPr>
            <w:tcW w:w="1331" w:type="dxa"/>
            <w:gridSpan w:val="2"/>
            <w:tcBorders>
              <w:top w:val="nil"/>
              <w:left w:val="nil"/>
              <w:bottom w:val="nil"/>
              <w:right w:val="nil"/>
            </w:tcBorders>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1.6</w:t>
            </w:r>
          </w:p>
        </w:tc>
        <w:tc>
          <w:tcPr>
            <w:tcW w:w="180" w:type="dxa"/>
            <w:tcBorders>
              <w:top w:val="nil"/>
              <w:left w:val="nil"/>
              <w:bottom w:val="nil"/>
              <w:right w:val="nil"/>
            </w:tcBorders>
            <w:vAlign w:val="center"/>
          </w:tcPr>
          <w:p w:rsidR="0073298C" w:rsidRDefault="0073298C" w:rsidP="0073298C">
            <w:pPr>
              <w:spacing w:before="22" w:after="22"/>
              <w:ind w:right="22"/>
              <w:rPr>
                <w:rFonts w:ascii="Arial" w:hAnsi="Arial" w:cs="Arial"/>
                <w:color w:val="000000"/>
                <w:sz w:val="18"/>
                <w:szCs w:val="18"/>
              </w:rPr>
            </w:pPr>
            <w:r>
              <w:rPr>
                <w:rFonts w:ascii="Arial" w:hAnsi="Arial" w:cs="Arial"/>
                <w:color w:val="000000"/>
                <w:sz w:val="18"/>
                <w:szCs w:val="18"/>
              </w:rPr>
              <w:t>%</w:t>
            </w:r>
          </w:p>
        </w:tc>
        <w:tc>
          <w:tcPr>
            <w:tcW w:w="103" w:type="dxa"/>
            <w:tcBorders>
              <w:top w:val="nil"/>
              <w:left w:val="nil"/>
              <w:bottom w:val="nil"/>
              <w:right w:val="nil"/>
            </w:tcBorders>
            <w:vAlign w:val="bottom"/>
          </w:tcPr>
          <w:p w:rsidR="0073298C" w:rsidRDefault="0073298C" w:rsidP="0073298C">
            <w:pPr>
              <w:spacing w:before="22" w:after="22"/>
              <w:ind w:left="22" w:right="22"/>
              <w:rPr>
                <w:color w:val="000000"/>
              </w:rPr>
            </w:pPr>
            <w:r>
              <w:rPr>
                <w:color w:val="000000"/>
              </w:rPr>
              <w:t> </w:t>
            </w:r>
          </w:p>
        </w:tc>
        <w:tc>
          <w:tcPr>
            <w:tcW w:w="1331" w:type="dxa"/>
            <w:gridSpan w:val="2"/>
            <w:tcBorders>
              <w:top w:val="nil"/>
              <w:left w:val="nil"/>
              <w:bottom w:val="nil"/>
              <w:right w:val="nil"/>
            </w:tcBorders>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1.6</w:t>
            </w:r>
          </w:p>
        </w:tc>
        <w:tc>
          <w:tcPr>
            <w:tcW w:w="183" w:type="dxa"/>
            <w:tcBorders>
              <w:top w:val="nil"/>
              <w:left w:val="nil"/>
              <w:bottom w:val="nil"/>
              <w:right w:val="nil"/>
            </w:tcBorders>
            <w:vAlign w:val="center"/>
          </w:tcPr>
          <w:p w:rsidR="0073298C" w:rsidRDefault="0073298C" w:rsidP="0073298C">
            <w:pPr>
              <w:spacing w:before="22" w:after="22"/>
              <w:ind w:right="22"/>
              <w:rPr>
                <w:rFonts w:ascii="Arial" w:hAnsi="Arial" w:cs="Arial"/>
                <w:color w:val="000000"/>
                <w:sz w:val="18"/>
                <w:szCs w:val="18"/>
              </w:rPr>
            </w:pPr>
            <w:r>
              <w:rPr>
                <w:rFonts w:ascii="Arial" w:hAnsi="Arial" w:cs="Arial"/>
                <w:color w:val="000000"/>
                <w:sz w:val="18"/>
                <w:szCs w:val="18"/>
              </w:rPr>
              <w:t>%</w:t>
            </w:r>
          </w:p>
        </w:tc>
        <w:tc>
          <w:tcPr>
            <w:tcW w:w="103" w:type="dxa"/>
            <w:tcBorders>
              <w:top w:val="single" w:sz="6" w:space="0" w:color="00467E"/>
              <w:left w:val="nil"/>
              <w:bottom w:val="nil"/>
              <w:right w:val="nil"/>
            </w:tcBorders>
            <w:shd w:val="clear" w:color="00467E" w:fill="00467E"/>
            <w:vAlign w:val="bottom"/>
          </w:tcPr>
          <w:p w:rsidR="0073298C" w:rsidRDefault="0073298C" w:rsidP="0073298C">
            <w:pPr>
              <w:spacing w:before="22" w:after="22"/>
              <w:ind w:left="22" w:right="22"/>
              <w:rPr>
                <w:color w:val="000000"/>
              </w:rPr>
            </w:pPr>
            <w:r>
              <w:rPr>
                <w:color w:val="000000"/>
              </w:rPr>
              <w:t> </w:t>
            </w:r>
          </w:p>
        </w:tc>
        <w:tc>
          <w:tcPr>
            <w:tcW w:w="1009" w:type="dxa"/>
            <w:tcBorders>
              <w:top w:val="nil"/>
              <w:left w:val="nil"/>
              <w:bottom w:val="nil"/>
              <w:right w:val="nil"/>
            </w:tcBorders>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10</w:t>
            </w:r>
          </w:p>
        </w:tc>
        <w:tc>
          <w:tcPr>
            <w:tcW w:w="360" w:type="dxa"/>
            <w:tcBorders>
              <w:top w:val="nil"/>
              <w:left w:val="nil"/>
              <w:bottom w:val="nil"/>
              <w:right w:val="nil"/>
            </w:tcBorders>
            <w:vAlign w:val="center"/>
          </w:tcPr>
          <w:p w:rsidR="0073298C" w:rsidRDefault="0073298C" w:rsidP="0073298C">
            <w:pPr>
              <w:spacing w:before="22" w:after="22"/>
              <w:ind w:right="22"/>
              <w:rPr>
                <w:rFonts w:ascii="Arial" w:hAnsi="Arial" w:cs="Arial"/>
                <w:color w:val="000000"/>
                <w:sz w:val="18"/>
                <w:szCs w:val="18"/>
              </w:rPr>
            </w:pPr>
            <w:r>
              <w:rPr>
                <w:rFonts w:ascii="Arial" w:hAnsi="Arial" w:cs="Arial"/>
                <w:color w:val="000000"/>
                <w:sz w:val="18"/>
                <w:szCs w:val="18"/>
              </w:rPr>
              <w:t> bps</w:t>
            </w:r>
          </w:p>
        </w:tc>
        <w:tc>
          <w:tcPr>
            <w:tcW w:w="103" w:type="dxa"/>
            <w:tcBorders>
              <w:top w:val="nil"/>
              <w:left w:val="nil"/>
              <w:bottom w:val="nil"/>
              <w:right w:val="nil"/>
            </w:tcBorders>
            <w:vAlign w:val="bottom"/>
          </w:tcPr>
          <w:p w:rsidR="0073298C" w:rsidRDefault="0073298C" w:rsidP="0073298C">
            <w:pPr>
              <w:spacing w:before="22" w:after="22"/>
              <w:ind w:left="22" w:right="22"/>
              <w:rPr>
                <w:color w:val="000000"/>
              </w:rPr>
            </w:pPr>
            <w:r>
              <w:rPr>
                <w:color w:val="000000"/>
              </w:rPr>
              <w:t> </w:t>
            </w:r>
          </w:p>
        </w:tc>
        <w:tc>
          <w:tcPr>
            <w:tcW w:w="1032" w:type="dxa"/>
            <w:tcBorders>
              <w:top w:val="nil"/>
              <w:left w:val="nil"/>
              <w:bottom w:val="nil"/>
              <w:right w:val="nil"/>
            </w:tcBorders>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w:t>
            </w:r>
          </w:p>
        </w:tc>
        <w:tc>
          <w:tcPr>
            <w:tcW w:w="296" w:type="dxa"/>
            <w:tcBorders>
              <w:top w:val="nil"/>
              <w:left w:val="nil"/>
              <w:bottom w:val="nil"/>
              <w:right w:val="single" w:sz="6" w:space="0" w:color="00467E"/>
            </w:tcBorders>
            <w:vAlign w:val="bottom"/>
          </w:tcPr>
          <w:p w:rsidR="0073298C" w:rsidRDefault="0073298C" w:rsidP="0073298C">
            <w:pPr>
              <w:spacing w:before="22" w:after="22"/>
              <w:ind w:left="22"/>
              <w:jc w:val="right"/>
              <w:rPr>
                <w:rFonts w:ascii="Arial" w:hAnsi="Arial" w:cs="Arial"/>
                <w:color w:val="000000"/>
                <w:sz w:val="18"/>
                <w:szCs w:val="18"/>
              </w:rPr>
            </w:pPr>
          </w:p>
          <w:p w:rsidR="0073298C" w:rsidRDefault="0073298C" w:rsidP="0073298C">
            <w:pPr>
              <w:rPr>
                <w:sz w:val="16"/>
                <w:szCs w:val="16"/>
              </w:rPr>
            </w:pPr>
            <w:r>
              <w:rPr>
                <w:sz w:val="16"/>
                <w:szCs w:val="16"/>
              </w:rPr>
              <w:t> </w:t>
            </w:r>
          </w:p>
        </w:tc>
      </w:tr>
      <w:tr w:rsidR="0073298C" w:rsidTr="000E3B20">
        <w:tblPrEx>
          <w:tblCellMar>
            <w:top w:w="0" w:type="dxa"/>
            <w:left w:w="0" w:type="dxa"/>
            <w:bottom w:w="0" w:type="dxa"/>
            <w:right w:w="0" w:type="dxa"/>
          </w:tblCellMar>
        </w:tblPrEx>
        <w:trPr>
          <w:trHeight w:val="479"/>
        </w:trPr>
        <w:tc>
          <w:tcPr>
            <w:tcW w:w="3158" w:type="dxa"/>
            <w:tcBorders>
              <w:top w:val="nil"/>
              <w:left w:val="single" w:sz="6" w:space="0" w:color="00467E"/>
              <w:bottom w:val="single" w:sz="6" w:space="0" w:color="00467E"/>
              <w:right w:val="nil"/>
            </w:tcBorders>
            <w:shd w:val="clear" w:color="CFD4D8" w:fill="CFD4D8"/>
            <w:vAlign w:val="center"/>
          </w:tcPr>
          <w:p w:rsidR="0073298C" w:rsidRDefault="0073298C" w:rsidP="0073298C">
            <w:pPr>
              <w:spacing w:before="22" w:after="22"/>
              <w:ind w:left="330" w:right="22"/>
              <w:rPr>
                <w:rFonts w:ascii="Arial" w:hAnsi="Arial" w:cs="Arial"/>
                <w:color w:val="000000"/>
                <w:sz w:val="18"/>
                <w:szCs w:val="18"/>
              </w:rPr>
            </w:pPr>
            <w:r>
              <w:rPr>
                <w:rFonts w:ascii="Arial" w:hAnsi="Arial" w:cs="Arial"/>
                <w:color w:val="000000"/>
                <w:sz w:val="18"/>
                <w:szCs w:val="18"/>
              </w:rPr>
              <w:t>% of revenue before fuel surcharge</w:t>
            </w:r>
          </w:p>
        </w:tc>
        <w:tc>
          <w:tcPr>
            <w:tcW w:w="1331" w:type="dxa"/>
            <w:gridSpan w:val="2"/>
            <w:tcBorders>
              <w:top w:val="nil"/>
              <w:left w:val="nil"/>
              <w:bottom w:val="single" w:sz="6" w:space="0" w:color="00467E"/>
              <w:right w:val="nil"/>
            </w:tcBorders>
            <w:shd w:val="clear" w:color="CFD4D8" w:fill="CFD4D8"/>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1.9</w:t>
            </w:r>
          </w:p>
        </w:tc>
        <w:tc>
          <w:tcPr>
            <w:tcW w:w="180" w:type="dxa"/>
            <w:tcBorders>
              <w:top w:val="nil"/>
              <w:left w:val="nil"/>
              <w:bottom w:val="single" w:sz="6" w:space="0" w:color="00467E"/>
              <w:right w:val="nil"/>
            </w:tcBorders>
            <w:shd w:val="clear" w:color="CFD4D8" w:fill="CFD4D8"/>
            <w:vAlign w:val="center"/>
          </w:tcPr>
          <w:p w:rsidR="0073298C" w:rsidRDefault="0073298C" w:rsidP="0073298C">
            <w:pPr>
              <w:spacing w:before="22" w:after="22"/>
              <w:ind w:right="22"/>
              <w:rPr>
                <w:rFonts w:ascii="Arial" w:hAnsi="Arial" w:cs="Arial"/>
                <w:color w:val="000000"/>
                <w:sz w:val="18"/>
                <w:szCs w:val="18"/>
              </w:rPr>
            </w:pPr>
            <w:r>
              <w:rPr>
                <w:rFonts w:ascii="Arial" w:hAnsi="Arial" w:cs="Arial"/>
                <w:color w:val="000000"/>
                <w:sz w:val="18"/>
                <w:szCs w:val="18"/>
              </w:rPr>
              <w:t>%</w:t>
            </w:r>
          </w:p>
        </w:tc>
        <w:tc>
          <w:tcPr>
            <w:tcW w:w="103" w:type="dxa"/>
            <w:tcBorders>
              <w:top w:val="nil"/>
              <w:left w:val="nil"/>
              <w:bottom w:val="single" w:sz="6" w:space="0" w:color="00467E"/>
              <w:right w:val="nil"/>
            </w:tcBorders>
            <w:shd w:val="clear" w:color="CFD4D8" w:fill="CFD4D8"/>
            <w:vAlign w:val="bottom"/>
          </w:tcPr>
          <w:p w:rsidR="0073298C" w:rsidRDefault="0073298C" w:rsidP="0073298C">
            <w:pPr>
              <w:spacing w:before="22" w:after="22"/>
              <w:ind w:left="22" w:right="22"/>
              <w:rPr>
                <w:color w:val="000000"/>
              </w:rPr>
            </w:pPr>
            <w:r>
              <w:rPr>
                <w:color w:val="000000"/>
              </w:rPr>
              <w:t> </w:t>
            </w:r>
          </w:p>
        </w:tc>
        <w:tc>
          <w:tcPr>
            <w:tcW w:w="1331" w:type="dxa"/>
            <w:gridSpan w:val="2"/>
            <w:tcBorders>
              <w:top w:val="nil"/>
              <w:left w:val="nil"/>
              <w:bottom w:val="single" w:sz="6" w:space="0" w:color="00467E"/>
              <w:right w:val="nil"/>
            </w:tcBorders>
            <w:shd w:val="clear" w:color="CFD4D8" w:fill="CFD4D8"/>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1.8</w:t>
            </w:r>
          </w:p>
        </w:tc>
        <w:tc>
          <w:tcPr>
            <w:tcW w:w="180" w:type="dxa"/>
            <w:tcBorders>
              <w:top w:val="nil"/>
              <w:left w:val="nil"/>
              <w:bottom w:val="single" w:sz="6" w:space="0" w:color="00467E"/>
              <w:right w:val="nil"/>
            </w:tcBorders>
            <w:shd w:val="clear" w:color="CFD4D8" w:fill="CFD4D8"/>
            <w:vAlign w:val="center"/>
          </w:tcPr>
          <w:p w:rsidR="0073298C" w:rsidRDefault="0073298C" w:rsidP="0073298C">
            <w:pPr>
              <w:spacing w:before="22" w:after="22"/>
              <w:ind w:right="22"/>
              <w:rPr>
                <w:rFonts w:ascii="Arial" w:hAnsi="Arial" w:cs="Arial"/>
                <w:color w:val="000000"/>
                <w:sz w:val="18"/>
                <w:szCs w:val="18"/>
              </w:rPr>
            </w:pPr>
            <w:r>
              <w:rPr>
                <w:rFonts w:ascii="Arial" w:hAnsi="Arial" w:cs="Arial"/>
                <w:color w:val="000000"/>
                <w:sz w:val="18"/>
                <w:szCs w:val="18"/>
              </w:rPr>
              <w:t>%</w:t>
            </w:r>
          </w:p>
        </w:tc>
        <w:tc>
          <w:tcPr>
            <w:tcW w:w="103" w:type="dxa"/>
            <w:tcBorders>
              <w:top w:val="nil"/>
              <w:left w:val="nil"/>
              <w:bottom w:val="single" w:sz="6" w:space="0" w:color="00467E"/>
              <w:right w:val="nil"/>
            </w:tcBorders>
            <w:shd w:val="clear" w:color="CFD4D8" w:fill="CFD4D8"/>
            <w:vAlign w:val="bottom"/>
          </w:tcPr>
          <w:p w:rsidR="0073298C" w:rsidRDefault="0073298C" w:rsidP="0073298C">
            <w:pPr>
              <w:spacing w:before="22" w:after="22"/>
              <w:ind w:left="22" w:right="22"/>
              <w:rPr>
                <w:color w:val="000000"/>
              </w:rPr>
            </w:pPr>
            <w:r>
              <w:rPr>
                <w:color w:val="000000"/>
              </w:rPr>
              <w:t> </w:t>
            </w:r>
          </w:p>
        </w:tc>
        <w:tc>
          <w:tcPr>
            <w:tcW w:w="1331" w:type="dxa"/>
            <w:gridSpan w:val="2"/>
            <w:tcBorders>
              <w:top w:val="nil"/>
              <w:left w:val="nil"/>
              <w:bottom w:val="single" w:sz="6" w:space="0" w:color="00467E"/>
              <w:right w:val="nil"/>
            </w:tcBorders>
            <w:shd w:val="clear" w:color="CFD4D8" w:fill="CFD4D8"/>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1.8</w:t>
            </w:r>
          </w:p>
        </w:tc>
        <w:tc>
          <w:tcPr>
            <w:tcW w:w="183" w:type="dxa"/>
            <w:tcBorders>
              <w:top w:val="nil"/>
              <w:left w:val="nil"/>
              <w:bottom w:val="single" w:sz="6" w:space="0" w:color="00467E"/>
              <w:right w:val="nil"/>
            </w:tcBorders>
            <w:shd w:val="clear" w:color="CFD4D8" w:fill="CFD4D8"/>
            <w:vAlign w:val="center"/>
          </w:tcPr>
          <w:p w:rsidR="0073298C" w:rsidRDefault="0073298C" w:rsidP="0073298C">
            <w:pPr>
              <w:spacing w:before="22" w:after="22"/>
              <w:ind w:right="22"/>
              <w:rPr>
                <w:rFonts w:ascii="Arial" w:hAnsi="Arial" w:cs="Arial"/>
                <w:color w:val="000000"/>
                <w:sz w:val="18"/>
                <w:szCs w:val="18"/>
              </w:rPr>
            </w:pPr>
            <w:r>
              <w:rPr>
                <w:rFonts w:ascii="Arial" w:hAnsi="Arial" w:cs="Arial"/>
                <w:color w:val="000000"/>
                <w:sz w:val="18"/>
                <w:szCs w:val="18"/>
              </w:rPr>
              <w:t>%</w:t>
            </w:r>
          </w:p>
        </w:tc>
        <w:tc>
          <w:tcPr>
            <w:tcW w:w="103" w:type="dxa"/>
            <w:tcBorders>
              <w:top w:val="single" w:sz="6" w:space="0" w:color="00467E"/>
              <w:left w:val="nil"/>
              <w:bottom w:val="single" w:sz="6" w:space="0" w:color="00467E"/>
              <w:right w:val="nil"/>
            </w:tcBorders>
            <w:shd w:val="clear" w:color="00467E" w:fill="00467E"/>
            <w:vAlign w:val="bottom"/>
          </w:tcPr>
          <w:p w:rsidR="0073298C" w:rsidRDefault="0073298C" w:rsidP="0073298C">
            <w:pPr>
              <w:spacing w:before="22" w:after="22"/>
              <w:ind w:left="22" w:right="22"/>
              <w:rPr>
                <w:color w:val="000000"/>
              </w:rPr>
            </w:pPr>
            <w:r>
              <w:rPr>
                <w:color w:val="000000"/>
              </w:rPr>
              <w:t> </w:t>
            </w:r>
          </w:p>
        </w:tc>
        <w:tc>
          <w:tcPr>
            <w:tcW w:w="1009" w:type="dxa"/>
            <w:tcBorders>
              <w:top w:val="nil"/>
              <w:left w:val="nil"/>
              <w:bottom w:val="single" w:sz="6" w:space="0" w:color="00467E"/>
              <w:right w:val="nil"/>
            </w:tcBorders>
            <w:shd w:val="clear" w:color="CFD4D8" w:fill="CFD4D8"/>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10</w:t>
            </w:r>
          </w:p>
        </w:tc>
        <w:tc>
          <w:tcPr>
            <w:tcW w:w="360" w:type="dxa"/>
            <w:tcBorders>
              <w:top w:val="nil"/>
              <w:left w:val="nil"/>
              <w:bottom w:val="single" w:sz="6" w:space="0" w:color="00467E"/>
              <w:right w:val="nil"/>
            </w:tcBorders>
            <w:shd w:val="clear" w:color="CFD4D8" w:fill="CFD4D8"/>
            <w:vAlign w:val="center"/>
          </w:tcPr>
          <w:p w:rsidR="0073298C" w:rsidRDefault="0073298C" w:rsidP="0073298C">
            <w:pPr>
              <w:spacing w:before="22" w:after="22"/>
              <w:ind w:right="22"/>
              <w:rPr>
                <w:rFonts w:ascii="Arial" w:hAnsi="Arial" w:cs="Arial"/>
                <w:color w:val="000000"/>
                <w:sz w:val="18"/>
                <w:szCs w:val="18"/>
              </w:rPr>
            </w:pPr>
            <w:r>
              <w:rPr>
                <w:rFonts w:ascii="Arial" w:hAnsi="Arial" w:cs="Arial"/>
                <w:color w:val="000000"/>
                <w:sz w:val="18"/>
                <w:szCs w:val="18"/>
              </w:rPr>
              <w:t> bps</w:t>
            </w:r>
          </w:p>
        </w:tc>
        <w:tc>
          <w:tcPr>
            <w:tcW w:w="103" w:type="dxa"/>
            <w:tcBorders>
              <w:top w:val="nil"/>
              <w:left w:val="nil"/>
              <w:bottom w:val="single" w:sz="6" w:space="0" w:color="00467E"/>
              <w:right w:val="nil"/>
            </w:tcBorders>
            <w:shd w:val="clear" w:color="CFD4D8" w:fill="CFD4D8"/>
            <w:vAlign w:val="bottom"/>
          </w:tcPr>
          <w:p w:rsidR="0073298C" w:rsidRDefault="0073298C" w:rsidP="0073298C">
            <w:pPr>
              <w:spacing w:before="22" w:after="22"/>
              <w:ind w:left="22" w:right="22"/>
              <w:rPr>
                <w:color w:val="000000"/>
              </w:rPr>
            </w:pPr>
            <w:r>
              <w:rPr>
                <w:color w:val="000000"/>
              </w:rPr>
              <w:t> </w:t>
            </w:r>
          </w:p>
        </w:tc>
        <w:tc>
          <w:tcPr>
            <w:tcW w:w="1032" w:type="dxa"/>
            <w:tcBorders>
              <w:top w:val="nil"/>
              <w:left w:val="nil"/>
              <w:bottom w:val="single" w:sz="6" w:space="0" w:color="00467E"/>
              <w:right w:val="nil"/>
            </w:tcBorders>
            <w:shd w:val="clear" w:color="CFD4D8" w:fill="CFD4D8"/>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w:t>
            </w:r>
          </w:p>
        </w:tc>
        <w:tc>
          <w:tcPr>
            <w:tcW w:w="296" w:type="dxa"/>
            <w:tcBorders>
              <w:top w:val="nil"/>
              <w:left w:val="nil"/>
              <w:bottom w:val="single" w:sz="6" w:space="0" w:color="00467E"/>
              <w:right w:val="single" w:sz="6" w:space="0" w:color="00467E"/>
            </w:tcBorders>
            <w:shd w:val="clear" w:color="CFD4D8" w:fill="CFD4D8"/>
            <w:vAlign w:val="bottom"/>
          </w:tcPr>
          <w:p w:rsidR="0073298C" w:rsidRDefault="0073298C" w:rsidP="0073298C">
            <w:pPr>
              <w:spacing w:before="22" w:after="22"/>
              <w:ind w:left="22"/>
              <w:jc w:val="right"/>
              <w:rPr>
                <w:rFonts w:ascii="Arial" w:hAnsi="Arial" w:cs="Arial"/>
                <w:color w:val="000000"/>
                <w:sz w:val="18"/>
                <w:szCs w:val="18"/>
              </w:rPr>
            </w:pPr>
          </w:p>
          <w:p w:rsidR="0073298C" w:rsidRDefault="0073298C" w:rsidP="0073298C">
            <w:pPr>
              <w:rPr>
                <w:sz w:val="16"/>
                <w:szCs w:val="16"/>
              </w:rPr>
            </w:pPr>
            <w:r>
              <w:rPr>
                <w:sz w:val="16"/>
                <w:szCs w:val="16"/>
              </w:rPr>
              <w:t> </w:t>
            </w:r>
          </w:p>
        </w:tc>
      </w:tr>
    </w:tbl>
    <w:p w:rsidR="0073298C" w:rsidRDefault="0073298C" w:rsidP="0073298C">
      <w:pPr>
        <w:spacing w:after="132"/>
        <w:jc w:val="both"/>
        <w:rPr>
          <w:rFonts w:ascii="Arial" w:hAnsi="Arial" w:cs="Arial"/>
          <w:color w:val="000000"/>
          <w:sz w:val="18"/>
          <w:szCs w:val="18"/>
        </w:rPr>
      </w:pPr>
      <w:r>
        <w:rPr>
          <w:rFonts w:ascii="Arial" w:hAnsi="Arial" w:cs="Arial"/>
          <w:color w:val="000000"/>
          <w:sz w:val="18"/>
          <w:szCs w:val="18"/>
        </w:rPr>
        <w:t>Operating taxes and licenses include state franchise taxes, federal highway use taxes, property taxes, vehicle license and registration fees, fuel and mileage taxes, among others. The expense is impacted by changes in the tax rates and registration fees associated with our tractor fleet and regional operating facilities.</w:t>
      </w:r>
    </w:p>
    <w:p w:rsidR="0073298C" w:rsidRDefault="0073298C" w:rsidP="0073298C">
      <w:pPr>
        <w:spacing w:after="132"/>
        <w:jc w:val="both"/>
        <w:rPr>
          <w:rFonts w:ascii="Arial" w:hAnsi="Arial" w:cs="Arial"/>
          <w:color w:val="000000"/>
          <w:sz w:val="18"/>
          <w:szCs w:val="18"/>
        </w:rPr>
      </w:pPr>
      <w:r>
        <w:rPr>
          <w:rFonts w:ascii="Arial" w:hAnsi="Arial" w:cs="Arial"/>
          <w:i/>
          <w:iCs/>
          <w:color w:val="000000"/>
          <w:sz w:val="18"/>
          <w:szCs w:val="18"/>
        </w:rPr>
        <w:t>2017 Compared to 2016 —</w:t>
      </w:r>
      <w:r>
        <w:rPr>
          <w:rFonts w:ascii="Arial" w:hAnsi="Arial" w:cs="Arial"/>
          <w:color w:val="000000"/>
          <w:sz w:val="18"/>
          <w:szCs w:val="18"/>
        </w:rPr>
        <w:t xml:space="preserve"> The $21.8 million increase in consolidated operating taxes and licenses includes $21.7 million of expense from Swift's results for the September 9, 2017 through December 31, 2017 period. Knight's operating taxes and licenses expense remained relatively flat from 2016 to 2017. As a percentage of revenue before fuel surcharge, consolidated operating taxes and licenses remained relatively flat from 2016 to 2017.</w:t>
      </w:r>
    </w:p>
    <w:p w:rsidR="0073298C" w:rsidRDefault="0073298C" w:rsidP="0073298C">
      <w:pPr>
        <w:spacing w:after="264"/>
        <w:jc w:val="both"/>
        <w:rPr>
          <w:rFonts w:ascii="Arial" w:hAnsi="Arial" w:cs="Arial"/>
          <w:color w:val="000000"/>
          <w:sz w:val="18"/>
          <w:szCs w:val="18"/>
        </w:rPr>
      </w:pPr>
      <w:r>
        <w:rPr>
          <w:rFonts w:ascii="Arial" w:hAnsi="Arial" w:cs="Arial"/>
          <w:i/>
          <w:iCs/>
          <w:color w:val="000000"/>
          <w:sz w:val="18"/>
          <w:szCs w:val="18"/>
        </w:rPr>
        <w:t>2016 Compared to 2015 —</w:t>
      </w:r>
      <w:r>
        <w:rPr>
          <w:rFonts w:ascii="Arial" w:hAnsi="Arial" w:cs="Arial"/>
          <w:color w:val="000000"/>
          <w:sz w:val="18"/>
          <w:szCs w:val="18"/>
        </w:rPr>
        <w:t xml:space="preserve"> Operating taxes and licenses expense, as a percentage of total revenue, remained relatively flat in 2016 and 2015.</w:t>
      </w:r>
    </w:p>
    <w:tbl>
      <w:tblPr>
        <w:tblW w:w="10803" w:type="dxa"/>
        <w:tblInd w:w="8" w:type="dxa"/>
        <w:tblLayout w:type="fixed"/>
        <w:tblCellMar>
          <w:left w:w="0" w:type="dxa"/>
          <w:right w:w="0" w:type="dxa"/>
        </w:tblCellMar>
        <w:tblLook w:val="0000"/>
      </w:tblPr>
      <w:tblGrid>
        <w:gridCol w:w="3175"/>
        <w:gridCol w:w="120"/>
        <w:gridCol w:w="1192"/>
        <w:gridCol w:w="180"/>
        <w:gridCol w:w="102"/>
        <w:gridCol w:w="120"/>
        <w:gridCol w:w="1178"/>
        <w:gridCol w:w="180"/>
        <w:gridCol w:w="102"/>
        <w:gridCol w:w="120"/>
        <w:gridCol w:w="1178"/>
        <w:gridCol w:w="183"/>
        <w:gridCol w:w="102"/>
        <w:gridCol w:w="1021"/>
        <w:gridCol w:w="360"/>
        <w:gridCol w:w="102"/>
        <w:gridCol w:w="1021"/>
        <w:gridCol w:w="360"/>
        <w:gridCol w:w="7"/>
      </w:tblGrid>
      <w:tr w:rsidR="0073298C" w:rsidTr="000E3B20">
        <w:tblPrEx>
          <w:tblCellMar>
            <w:top w:w="0" w:type="dxa"/>
            <w:left w:w="0" w:type="dxa"/>
            <w:bottom w:w="0" w:type="dxa"/>
            <w:right w:w="0" w:type="dxa"/>
          </w:tblCellMar>
        </w:tblPrEx>
        <w:trPr>
          <w:gridAfter w:val="1"/>
          <w:wAfter w:w="7" w:type="dxa"/>
          <w:trHeight w:val="298"/>
        </w:trPr>
        <w:tc>
          <w:tcPr>
            <w:tcW w:w="3175" w:type="dxa"/>
            <w:tcBorders>
              <w:top w:val="single" w:sz="6" w:space="0" w:color="00467E"/>
              <w:left w:val="single" w:sz="6" w:space="0" w:color="00467E"/>
              <w:bottom w:val="nil"/>
              <w:right w:val="nil"/>
            </w:tcBorders>
            <w:vAlign w:val="center"/>
          </w:tcPr>
          <w:p w:rsidR="0073298C" w:rsidRDefault="0073298C" w:rsidP="0073298C">
            <w:pPr>
              <w:spacing w:before="22" w:after="22"/>
              <w:ind w:left="22" w:right="22"/>
              <w:rPr>
                <w:rFonts w:ascii="Arial" w:hAnsi="Arial" w:cs="Arial"/>
                <w:b/>
                <w:bCs w:val="0"/>
                <w:color w:val="000000"/>
                <w:sz w:val="16"/>
                <w:szCs w:val="16"/>
              </w:rPr>
            </w:pPr>
            <w:r>
              <w:rPr>
                <w:rFonts w:ascii="Arial" w:hAnsi="Arial" w:cs="Arial"/>
                <w:b/>
                <w:bCs w:val="0"/>
                <w:color w:val="000000"/>
                <w:sz w:val="16"/>
                <w:szCs w:val="16"/>
              </w:rPr>
              <w:t> </w:t>
            </w:r>
          </w:p>
        </w:tc>
        <w:tc>
          <w:tcPr>
            <w:tcW w:w="1492" w:type="dxa"/>
            <w:gridSpan w:val="3"/>
            <w:tcBorders>
              <w:top w:val="single" w:sz="6" w:space="0" w:color="00467E"/>
              <w:left w:val="nil"/>
              <w:bottom w:val="single" w:sz="6" w:space="0" w:color="000000"/>
              <w:right w:val="nil"/>
            </w:tcBorders>
            <w:vAlign w:val="center"/>
          </w:tcPr>
          <w:p w:rsidR="0073298C" w:rsidRDefault="0073298C" w:rsidP="0073298C">
            <w:pPr>
              <w:spacing w:before="22" w:after="22"/>
              <w:ind w:left="22" w:right="22"/>
              <w:jc w:val="center"/>
              <w:rPr>
                <w:rFonts w:ascii="Arial" w:hAnsi="Arial" w:cs="Arial"/>
                <w:b/>
                <w:bCs w:val="0"/>
                <w:color w:val="000000"/>
                <w:sz w:val="14"/>
                <w:szCs w:val="14"/>
              </w:rPr>
            </w:pPr>
            <w:r>
              <w:rPr>
                <w:rFonts w:ascii="Arial" w:hAnsi="Arial" w:cs="Arial"/>
                <w:b/>
                <w:bCs w:val="0"/>
                <w:color w:val="000000"/>
                <w:sz w:val="14"/>
                <w:szCs w:val="14"/>
              </w:rPr>
              <w:t>2017</w:t>
            </w:r>
          </w:p>
        </w:tc>
        <w:tc>
          <w:tcPr>
            <w:tcW w:w="102" w:type="dxa"/>
            <w:tcBorders>
              <w:top w:val="single" w:sz="6" w:space="0" w:color="00467E"/>
              <w:left w:val="nil"/>
              <w:bottom w:val="nil"/>
              <w:right w:val="nil"/>
            </w:tcBorders>
            <w:vAlign w:val="bottom"/>
          </w:tcPr>
          <w:p w:rsidR="0073298C" w:rsidRDefault="0073298C" w:rsidP="0073298C">
            <w:pPr>
              <w:spacing w:before="22" w:after="22"/>
              <w:ind w:left="22" w:right="22"/>
              <w:rPr>
                <w:color w:val="000000"/>
              </w:rPr>
            </w:pPr>
            <w:r>
              <w:rPr>
                <w:color w:val="000000"/>
              </w:rPr>
              <w:t> </w:t>
            </w:r>
          </w:p>
        </w:tc>
        <w:tc>
          <w:tcPr>
            <w:tcW w:w="1478" w:type="dxa"/>
            <w:gridSpan w:val="3"/>
            <w:tcBorders>
              <w:top w:val="single" w:sz="6" w:space="0" w:color="00467E"/>
              <w:left w:val="nil"/>
              <w:bottom w:val="single" w:sz="6" w:space="0" w:color="000000"/>
              <w:right w:val="nil"/>
            </w:tcBorders>
            <w:vAlign w:val="center"/>
          </w:tcPr>
          <w:p w:rsidR="0073298C" w:rsidRDefault="0073298C" w:rsidP="0073298C">
            <w:pPr>
              <w:spacing w:before="22" w:after="22"/>
              <w:ind w:left="22" w:right="22"/>
              <w:jc w:val="center"/>
              <w:rPr>
                <w:rFonts w:ascii="Arial" w:hAnsi="Arial" w:cs="Arial"/>
                <w:b/>
                <w:bCs w:val="0"/>
                <w:color w:val="000000"/>
                <w:sz w:val="14"/>
                <w:szCs w:val="14"/>
              </w:rPr>
            </w:pPr>
            <w:r>
              <w:rPr>
                <w:rFonts w:ascii="Arial" w:hAnsi="Arial" w:cs="Arial"/>
                <w:b/>
                <w:bCs w:val="0"/>
                <w:color w:val="000000"/>
                <w:sz w:val="14"/>
                <w:szCs w:val="14"/>
              </w:rPr>
              <w:t>2016</w:t>
            </w:r>
          </w:p>
        </w:tc>
        <w:tc>
          <w:tcPr>
            <w:tcW w:w="102" w:type="dxa"/>
            <w:tcBorders>
              <w:top w:val="single" w:sz="6" w:space="0" w:color="00467E"/>
              <w:left w:val="nil"/>
              <w:bottom w:val="nil"/>
              <w:right w:val="nil"/>
            </w:tcBorders>
            <w:vAlign w:val="bottom"/>
          </w:tcPr>
          <w:p w:rsidR="0073298C" w:rsidRDefault="0073298C" w:rsidP="0073298C">
            <w:pPr>
              <w:spacing w:before="22" w:after="22"/>
              <w:ind w:left="22" w:right="22"/>
              <w:rPr>
                <w:color w:val="000000"/>
              </w:rPr>
            </w:pPr>
            <w:r>
              <w:rPr>
                <w:color w:val="000000"/>
              </w:rPr>
              <w:t> </w:t>
            </w:r>
          </w:p>
        </w:tc>
        <w:tc>
          <w:tcPr>
            <w:tcW w:w="1481" w:type="dxa"/>
            <w:gridSpan w:val="3"/>
            <w:tcBorders>
              <w:top w:val="single" w:sz="6" w:space="0" w:color="00467E"/>
              <w:left w:val="nil"/>
              <w:bottom w:val="single" w:sz="6" w:space="0" w:color="000000"/>
              <w:right w:val="nil"/>
            </w:tcBorders>
            <w:vAlign w:val="center"/>
          </w:tcPr>
          <w:p w:rsidR="0073298C" w:rsidRDefault="0073298C" w:rsidP="0073298C">
            <w:pPr>
              <w:spacing w:before="22" w:after="22"/>
              <w:ind w:left="22" w:right="22"/>
              <w:jc w:val="center"/>
              <w:rPr>
                <w:rFonts w:ascii="Arial" w:hAnsi="Arial" w:cs="Arial"/>
                <w:b/>
                <w:bCs w:val="0"/>
                <w:color w:val="000000"/>
                <w:sz w:val="14"/>
                <w:szCs w:val="14"/>
              </w:rPr>
            </w:pPr>
            <w:r>
              <w:rPr>
                <w:rFonts w:ascii="Arial" w:hAnsi="Arial" w:cs="Arial"/>
                <w:b/>
                <w:bCs w:val="0"/>
                <w:color w:val="000000"/>
                <w:sz w:val="14"/>
                <w:szCs w:val="14"/>
              </w:rPr>
              <w:t>2015</w:t>
            </w:r>
          </w:p>
        </w:tc>
        <w:tc>
          <w:tcPr>
            <w:tcW w:w="102" w:type="dxa"/>
            <w:tcBorders>
              <w:top w:val="single" w:sz="6" w:space="0" w:color="00467E"/>
              <w:left w:val="nil"/>
              <w:bottom w:val="nil"/>
              <w:right w:val="nil"/>
            </w:tcBorders>
            <w:shd w:val="clear" w:color="00467E" w:fill="00467E"/>
            <w:vAlign w:val="bottom"/>
          </w:tcPr>
          <w:p w:rsidR="0073298C" w:rsidRDefault="0073298C" w:rsidP="0073298C">
            <w:pPr>
              <w:spacing w:before="22" w:after="22"/>
              <w:ind w:left="22" w:right="22"/>
              <w:rPr>
                <w:color w:val="000000"/>
              </w:rPr>
            </w:pPr>
            <w:r>
              <w:rPr>
                <w:color w:val="000000"/>
              </w:rPr>
              <w:t> </w:t>
            </w:r>
          </w:p>
        </w:tc>
        <w:tc>
          <w:tcPr>
            <w:tcW w:w="1381" w:type="dxa"/>
            <w:gridSpan w:val="2"/>
            <w:tcBorders>
              <w:top w:val="single" w:sz="6" w:space="0" w:color="00467E"/>
              <w:left w:val="nil"/>
              <w:bottom w:val="single" w:sz="6" w:space="0" w:color="000000"/>
              <w:right w:val="nil"/>
            </w:tcBorders>
            <w:vAlign w:val="center"/>
          </w:tcPr>
          <w:p w:rsidR="0073298C" w:rsidRDefault="0073298C" w:rsidP="0073298C">
            <w:pPr>
              <w:spacing w:before="22" w:after="22"/>
              <w:ind w:left="22" w:right="22"/>
              <w:jc w:val="center"/>
              <w:rPr>
                <w:rFonts w:ascii="Arial" w:hAnsi="Arial" w:cs="Arial"/>
                <w:b/>
                <w:bCs w:val="0"/>
                <w:color w:val="000000"/>
                <w:sz w:val="14"/>
                <w:szCs w:val="14"/>
              </w:rPr>
            </w:pPr>
            <w:r>
              <w:rPr>
                <w:rFonts w:ascii="Arial" w:hAnsi="Arial" w:cs="Arial"/>
                <w:b/>
                <w:bCs w:val="0"/>
                <w:color w:val="000000"/>
                <w:sz w:val="14"/>
                <w:szCs w:val="14"/>
              </w:rPr>
              <w:t>2017 vs. 2016</w:t>
            </w:r>
          </w:p>
        </w:tc>
        <w:tc>
          <w:tcPr>
            <w:tcW w:w="102" w:type="dxa"/>
            <w:tcBorders>
              <w:top w:val="single" w:sz="6" w:space="0" w:color="00467E"/>
              <w:left w:val="nil"/>
              <w:bottom w:val="nil"/>
              <w:right w:val="nil"/>
            </w:tcBorders>
            <w:vAlign w:val="bottom"/>
          </w:tcPr>
          <w:p w:rsidR="0073298C" w:rsidRDefault="0073298C" w:rsidP="0073298C">
            <w:pPr>
              <w:spacing w:before="22" w:after="22"/>
              <w:ind w:left="22" w:right="22"/>
              <w:rPr>
                <w:color w:val="000000"/>
              </w:rPr>
            </w:pPr>
            <w:r>
              <w:rPr>
                <w:color w:val="000000"/>
              </w:rPr>
              <w:t> </w:t>
            </w:r>
          </w:p>
        </w:tc>
        <w:tc>
          <w:tcPr>
            <w:tcW w:w="1381" w:type="dxa"/>
            <w:gridSpan w:val="2"/>
            <w:tcBorders>
              <w:top w:val="single" w:sz="6" w:space="0" w:color="00467E"/>
              <w:left w:val="nil"/>
              <w:bottom w:val="single" w:sz="6" w:space="0" w:color="000000"/>
              <w:right w:val="single" w:sz="6" w:space="0" w:color="00467E"/>
            </w:tcBorders>
            <w:vAlign w:val="center"/>
          </w:tcPr>
          <w:p w:rsidR="0073298C" w:rsidRDefault="0073298C" w:rsidP="0073298C">
            <w:pPr>
              <w:spacing w:before="22" w:after="22"/>
              <w:ind w:left="22" w:right="22"/>
              <w:jc w:val="center"/>
              <w:rPr>
                <w:rFonts w:ascii="Arial" w:hAnsi="Arial" w:cs="Arial"/>
                <w:b/>
                <w:bCs w:val="0"/>
                <w:color w:val="000000"/>
                <w:sz w:val="14"/>
                <w:szCs w:val="14"/>
              </w:rPr>
            </w:pPr>
            <w:r>
              <w:rPr>
                <w:rFonts w:ascii="Arial" w:hAnsi="Arial" w:cs="Arial"/>
                <w:b/>
                <w:bCs w:val="0"/>
                <w:color w:val="000000"/>
                <w:sz w:val="14"/>
                <w:szCs w:val="14"/>
              </w:rPr>
              <w:t>2016 vs. 2015</w:t>
            </w:r>
          </w:p>
        </w:tc>
      </w:tr>
      <w:tr w:rsidR="0073298C" w:rsidTr="000E3B20">
        <w:tblPrEx>
          <w:tblCellMar>
            <w:top w:w="0" w:type="dxa"/>
            <w:left w:w="0" w:type="dxa"/>
            <w:bottom w:w="0" w:type="dxa"/>
            <w:right w:w="0" w:type="dxa"/>
          </w:tblCellMar>
        </w:tblPrEx>
        <w:trPr>
          <w:trHeight w:val="298"/>
        </w:trPr>
        <w:tc>
          <w:tcPr>
            <w:tcW w:w="3175" w:type="dxa"/>
            <w:tcBorders>
              <w:top w:val="nil"/>
              <w:left w:val="single" w:sz="6" w:space="0" w:color="00467E"/>
              <w:bottom w:val="nil"/>
              <w:right w:val="nil"/>
            </w:tcBorders>
            <w:vAlign w:val="bottom"/>
          </w:tcPr>
          <w:p w:rsidR="0073298C" w:rsidRDefault="0073298C" w:rsidP="0073298C">
            <w:pPr>
              <w:spacing w:before="22" w:after="22"/>
              <w:ind w:left="22" w:right="22"/>
              <w:rPr>
                <w:color w:val="000000"/>
              </w:rPr>
            </w:pPr>
            <w:r>
              <w:rPr>
                <w:color w:val="000000"/>
              </w:rPr>
              <w:t> </w:t>
            </w:r>
          </w:p>
        </w:tc>
        <w:tc>
          <w:tcPr>
            <w:tcW w:w="4655" w:type="dxa"/>
            <w:gridSpan w:val="11"/>
            <w:tcBorders>
              <w:top w:val="nil"/>
              <w:left w:val="nil"/>
              <w:bottom w:val="single" w:sz="6" w:space="0" w:color="000000"/>
              <w:right w:val="nil"/>
            </w:tcBorders>
            <w:vAlign w:val="center"/>
          </w:tcPr>
          <w:p w:rsidR="0073298C" w:rsidRDefault="0073298C" w:rsidP="0073298C">
            <w:pPr>
              <w:spacing w:before="22" w:after="22"/>
              <w:ind w:left="22"/>
              <w:jc w:val="center"/>
              <w:rPr>
                <w:rFonts w:ascii="Arial" w:hAnsi="Arial" w:cs="Arial"/>
                <w:b/>
                <w:bCs w:val="0"/>
                <w:color w:val="000000"/>
                <w:sz w:val="14"/>
                <w:szCs w:val="14"/>
              </w:rPr>
            </w:pPr>
            <w:r>
              <w:rPr>
                <w:rFonts w:ascii="Arial" w:hAnsi="Arial" w:cs="Arial"/>
                <w:b/>
                <w:bCs w:val="0"/>
                <w:color w:val="000000"/>
                <w:sz w:val="14"/>
                <w:szCs w:val="14"/>
              </w:rPr>
              <w:t>(Dollars in thousands)</w:t>
            </w:r>
          </w:p>
        </w:tc>
        <w:tc>
          <w:tcPr>
            <w:tcW w:w="102" w:type="dxa"/>
            <w:tcBorders>
              <w:top w:val="single" w:sz="6" w:space="0" w:color="00467E"/>
              <w:left w:val="nil"/>
              <w:bottom w:val="nil"/>
              <w:right w:val="nil"/>
            </w:tcBorders>
            <w:shd w:val="clear" w:color="00467E" w:fill="00467E"/>
            <w:vAlign w:val="bottom"/>
          </w:tcPr>
          <w:p w:rsidR="0073298C" w:rsidRDefault="0073298C" w:rsidP="0073298C">
            <w:pPr>
              <w:spacing w:before="22" w:after="22"/>
              <w:ind w:left="22" w:right="22"/>
              <w:rPr>
                <w:color w:val="000000"/>
              </w:rPr>
            </w:pPr>
            <w:r>
              <w:rPr>
                <w:color w:val="000000"/>
              </w:rPr>
              <w:t> </w:t>
            </w:r>
          </w:p>
        </w:tc>
        <w:tc>
          <w:tcPr>
            <w:tcW w:w="2871" w:type="dxa"/>
            <w:gridSpan w:val="6"/>
            <w:tcBorders>
              <w:top w:val="nil"/>
              <w:left w:val="nil"/>
              <w:bottom w:val="single" w:sz="6" w:space="0" w:color="000000"/>
              <w:right w:val="single" w:sz="6" w:space="0" w:color="00467E"/>
            </w:tcBorders>
            <w:vAlign w:val="center"/>
          </w:tcPr>
          <w:p w:rsidR="0073298C" w:rsidRDefault="0073298C" w:rsidP="0073298C">
            <w:pPr>
              <w:spacing w:before="22" w:after="22"/>
              <w:ind w:left="22"/>
              <w:jc w:val="center"/>
              <w:rPr>
                <w:rFonts w:ascii="Arial" w:hAnsi="Arial" w:cs="Arial"/>
                <w:b/>
                <w:bCs w:val="0"/>
                <w:color w:val="000000"/>
                <w:sz w:val="14"/>
                <w:szCs w:val="14"/>
              </w:rPr>
            </w:pPr>
            <w:r>
              <w:rPr>
                <w:rFonts w:ascii="Arial" w:hAnsi="Arial" w:cs="Arial"/>
                <w:b/>
                <w:bCs w:val="0"/>
                <w:color w:val="000000"/>
                <w:sz w:val="14"/>
                <w:szCs w:val="14"/>
              </w:rPr>
              <w:t>Increase (decrease)</w:t>
            </w:r>
          </w:p>
        </w:tc>
      </w:tr>
      <w:tr w:rsidR="0073298C" w:rsidTr="000E3B20">
        <w:tblPrEx>
          <w:tblCellMar>
            <w:top w:w="0" w:type="dxa"/>
            <w:left w:w="0" w:type="dxa"/>
            <w:bottom w:w="0" w:type="dxa"/>
            <w:right w:w="0" w:type="dxa"/>
          </w:tblCellMar>
        </w:tblPrEx>
        <w:trPr>
          <w:trHeight w:val="298"/>
        </w:trPr>
        <w:tc>
          <w:tcPr>
            <w:tcW w:w="3175" w:type="dxa"/>
            <w:tcBorders>
              <w:top w:val="nil"/>
              <w:left w:val="single" w:sz="6" w:space="0" w:color="00467E"/>
              <w:bottom w:val="nil"/>
              <w:right w:val="nil"/>
            </w:tcBorders>
            <w:shd w:val="clear" w:color="CFD4D8" w:fill="CFD4D8"/>
            <w:vAlign w:val="center"/>
          </w:tcPr>
          <w:p w:rsidR="0073298C" w:rsidRDefault="0073298C" w:rsidP="0073298C">
            <w:pPr>
              <w:spacing w:before="22" w:after="22"/>
              <w:ind w:left="22" w:right="22"/>
              <w:rPr>
                <w:rFonts w:ascii="Arial" w:hAnsi="Arial" w:cs="Arial"/>
                <w:b/>
                <w:bCs w:val="0"/>
                <w:i/>
                <w:iCs/>
                <w:color w:val="9D1B11"/>
                <w:sz w:val="18"/>
                <w:szCs w:val="18"/>
              </w:rPr>
            </w:pPr>
            <w:r>
              <w:rPr>
                <w:rFonts w:ascii="Arial" w:hAnsi="Arial" w:cs="Arial"/>
                <w:b/>
                <w:bCs w:val="0"/>
                <w:i/>
                <w:iCs/>
                <w:color w:val="9D1B11"/>
                <w:sz w:val="18"/>
                <w:szCs w:val="18"/>
              </w:rPr>
              <w:t>Communications</w:t>
            </w:r>
          </w:p>
        </w:tc>
        <w:tc>
          <w:tcPr>
            <w:tcW w:w="120" w:type="dxa"/>
            <w:tcBorders>
              <w:top w:val="nil"/>
              <w:left w:val="nil"/>
              <w:bottom w:val="nil"/>
              <w:right w:val="nil"/>
            </w:tcBorders>
            <w:shd w:val="clear" w:color="CFD4D8" w:fill="CFD4D8"/>
            <w:vAlign w:val="center"/>
          </w:tcPr>
          <w:p w:rsidR="0073298C" w:rsidRDefault="0073298C" w:rsidP="0073298C">
            <w:pPr>
              <w:spacing w:before="22" w:after="22"/>
              <w:ind w:left="22"/>
              <w:rPr>
                <w:rFonts w:ascii="Arial" w:hAnsi="Arial" w:cs="Arial"/>
                <w:color w:val="000000"/>
                <w:sz w:val="18"/>
                <w:szCs w:val="18"/>
              </w:rPr>
            </w:pPr>
            <w:r>
              <w:rPr>
                <w:rFonts w:ascii="Arial" w:hAnsi="Arial" w:cs="Arial"/>
                <w:color w:val="000000"/>
                <w:sz w:val="18"/>
                <w:szCs w:val="18"/>
              </w:rPr>
              <w:t>$</w:t>
            </w:r>
          </w:p>
        </w:tc>
        <w:tc>
          <w:tcPr>
            <w:tcW w:w="1192" w:type="dxa"/>
            <w:tcBorders>
              <w:top w:val="nil"/>
              <w:left w:val="nil"/>
              <w:bottom w:val="nil"/>
              <w:right w:val="nil"/>
            </w:tcBorders>
            <w:shd w:val="clear" w:color="CFD4D8" w:fill="CFD4D8"/>
            <w:vAlign w:val="center"/>
          </w:tcPr>
          <w:p w:rsidR="0073298C" w:rsidRDefault="0073298C" w:rsidP="0073298C">
            <w:pPr>
              <w:spacing w:before="22" w:after="22"/>
              <w:jc w:val="right"/>
              <w:rPr>
                <w:rFonts w:ascii="Arial" w:hAnsi="Arial" w:cs="Arial"/>
                <w:color w:val="000000"/>
                <w:sz w:val="18"/>
                <w:szCs w:val="18"/>
              </w:rPr>
            </w:pPr>
            <w:r>
              <w:rPr>
                <w:rFonts w:ascii="Arial" w:hAnsi="Arial" w:cs="Arial"/>
                <w:color w:val="000000"/>
                <w:sz w:val="18"/>
                <w:szCs w:val="18"/>
              </w:rPr>
              <w:t>10,691</w:t>
            </w:r>
          </w:p>
        </w:tc>
        <w:tc>
          <w:tcPr>
            <w:tcW w:w="180" w:type="dxa"/>
            <w:tcBorders>
              <w:top w:val="nil"/>
              <w:left w:val="nil"/>
              <w:bottom w:val="nil"/>
              <w:right w:val="nil"/>
            </w:tcBorders>
            <w:shd w:val="clear" w:color="CFD4D8" w:fill="CFD4D8"/>
            <w:vAlign w:val="bottom"/>
          </w:tcPr>
          <w:p w:rsidR="0073298C" w:rsidRDefault="0073298C" w:rsidP="0073298C">
            <w:pPr>
              <w:spacing w:before="22" w:after="22"/>
              <w:jc w:val="right"/>
              <w:rPr>
                <w:rFonts w:ascii="Arial" w:hAnsi="Arial" w:cs="Arial"/>
                <w:color w:val="000000"/>
                <w:sz w:val="18"/>
                <w:szCs w:val="18"/>
              </w:rPr>
            </w:pPr>
          </w:p>
          <w:p w:rsidR="0073298C" w:rsidRDefault="0073298C" w:rsidP="0073298C">
            <w:pPr>
              <w:rPr>
                <w:sz w:val="16"/>
                <w:szCs w:val="16"/>
              </w:rPr>
            </w:pPr>
            <w:r>
              <w:rPr>
                <w:sz w:val="16"/>
                <w:szCs w:val="16"/>
              </w:rPr>
              <w:t> </w:t>
            </w:r>
          </w:p>
        </w:tc>
        <w:tc>
          <w:tcPr>
            <w:tcW w:w="102" w:type="dxa"/>
            <w:tcBorders>
              <w:top w:val="nil"/>
              <w:left w:val="nil"/>
              <w:bottom w:val="nil"/>
              <w:right w:val="nil"/>
            </w:tcBorders>
            <w:shd w:val="clear" w:color="CFD4D8" w:fill="CFD4D8"/>
            <w:vAlign w:val="bottom"/>
          </w:tcPr>
          <w:p w:rsidR="0073298C" w:rsidRDefault="0073298C" w:rsidP="0073298C">
            <w:pPr>
              <w:spacing w:before="22" w:after="22"/>
              <w:ind w:left="22" w:right="22"/>
              <w:rPr>
                <w:color w:val="000000"/>
              </w:rPr>
            </w:pPr>
            <w:r>
              <w:rPr>
                <w:color w:val="000000"/>
              </w:rPr>
              <w:t> </w:t>
            </w:r>
          </w:p>
        </w:tc>
        <w:tc>
          <w:tcPr>
            <w:tcW w:w="120" w:type="dxa"/>
            <w:tcBorders>
              <w:top w:val="nil"/>
              <w:left w:val="nil"/>
              <w:bottom w:val="nil"/>
              <w:right w:val="nil"/>
            </w:tcBorders>
            <w:shd w:val="clear" w:color="CFD4D8" w:fill="CFD4D8"/>
            <w:vAlign w:val="center"/>
          </w:tcPr>
          <w:p w:rsidR="0073298C" w:rsidRDefault="0073298C" w:rsidP="0073298C">
            <w:pPr>
              <w:spacing w:before="22" w:after="22"/>
              <w:ind w:left="22"/>
              <w:rPr>
                <w:rFonts w:ascii="Arial" w:hAnsi="Arial" w:cs="Arial"/>
                <w:color w:val="000000"/>
                <w:sz w:val="18"/>
                <w:szCs w:val="18"/>
              </w:rPr>
            </w:pPr>
            <w:r>
              <w:rPr>
                <w:rFonts w:ascii="Arial" w:hAnsi="Arial" w:cs="Arial"/>
                <w:color w:val="000000"/>
                <w:sz w:val="18"/>
                <w:szCs w:val="18"/>
              </w:rPr>
              <w:t>$</w:t>
            </w:r>
          </w:p>
        </w:tc>
        <w:tc>
          <w:tcPr>
            <w:tcW w:w="1178" w:type="dxa"/>
            <w:tcBorders>
              <w:top w:val="nil"/>
              <w:left w:val="nil"/>
              <w:bottom w:val="nil"/>
              <w:right w:val="nil"/>
            </w:tcBorders>
            <w:shd w:val="clear" w:color="CFD4D8" w:fill="CFD4D8"/>
            <w:vAlign w:val="center"/>
          </w:tcPr>
          <w:p w:rsidR="0073298C" w:rsidRDefault="0073298C" w:rsidP="0073298C">
            <w:pPr>
              <w:spacing w:before="22" w:after="22"/>
              <w:jc w:val="right"/>
              <w:rPr>
                <w:rFonts w:ascii="Arial" w:hAnsi="Arial" w:cs="Arial"/>
                <w:color w:val="000000"/>
                <w:sz w:val="18"/>
                <w:szCs w:val="18"/>
              </w:rPr>
            </w:pPr>
            <w:r>
              <w:rPr>
                <w:rFonts w:ascii="Arial" w:hAnsi="Arial" w:cs="Arial"/>
                <w:color w:val="000000"/>
                <w:sz w:val="18"/>
                <w:szCs w:val="18"/>
              </w:rPr>
              <w:t>4,182</w:t>
            </w:r>
          </w:p>
        </w:tc>
        <w:tc>
          <w:tcPr>
            <w:tcW w:w="180" w:type="dxa"/>
            <w:tcBorders>
              <w:top w:val="nil"/>
              <w:left w:val="nil"/>
              <w:bottom w:val="nil"/>
              <w:right w:val="nil"/>
            </w:tcBorders>
            <w:shd w:val="clear" w:color="CFD4D8" w:fill="CFD4D8"/>
            <w:vAlign w:val="bottom"/>
          </w:tcPr>
          <w:p w:rsidR="0073298C" w:rsidRDefault="0073298C" w:rsidP="0073298C">
            <w:pPr>
              <w:spacing w:before="22" w:after="22"/>
              <w:jc w:val="right"/>
              <w:rPr>
                <w:rFonts w:ascii="Arial" w:hAnsi="Arial" w:cs="Arial"/>
                <w:color w:val="000000"/>
                <w:sz w:val="18"/>
                <w:szCs w:val="18"/>
              </w:rPr>
            </w:pPr>
          </w:p>
          <w:p w:rsidR="0073298C" w:rsidRDefault="0073298C" w:rsidP="0073298C">
            <w:pPr>
              <w:rPr>
                <w:sz w:val="16"/>
                <w:szCs w:val="16"/>
              </w:rPr>
            </w:pPr>
            <w:r>
              <w:rPr>
                <w:sz w:val="16"/>
                <w:szCs w:val="16"/>
              </w:rPr>
              <w:t> </w:t>
            </w:r>
          </w:p>
        </w:tc>
        <w:tc>
          <w:tcPr>
            <w:tcW w:w="102" w:type="dxa"/>
            <w:tcBorders>
              <w:top w:val="nil"/>
              <w:left w:val="nil"/>
              <w:bottom w:val="nil"/>
              <w:right w:val="nil"/>
            </w:tcBorders>
            <w:shd w:val="clear" w:color="CFD4D8" w:fill="CFD4D8"/>
            <w:vAlign w:val="bottom"/>
          </w:tcPr>
          <w:p w:rsidR="0073298C" w:rsidRDefault="0073298C" w:rsidP="0073298C">
            <w:pPr>
              <w:spacing w:before="22" w:after="22"/>
              <w:ind w:left="22" w:right="22"/>
              <w:rPr>
                <w:color w:val="000000"/>
              </w:rPr>
            </w:pPr>
            <w:r>
              <w:rPr>
                <w:color w:val="000000"/>
              </w:rPr>
              <w:t> </w:t>
            </w:r>
          </w:p>
        </w:tc>
        <w:tc>
          <w:tcPr>
            <w:tcW w:w="120" w:type="dxa"/>
            <w:tcBorders>
              <w:top w:val="nil"/>
              <w:left w:val="nil"/>
              <w:bottom w:val="nil"/>
              <w:right w:val="nil"/>
            </w:tcBorders>
            <w:shd w:val="clear" w:color="CFD4D8" w:fill="CFD4D8"/>
            <w:vAlign w:val="center"/>
          </w:tcPr>
          <w:p w:rsidR="0073298C" w:rsidRDefault="0073298C" w:rsidP="0073298C">
            <w:pPr>
              <w:spacing w:before="22" w:after="22"/>
              <w:ind w:left="22"/>
              <w:rPr>
                <w:rFonts w:ascii="Arial" w:hAnsi="Arial" w:cs="Arial"/>
                <w:color w:val="000000"/>
                <w:sz w:val="18"/>
                <w:szCs w:val="18"/>
              </w:rPr>
            </w:pPr>
            <w:r>
              <w:rPr>
                <w:rFonts w:ascii="Arial" w:hAnsi="Arial" w:cs="Arial"/>
                <w:color w:val="000000"/>
                <w:sz w:val="18"/>
                <w:szCs w:val="18"/>
              </w:rPr>
              <w:t>$</w:t>
            </w:r>
          </w:p>
        </w:tc>
        <w:tc>
          <w:tcPr>
            <w:tcW w:w="1178" w:type="dxa"/>
            <w:tcBorders>
              <w:top w:val="nil"/>
              <w:left w:val="nil"/>
              <w:bottom w:val="nil"/>
              <w:right w:val="nil"/>
            </w:tcBorders>
            <w:shd w:val="clear" w:color="CFD4D8" w:fill="CFD4D8"/>
            <w:vAlign w:val="center"/>
          </w:tcPr>
          <w:p w:rsidR="0073298C" w:rsidRDefault="0073298C" w:rsidP="0073298C">
            <w:pPr>
              <w:spacing w:before="22" w:after="22"/>
              <w:jc w:val="right"/>
              <w:rPr>
                <w:rFonts w:ascii="Arial" w:hAnsi="Arial" w:cs="Arial"/>
                <w:color w:val="000000"/>
                <w:sz w:val="18"/>
                <w:szCs w:val="18"/>
              </w:rPr>
            </w:pPr>
            <w:r>
              <w:rPr>
                <w:rFonts w:ascii="Arial" w:hAnsi="Arial" w:cs="Arial"/>
                <w:color w:val="000000"/>
                <w:sz w:val="18"/>
                <w:szCs w:val="18"/>
              </w:rPr>
              <w:t>4,095</w:t>
            </w:r>
          </w:p>
        </w:tc>
        <w:tc>
          <w:tcPr>
            <w:tcW w:w="183" w:type="dxa"/>
            <w:tcBorders>
              <w:top w:val="nil"/>
              <w:left w:val="nil"/>
              <w:bottom w:val="nil"/>
              <w:right w:val="nil"/>
            </w:tcBorders>
            <w:shd w:val="clear" w:color="CFD4D8" w:fill="CFD4D8"/>
            <w:vAlign w:val="bottom"/>
          </w:tcPr>
          <w:p w:rsidR="0073298C" w:rsidRDefault="0073298C" w:rsidP="0073298C">
            <w:pPr>
              <w:spacing w:before="22" w:after="22"/>
              <w:jc w:val="right"/>
              <w:rPr>
                <w:rFonts w:ascii="Arial" w:hAnsi="Arial" w:cs="Arial"/>
                <w:color w:val="000000"/>
                <w:sz w:val="18"/>
                <w:szCs w:val="18"/>
              </w:rPr>
            </w:pPr>
          </w:p>
          <w:p w:rsidR="0073298C" w:rsidRDefault="0073298C" w:rsidP="0073298C">
            <w:pPr>
              <w:rPr>
                <w:sz w:val="16"/>
                <w:szCs w:val="16"/>
              </w:rPr>
            </w:pPr>
            <w:r>
              <w:rPr>
                <w:sz w:val="16"/>
                <w:szCs w:val="16"/>
              </w:rPr>
              <w:t> </w:t>
            </w:r>
          </w:p>
        </w:tc>
        <w:tc>
          <w:tcPr>
            <w:tcW w:w="102" w:type="dxa"/>
            <w:tcBorders>
              <w:top w:val="single" w:sz="6" w:space="0" w:color="00467E"/>
              <w:left w:val="nil"/>
              <w:bottom w:val="nil"/>
              <w:right w:val="nil"/>
            </w:tcBorders>
            <w:shd w:val="clear" w:color="00467E" w:fill="00467E"/>
            <w:vAlign w:val="bottom"/>
          </w:tcPr>
          <w:p w:rsidR="0073298C" w:rsidRDefault="0073298C" w:rsidP="0073298C">
            <w:pPr>
              <w:spacing w:before="22" w:after="22"/>
              <w:ind w:left="22" w:right="22"/>
              <w:rPr>
                <w:color w:val="000000"/>
              </w:rPr>
            </w:pPr>
            <w:r>
              <w:rPr>
                <w:color w:val="000000"/>
              </w:rPr>
              <w:t> </w:t>
            </w:r>
          </w:p>
        </w:tc>
        <w:tc>
          <w:tcPr>
            <w:tcW w:w="1021" w:type="dxa"/>
            <w:tcBorders>
              <w:top w:val="single" w:sz="6" w:space="0" w:color="000000"/>
              <w:left w:val="nil"/>
              <w:bottom w:val="nil"/>
              <w:right w:val="nil"/>
            </w:tcBorders>
            <w:shd w:val="clear" w:color="CFD4D8" w:fill="CFD4D8"/>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155.6</w:t>
            </w:r>
          </w:p>
        </w:tc>
        <w:tc>
          <w:tcPr>
            <w:tcW w:w="360" w:type="dxa"/>
            <w:tcBorders>
              <w:top w:val="single" w:sz="6" w:space="0" w:color="000000"/>
              <w:left w:val="nil"/>
              <w:bottom w:val="nil"/>
              <w:right w:val="nil"/>
            </w:tcBorders>
            <w:shd w:val="clear" w:color="CFD4D8" w:fill="CFD4D8"/>
            <w:vAlign w:val="center"/>
          </w:tcPr>
          <w:p w:rsidR="0073298C" w:rsidRDefault="0073298C" w:rsidP="0073298C">
            <w:pPr>
              <w:spacing w:before="22" w:after="22"/>
              <w:ind w:right="22"/>
              <w:rPr>
                <w:rFonts w:ascii="Arial" w:hAnsi="Arial" w:cs="Arial"/>
                <w:color w:val="000000"/>
                <w:sz w:val="18"/>
                <w:szCs w:val="18"/>
              </w:rPr>
            </w:pPr>
            <w:r>
              <w:rPr>
                <w:rFonts w:ascii="Arial" w:hAnsi="Arial" w:cs="Arial"/>
                <w:color w:val="000000"/>
                <w:sz w:val="18"/>
                <w:szCs w:val="18"/>
              </w:rPr>
              <w:t> %</w:t>
            </w:r>
          </w:p>
        </w:tc>
        <w:tc>
          <w:tcPr>
            <w:tcW w:w="102" w:type="dxa"/>
            <w:tcBorders>
              <w:top w:val="single" w:sz="6" w:space="0" w:color="000000"/>
              <w:left w:val="nil"/>
              <w:bottom w:val="nil"/>
              <w:right w:val="nil"/>
            </w:tcBorders>
            <w:shd w:val="clear" w:color="CFD4D8" w:fill="CFD4D8"/>
            <w:vAlign w:val="bottom"/>
          </w:tcPr>
          <w:p w:rsidR="0073298C" w:rsidRDefault="0073298C" w:rsidP="0073298C">
            <w:pPr>
              <w:spacing w:before="22" w:after="22"/>
              <w:ind w:left="22" w:right="22"/>
              <w:rPr>
                <w:color w:val="000000"/>
              </w:rPr>
            </w:pPr>
            <w:r>
              <w:rPr>
                <w:color w:val="000000"/>
              </w:rPr>
              <w:t> </w:t>
            </w:r>
          </w:p>
        </w:tc>
        <w:tc>
          <w:tcPr>
            <w:tcW w:w="1021" w:type="dxa"/>
            <w:tcBorders>
              <w:top w:val="single" w:sz="6" w:space="0" w:color="000000"/>
              <w:left w:val="nil"/>
              <w:bottom w:val="nil"/>
              <w:right w:val="nil"/>
            </w:tcBorders>
            <w:shd w:val="clear" w:color="CFD4D8" w:fill="CFD4D8"/>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2.1</w:t>
            </w:r>
          </w:p>
        </w:tc>
        <w:tc>
          <w:tcPr>
            <w:tcW w:w="367" w:type="dxa"/>
            <w:gridSpan w:val="2"/>
            <w:tcBorders>
              <w:top w:val="single" w:sz="6" w:space="0" w:color="000000"/>
              <w:left w:val="nil"/>
              <w:bottom w:val="nil"/>
              <w:right w:val="single" w:sz="6" w:space="0" w:color="00467E"/>
            </w:tcBorders>
            <w:shd w:val="clear" w:color="CFD4D8" w:fill="CFD4D8"/>
            <w:vAlign w:val="center"/>
          </w:tcPr>
          <w:p w:rsidR="0073298C" w:rsidRDefault="0073298C" w:rsidP="0073298C">
            <w:pPr>
              <w:spacing w:before="22" w:after="22"/>
              <w:ind w:right="22"/>
              <w:rPr>
                <w:rFonts w:ascii="Arial" w:hAnsi="Arial" w:cs="Arial"/>
                <w:color w:val="000000"/>
                <w:sz w:val="18"/>
                <w:szCs w:val="18"/>
              </w:rPr>
            </w:pPr>
            <w:r>
              <w:rPr>
                <w:rFonts w:ascii="Arial" w:hAnsi="Arial" w:cs="Arial"/>
                <w:color w:val="000000"/>
                <w:sz w:val="18"/>
                <w:szCs w:val="18"/>
              </w:rPr>
              <w:t> %</w:t>
            </w:r>
          </w:p>
        </w:tc>
      </w:tr>
      <w:tr w:rsidR="0073298C" w:rsidTr="000E3B20">
        <w:tblPrEx>
          <w:tblCellMar>
            <w:top w:w="0" w:type="dxa"/>
            <w:left w:w="0" w:type="dxa"/>
            <w:bottom w:w="0" w:type="dxa"/>
            <w:right w:w="0" w:type="dxa"/>
          </w:tblCellMar>
        </w:tblPrEx>
        <w:trPr>
          <w:trHeight w:val="298"/>
        </w:trPr>
        <w:tc>
          <w:tcPr>
            <w:tcW w:w="3175" w:type="dxa"/>
            <w:tcBorders>
              <w:top w:val="nil"/>
              <w:left w:val="single" w:sz="6" w:space="0" w:color="00467E"/>
              <w:bottom w:val="nil"/>
              <w:right w:val="nil"/>
            </w:tcBorders>
            <w:vAlign w:val="center"/>
          </w:tcPr>
          <w:p w:rsidR="0073298C" w:rsidRDefault="0073298C" w:rsidP="0073298C">
            <w:pPr>
              <w:spacing w:before="22" w:after="22"/>
              <w:ind w:left="330" w:right="22"/>
              <w:rPr>
                <w:rFonts w:ascii="Arial" w:hAnsi="Arial" w:cs="Arial"/>
                <w:color w:val="000000"/>
                <w:sz w:val="18"/>
                <w:szCs w:val="18"/>
              </w:rPr>
            </w:pPr>
            <w:r>
              <w:rPr>
                <w:rFonts w:ascii="Arial" w:hAnsi="Arial" w:cs="Arial"/>
                <w:color w:val="000000"/>
                <w:sz w:val="18"/>
                <w:szCs w:val="18"/>
              </w:rPr>
              <w:t>% of total revenue</w:t>
            </w:r>
          </w:p>
        </w:tc>
        <w:tc>
          <w:tcPr>
            <w:tcW w:w="1312" w:type="dxa"/>
            <w:gridSpan w:val="2"/>
            <w:tcBorders>
              <w:top w:val="nil"/>
              <w:left w:val="nil"/>
              <w:bottom w:val="nil"/>
              <w:right w:val="nil"/>
            </w:tcBorders>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0.4</w:t>
            </w:r>
          </w:p>
        </w:tc>
        <w:tc>
          <w:tcPr>
            <w:tcW w:w="180" w:type="dxa"/>
            <w:tcBorders>
              <w:top w:val="nil"/>
              <w:left w:val="nil"/>
              <w:bottom w:val="nil"/>
              <w:right w:val="nil"/>
            </w:tcBorders>
            <w:vAlign w:val="center"/>
          </w:tcPr>
          <w:p w:rsidR="0073298C" w:rsidRDefault="0073298C" w:rsidP="0073298C">
            <w:pPr>
              <w:spacing w:before="22" w:after="22"/>
              <w:ind w:right="22"/>
              <w:rPr>
                <w:rFonts w:ascii="Arial" w:hAnsi="Arial" w:cs="Arial"/>
                <w:color w:val="000000"/>
                <w:sz w:val="18"/>
                <w:szCs w:val="18"/>
              </w:rPr>
            </w:pPr>
            <w:r>
              <w:rPr>
                <w:rFonts w:ascii="Arial" w:hAnsi="Arial" w:cs="Arial"/>
                <w:color w:val="000000"/>
                <w:sz w:val="18"/>
                <w:szCs w:val="18"/>
              </w:rPr>
              <w:t>%</w:t>
            </w:r>
          </w:p>
        </w:tc>
        <w:tc>
          <w:tcPr>
            <w:tcW w:w="102" w:type="dxa"/>
            <w:tcBorders>
              <w:top w:val="nil"/>
              <w:left w:val="nil"/>
              <w:bottom w:val="nil"/>
              <w:right w:val="nil"/>
            </w:tcBorders>
            <w:vAlign w:val="bottom"/>
          </w:tcPr>
          <w:p w:rsidR="0073298C" w:rsidRDefault="0073298C" w:rsidP="0073298C">
            <w:pPr>
              <w:spacing w:before="22" w:after="22"/>
              <w:ind w:left="22" w:right="22"/>
              <w:rPr>
                <w:color w:val="000000"/>
              </w:rPr>
            </w:pPr>
            <w:r>
              <w:rPr>
                <w:color w:val="000000"/>
              </w:rPr>
              <w:t> </w:t>
            </w:r>
          </w:p>
        </w:tc>
        <w:tc>
          <w:tcPr>
            <w:tcW w:w="1298" w:type="dxa"/>
            <w:gridSpan w:val="2"/>
            <w:tcBorders>
              <w:top w:val="nil"/>
              <w:left w:val="nil"/>
              <w:bottom w:val="nil"/>
              <w:right w:val="nil"/>
            </w:tcBorders>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0.4</w:t>
            </w:r>
          </w:p>
        </w:tc>
        <w:tc>
          <w:tcPr>
            <w:tcW w:w="180" w:type="dxa"/>
            <w:tcBorders>
              <w:top w:val="nil"/>
              <w:left w:val="nil"/>
              <w:bottom w:val="nil"/>
              <w:right w:val="nil"/>
            </w:tcBorders>
            <w:vAlign w:val="center"/>
          </w:tcPr>
          <w:p w:rsidR="0073298C" w:rsidRDefault="0073298C" w:rsidP="0073298C">
            <w:pPr>
              <w:spacing w:before="22" w:after="22"/>
              <w:ind w:right="22"/>
              <w:rPr>
                <w:rFonts w:ascii="Arial" w:hAnsi="Arial" w:cs="Arial"/>
                <w:color w:val="000000"/>
                <w:sz w:val="18"/>
                <w:szCs w:val="18"/>
              </w:rPr>
            </w:pPr>
            <w:r>
              <w:rPr>
                <w:rFonts w:ascii="Arial" w:hAnsi="Arial" w:cs="Arial"/>
                <w:color w:val="000000"/>
                <w:sz w:val="18"/>
                <w:szCs w:val="18"/>
              </w:rPr>
              <w:t>%</w:t>
            </w:r>
          </w:p>
        </w:tc>
        <w:tc>
          <w:tcPr>
            <w:tcW w:w="102" w:type="dxa"/>
            <w:tcBorders>
              <w:top w:val="nil"/>
              <w:left w:val="nil"/>
              <w:bottom w:val="nil"/>
              <w:right w:val="nil"/>
            </w:tcBorders>
            <w:vAlign w:val="bottom"/>
          </w:tcPr>
          <w:p w:rsidR="0073298C" w:rsidRDefault="0073298C" w:rsidP="0073298C">
            <w:pPr>
              <w:spacing w:before="22" w:after="22"/>
              <w:ind w:left="22" w:right="22"/>
              <w:rPr>
                <w:color w:val="000000"/>
              </w:rPr>
            </w:pPr>
            <w:r>
              <w:rPr>
                <w:color w:val="000000"/>
              </w:rPr>
              <w:t> </w:t>
            </w:r>
          </w:p>
        </w:tc>
        <w:tc>
          <w:tcPr>
            <w:tcW w:w="1298" w:type="dxa"/>
            <w:gridSpan w:val="2"/>
            <w:tcBorders>
              <w:top w:val="nil"/>
              <w:left w:val="nil"/>
              <w:bottom w:val="nil"/>
              <w:right w:val="nil"/>
            </w:tcBorders>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0.3</w:t>
            </w:r>
          </w:p>
        </w:tc>
        <w:tc>
          <w:tcPr>
            <w:tcW w:w="183" w:type="dxa"/>
            <w:tcBorders>
              <w:top w:val="nil"/>
              <w:left w:val="nil"/>
              <w:bottom w:val="nil"/>
              <w:right w:val="nil"/>
            </w:tcBorders>
            <w:vAlign w:val="center"/>
          </w:tcPr>
          <w:p w:rsidR="0073298C" w:rsidRDefault="0073298C" w:rsidP="0073298C">
            <w:pPr>
              <w:spacing w:before="22" w:after="22"/>
              <w:ind w:right="22"/>
              <w:rPr>
                <w:rFonts w:ascii="Arial" w:hAnsi="Arial" w:cs="Arial"/>
                <w:color w:val="000000"/>
                <w:sz w:val="18"/>
                <w:szCs w:val="18"/>
              </w:rPr>
            </w:pPr>
            <w:r>
              <w:rPr>
                <w:rFonts w:ascii="Arial" w:hAnsi="Arial" w:cs="Arial"/>
                <w:color w:val="000000"/>
                <w:sz w:val="18"/>
                <w:szCs w:val="18"/>
              </w:rPr>
              <w:t>%</w:t>
            </w:r>
          </w:p>
        </w:tc>
        <w:tc>
          <w:tcPr>
            <w:tcW w:w="102" w:type="dxa"/>
            <w:tcBorders>
              <w:top w:val="single" w:sz="6" w:space="0" w:color="00467E"/>
              <w:left w:val="nil"/>
              <w:bottom w:val="nil"/>
              <w:right w:val="nil"/>
            </w:tcBorders>
            <w:shd w:val="clear" w:color="00467E" w:fill="00467E"/>
            <w:vAlign w:val="bottom"/>
          </w:tcPr>
          <w:p w:rsidR="0073298C" w:rsidRDefault="0073298C" w:rsidP="0073298C">
            <w:pPr>
              <w:spacing w:before="22" w:after="22"/>
              <w:ind w:left="22" w:right="22"/>
              <w:rPr>
                <w:color w:val="000000"/>
              </w:rPr>
            </w:pPr>
            <w:r>
              <w:rPr>
                <w:color w:val="000000"/>
              </w:rPr>
              <w:t> </w:t>
            </w:r>
          </w:p>
        </w:tc>
        <w:tc>
          <w:tcPr>
            <w:tcW w:w="1021" w:type="dxa"/>
            <w:tcBorders>
              <w:top w:val="nil"/>
              <w:left w:val="nil"/>
              <w:bottom w:val="nil"/>
              <w:right w:val="nil"/>
            </w:tcBorders>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w:t>
            </w:r>
          </w:p>
        </w:tc>
        <w:tc>
          <w:tcPr>
            <w:tcW w:w="360" w:type="dxa"/>
            <w:tcBorders>
              <w:top w:val="nil"/>
              <w:left w:val="nil"/>
              <w:bottom w:val="nil"/>
              <w:right w:val="nil"/>
            </w:tcBorders>
            <w:vAlign w:val="bottom"/>
          </w:tcPr>
          <w:p w:rsidR="0073298C" w:rsidRDefault="0073298C" w:rsidP="0073298C">
            <w:pPr>
              <w:spacing w:before="22" w:after="22"/>
              <w:ind w:left="22"/>
              <w:jc w:val="right"/>
              <w:rPr>
                <w:rFonts w:ascii="Arial" w:hAnsi="Arial" w:cs="Arial"/>
                <w:color w:val="000000"/>
                <w:sz w:val="18"/>
                <w:szCs w:val="18"/>
              </w:rPr>
            </w:pPr>
          </w:p>
          <w:p w:rsidR="0073298C" w:rsidRDefault="0073298C" w:rsidP="0073298C">
            <w:pPr>
              <w:rPr>
                <w:sz w:val="16"/>
                <w:szCs w:val="16"/>
              </w:rPr>
            </w:pPr>
            <w:r>
              <w:rPr>
                <w:sz w:val="16"/>
                <w:szCs w:val="16"/>
              </w:rPr>
              <w:t> </w:t>
            </w:r>
          </w:p>
        </w:tc>
        <w:tc>
          <w:tcPr>
            <w:tcW w:w="102" w:type="dxa"/>
            <w:tcBorders>
              <w:top w:val="nil"/>
              <w:left w:val="nil"/>
              <w:bottom w:val="nil"/>
              <w:right w:val="nil"/>
            </w:tcBorders>
            <w:vAlign w:val="bottom"/>
          </w:tcPr>
          <w:p w:rsidR="0073298C" w:rsidRDefault="0073298C" w:rsidP="0073298C">
            <w:pPr>
              <w:spacing w:before="22" w:after="22"/>
              <w:ind w:left="22" w:right="22"/>
              <w:rPr>
                <w:color w:val="000000"/>
              </w:rPr>
            </w:pPr>
            <w:r>
              <w:rPr>
                <w:color w:val="000000"/>
              </w:rPr>
              <w:t> </w:t>
            </w:r>
          </w:p>
        </w:tc>
        <w:tc>
          <w:tcPr>
            <w:tcW w:w="1021" w:type="dxa"/>
            <w:tcBorders>
              <w:top w:val="nil"/>
              <w:left w:val="nil"/>
              <w:bottom w:val="nil"/>
              <w:right w:val="nil"/>
            </w:tcBorders>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10</w:t>
            </w:r>
          </w:p>
        </w:tc>
        <w:tc>
          <w:tcPr>
            <w:tcW w:w="367" w:type="dxa"/>
            <w:gridSpan w:val="2"/>
            <w:tcBorders>
              <w:top w:val="nil"/>
              <w:left w:val="nil"/>
              <w:bottom w:val="nil"/>
              <w:right w:val="single" w:sz="6" w:space="0" w:color="00467E"/>
            </w:tcBorders>
            <w:vAlign w:val="center"/>
          </w:tcPr>
          <w:p w:rsidR="0073298C" w:rsidRDefault="0073298C" w:rsidP="0073298C">
            <w:pPr>
              <w:spacing w:before="22" w:after="22"/>
              <w:ind w:right="22"/>
              <w:rPr>
                <w:rFonts w:ascii="Arial" w:hAnsi="Arial" w:cs="Arial"/>
                <w:color w:val="000000"/>
                <w:sz w:val="18"/>
                <w:szCs w:val="18"/>
              </w:rPr>
            </w:pPr>
            <w:r>
              <w:rPr>
                <w:rFonts w:ascii="Arial" w:hAnsi="Arial" w:cs="Arial"/>
                <w:color w:val="000000"/>
                <w:sz w:val="18"/>
                <w:szCs w:val="18"/>
              </w:rPr>
              <w:t> bps</w:t>
            </w:r>
          </w:p>
        </w:tc>
      </w:tr>
      <w:tr w:rsidR="0073298C" w:rsidTr="000E3B20">
        <w:tblPrEx>
          <w:tblCellMar>
            <w:top w:w="0" w:type="dxa"/>
            <w:left w:w="0" w:type="dxa"/>
            <w:bottom w:w="0" w:type="dxa"/>
            <w:right w:w="0" w:type="dxa"/>
          </w:tblCellMar>
        </w:tblPrEx>
        <w:trPr>
          <w:trHeight w:val="479"/>
        </w:trPr>
        <w:tc>
          <w:tcPr>
            <w:tcW w:w="3175" w:type="dxa"/>
            <w:tcBorders>
              <w:top w:val="nil"/>
              <w:left w:val="single" w:sz="6" w:space="0" w:color="00467E"/>
              <w:bottom w:val="single" w:sz="6" w:space="0" w:color="00467E"/>
              <w:right w:val="nil"/>
            </w:tcBorders>
            <w:shd w:val="clear" w:color="CFD4D8" w:fill="CFD4D8"/>
            <w:vAlign w:val="center"/>
          </w:tcPr>
          <w:p w:rsidR="0073298C" w:rsidRDefault="0073298C" w:rsidP="0073298C">
            <w:pPr>
              <w:spacing w:before="22" w:after="22"/>
              <w:ind w:left="330" w:right="22"/>
              <w:rPr>
                <w:rFonts w:ascii="Arial" w:hAnsi="Arial" w:cs="Arial"/>
                <w:color w:val="000000"/>
                <w:sz w:val="18"/>
                <w:szCs w:val="18"/>
              </w:rPr>
            </w:pPr>
            <w:r>
              <w:rPr>
                <w:rFonts w:ascii="Arial" w:hAnsi="Arial" w:cs="Arial"/>
                <w:color w:val="000000"/>
                <w:sz w:val="18"/>
                <w:szCs w:val="18"/>
              </w:rPr>
              <w:t>% of revenue before fuel surcharge</w:t>
            </w:r>
          </w:p>
        </w:tc>
        <w:tc>
          <w:tcPr>
            <w:tcW w:w="1312" w:type="dxa"/>
            <w:gridSpan w:val="2"/>
            <w:tcBorders>
              <w:top w:val="nil"/>
              <w:left w:val="nil"/>
              <w:bottom w:val="single" w:sz="6" w:space="0" w:color="00467E"/>
              <w:right w:val="nil"/>
            </w:tcBorders>
            <w:shd w:val="clear" w:color="CFD4D8" w:fill="CFD4D8"/>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0.5</w:t>
            </w:r>
          </w:p>
        </w:tc>
        <w:tc>
          <w:tcPr>
            <w:tcW w:w="180" w:type="dxa"/>
            <w:tcBorders>
              <w:top w:val="nil"/>
              <w:left w:val="nil"/>
              <w:bottom w:val="single" w:sz="6" w:space="0" w:color="00467E"/>
              <w:right w:val="nil"/>
            </w:tcBorders>
            <w:shd w:val="clear" w:color="CFD4D8" w:fill="CFD4D8"/>
            <w:vAlign w:val="center"/>
          </w:tcPr>
          <w:p w:rsidR="0073298C" w:rsidRDefault="0073298C" w:rsidP="0073298C">
            <w:pPr>
              <w:spacing w:before="22" w:after="22"/>
              <w:ind w:right="22"/>
              <w:rPr>
                <w:rFonts w:ascii="Arial" w:hAnsi="Arial" w:cs="Arial"/>
                <w:color w:val="000000"/>
                <w:sz w:val="18"/>
                <w:szCs w:val="18"/>
              </w:rPr>
            </w:pPr>
            <w:r>
              <w:rPr>
                <w:rFonts w:ascii="Arial" w:hAnsi="Arial" w:cs="Arial"/>
                <w:color w:val="000000"/>
                <w:sz w:val="18"/>
                <w:szCs w:val="18"/>
              </w:rPr>
              <w:t>%</w:t>
            </w:r>
          </w:p>
        </w:tc>
        <w:tc>
          <w:tcPr>
            <w:tcW w:w="102" w:type="dxa"/>
            <w:tcBorders>
              <w:top w:val="nil"/>
              <w:left w:val="nil"/>
              <w:bottom w:val="single" w:sz="6" w:space="0" w:color="00467E"/>
              <w:right w:val="nil"/>
            </w:tcBorders>
            <w:shd w:val="clear" w:color="CFD4D8" w:fill="CFD4D8"/>
            <w:vAlign w:val="bottom"/>
          </w:tcPr>
          <w:p w:rsidR="0073298C" w:rsidRDefault="0073298C" w:rsidP="0073298C">
            <w:pPr>
              <w:spacing w:before="22" w:after="22"/>
              <w:ind w:left="22" w:right="22"/>
              <w:rPr>
                <w:color w:val="000000"/>
              </w:rPr>
            </w:pPr>
            <w:r>
              <w:rPr>
                <w:color w:val="000000"/>
              </w:rPr>
              <w:t> </w:t>
            </w:r>
          </w:p>
        </w:tc>
        <w:tc>
          <w:tcPr>
            <w:tcW w:w="1298" w:type="dxa"/>
            <w:gridSpan w:val="2"/>
            <w:tcBorders>
              <w:top w:val="nil"/>
              <w:left w:val="nil"/>
              <w:bottom w:val="single" w:sz="6" w:space="0" w:color="00467E"/>
              <w:right w:val="nil"/>
            </w:tcBorders>
            <w:shd w:val="clear" w:color="CFD4D8" w:fill="CFD4D8"/>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0.4</w:t>
            </w:r>
          </w:p>
        </w:tc>
        <w:tc>
          <w:tcPr>
            <w:tcW w:w="180" w:type="dxa"/>
            <w:tcBorders>
              <w:top w:val="nil"/>
              <w:left w:val="nil"/>
              <w:bottom w:val="single" w:sz="6" w:space="0" w:color="00467E"/>
              <w:right w:val="nil"/>
            </w:tcBorders>
            <w:shd w:val="clear" w:color="CFD4D8" w:fill="CFD4D8"/>
            <w:vAlign w:val="center"/>
          </w:tcPr>
          <w:p w:rsidR="0073298C" w:rsidRDefault="0073298C" w:rsidP="0073298C">
            <w:pPr>
              <w:spacing w:before="22" w:after="22"/>
              <w:ind w:right="22"/>
              <w:rPr>
                <w:rFonts w:ascii="Arial" w:hAnsi="Arial" w:cs="Arial"/>
                <w:color w:val="000000"/>
                <w:sz w:val="18"/>
                <w:szCs w:val="18"/>
              </w:rPr>
            </w:pPr>
            <w:r>
              <w:rPr>
                <w:rFonts w:ascii="Arial" w:hAnsi="Arial" w:cs="Arial"/>
                <w:color w:val="000000"/>
                <w:sz w:val="18"/>
                <w:szCs w:val="18"/>
              </w:rPr>
              <w:t>%</w:t>
            </w:r>
          </w:p>
        </w:tc>
        <w:tc>
          <w:tcPr>
            <w:tcW w:w="102" w:type="dxa"/>
            <w:tcBorders>
              <w:top w:val="nil"/>
              <w:left w:val="nil"/>
              <w:bottom w:val="single" w:sz="6" w:space="0" w:color="00467E"/>
              <w:right w:val="nil"/>
            </w:tcBorders>
            <w:shd w:val="clear" w:color="CFD4D8" w:fill="CFD4D8"/>
            <w:vAlign w:val="bottom"/>
          </w:tcPr>
          <w:p w:rsidR="0073298C" w:rsidRDefault="0073298C" w:rsidP="0073298C">
            <w:pPr>
              <w:spacing w:before="22" w:after="22"/>
              <w:ind w:left="22" w:right="22"/>
              <w:rPr>
                <w:color w:val="000000"/>
              </w:rPr>
            </w:pPr>
            <w:r>
              <w:rPr>
                <w:color w:val="000000"/>
              </w:rPr>
              <w:t> </w:t>
            </w:r>
          </w:p>
        </w:tc>
        <w:tc>
          <w:tcPr>
            <w:tcW w:w="1298" w:type="dxa"/>
            <w:gridSpan w:val="2"/>
            <w:tcBorders>
              <w:top w:val="nil"/>
              <w:left w:val="nil"/>
              <w:bottom w:val="single" w:sz="6" w:space="0" w:color="00467E"/>
              <w:right w:val="nil"/>
            </w:tcBorders>
            <w:shd w:val="clear" w:color="CFD4D8" w:fill="CFD4D8"/>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0.4</w:t>
            </w:r>
          </w:p>
        </w:tc>
        <w:tc>
          <w:tcPr>
            <w:tcW w:w="183" w:type="dxa"/>
            <w:tcBorders>
              <w:top w:val="nil"/>
              <w:left w:val="nil"/>
              <w:bottom w:val="single" w:sz="6" w:space="0" w:color="00467E"/>
              <w:right w:val="nil"/>
            </w:tcBorders>
            <w:shd w:val="clear" w:color="CFD4D8" w:fill="CFD4D8"/>
            <w:vAlign w:val="center"/>
          </w:tcPr>
          <w:p w:rsidR="0073298C" w:rsidRDefault="0073298C" w:rsidP="0073298C">
            <w:pPr>
              <w:spacing w:before="22" w:after="22"/>
              <w:ind w:right="22"/>
              <w:rPr>
                <w:rFonts w:ascii="Arial" w:hAnsi="Arial" w:cs="Arial"/>
                <w:color w:val="000000"/>
                <w:sz w:val="18"/>
                <w:szCs w:val="18"/>
              </w:rPr>
            </w:pPr>
            <w:r>
              <w:rPr>
                <w:rFonts w:ascii="Arial" w:hAnsi="Arial" w:cs="Arial"/>
                <w:color w:val="000000"/>
                <w:sz w:val="18"/>
                <w:szCs w:val="18"/>
              </w:rPr>
              <w:t>%</w:t>
            </w:r>
          </w:p>
        </w:tc>
        <w:tc>
          <w:tcPr>
            <w:tcW w:w="102" w:type="dxa"/>
            <w:tcBorders>
              <w:top w:val="single" w:sz="6" w:space="0" w:color="00467E"/>
              <w:left w:val="nil"/>
              <w:bottom w:val="single" w:sz="6" w:space="0" w:color="00467E"/>
              <w:right w:val="nil"/>
            </w:tcBorders>
            <w:shd w:val="clear" w:color="00467E" w:fill="00467E"/>
            <w:vAlign w:val="bottom"/>
          </w:tcPr>
          <w:p w:rsidR="0073298C" w:rsidRDefault="0073298C" w:rsidP="0073298C">
            <w:pPr>
              <w:spacing w:before="22" w:after="22"/>
              <w:ind w:left="22" w:right="22"/>
              <w:rPr>
                <w:color w:val="000000"/>
              </w:rPr>
            </w:pPr>
            <w:r>
              <w:rPr>
                <w:color w:val="000000"/>
              </w:rPr>
              <w:t> </w:t>
            </w:r>
          </w:p>
        </w:tc>
        <w:tc>
          <w:tcPr>
            <w:tcW w:w="1021" w:type="dxa"/>
            <w:tcBorders>
              <w:top w:val="nil"/>
              <w:left w:val="nil"/>
              <w:bottom w:val="single" w:sz="6" w:space="0" w:color="00467E"/>
              <w:right w:val="nil"/>
            </w:tcBorders>
            <w:shd w:val="clear" w:color="CFD4D8" w:fill="CFD4D8"/>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10</w:t>
            </w:r>
          </w:p>
        </w:tc>
        <w:tc>
          <w:tcPr>
            <w:tcW w:w="360" w:type="dxa"/>
            <w:tcBorders>
              <w:top w:val="nil"/>
              <w:left w:val="nil"/>
              <w:bottom w:val="single" w:sz="6" w:space="0" w:color="00467E"/>
              <w:right w:val="nil"/>
            </w:tcBorders>
            <w:shd w:val="clear" w:color="CFD4D8" w:fill="CFD4D8"/>
            <w:vAlign w:val="center"/>
          </w:tcPr>
          <w:p w:rsidR="0073298C" w:rsidRDefault="0073298C" w:rsidP="0073298C">
            <w:pPr>
              <w:spacing w:before="22" w:after="22"/>
              <w:ind w:right="22"/>
              <w:rPr>
                <w:rFonts w:ascii="Arial" w:hAnsi="Arial" w:cs="Arial"/>
                <w:color w:val="000000"/>
                <w:sz w:val="18"/>
                <w:szCs w:val="18"/>
              </w:rPr>
            </w:pPr>
            <w:r>
              <w:rPr>
                <w:rFonts w:ascii="Arial" w:hAnsi="Arial" w:cs="Arial"/>
                <w:color w:val="000000"/>
                <w:sz w:val="18"/>
                <w:szCs w:val="18"/>
              </w:rPr>
              <w:t> bps</w:t>
            </w:r>
          </w:p>
        </w:tc>
        <w:tc>
          <w:tcPr>
            <w:tcW w:w="102" w:type="dxa"/>
            <w:tcBorders>
              <w:top w:val="nil"/>
              <w:left w:val="nil"/>
              <w:bottom w:val="single" w:sz="6" w:space="0" w:color="00467E"/>
              <w:right w:val="nil"/>
            </w:tcBorders>
            <w:shd w:val="clear" w:color="CFD4D8" w:fill="CFD4D8"/>
            <w:vAlign w:val="bottom"/>
          </w:tcPr>
          <w:p w:rsidR="0073298C" w:rsidRDefault="0073298C" w:rsidP="0073298C">
            <w:pPr>
              <w:spacing w:before="22" w:after="22"/>
              <w:ind w:left="22" w:right="22"/>
              <w:rPr>
                <w:color w:val="000000"/>
              </w:rPr>
            </w:pPr>
            <w:r>
              <w:rPr>
                <w:color w:val="000000"/>
              </w:rPr>
              <w:t> </w:t>
            </w:r>
          </w:p>
        </w:tc>
        <w:tc>
          <w:tcPr>
            <w:tcW w:w="1021" w:type="dxa"/>
            <w:tcBorders>
              <w:top w:val="nil"/>
              <w:left w:val="nil"/>
              <w:bottom w:val="single" w:sz="6" w:space="0" w:color="00467E"/>
              <w:right w:val="nil"/>
            </w:tcBorders>
            <w:shd w:val="clear" w:color="CFD4D8" w:fill="CFD4D8"/>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w:t>
            </w:r>
          </w:p>
        </w:tc>
        <w:tc>
          <w:tcPr>
            <w:tcW w:w="367" w:type="dxa"/>
            <w:gridSpan w:val="2"/>
            <w:tcBorders>
              <w:top w:val="nil"/>
              <w:left w:val="nil"/>
              <w:bottom w:val="single" w:sz="6" w:space="0" w:color="00467E"/>
              <w:right w:val="single" w:sz="6" w:space="0" w:color="00467E"/>
            </w:tcBorders>
            <w:shd w:val="clear" w:color="CFD4D8" w:fill="CFD4D8"/>
            <w:vAlign w:val="bottom"/>
          </w:tcPr>
          <w:p w:rsidR="0073298C" w:rsidRDefault="0073298C" w:rsidP="0073298C">
            <w:pPr>
              <w:spacing w:before="22" w:after="22"/>
              <w:ind w:left="22"/>
              <w:jc w:val="right"/>
              <w:rPr>
                <w:rFonts w:ascii="Arial" w:hAnsi="Arial" w:cs="Arial"/>
                <w:color w:val="000000"/>
                <w:sz w:val="18"/>
                <w:szCs w:val="18"/>
              </w:rPr>
            </w:pPr>
          </w:p>
          <w:p w:rsidR="0073298C" w:rsidRDefault="0073298C" w:rsidP="0073298C">
            <w:pPr>
              <w:rPr>
                <w:sz w:val="16"/>
                <w:szCs w:val="16"/>
              </w:rPr>
            </w:pPr>
            <w:r>
              <w:rPr>
                <w:sz w:val="16"/>
                <w:szCs w:val="16"/>
              </w:rPr>
              <w:t> </w:t>
            </w:r>
          </w:p>
        </w:tc>
      </w:tr>
    </w:tbl>
    <w:p w:rsidR="0073298C" w:rsidRDefault="0073298C" w:rsidP="0073298C">
      <w:pPr>
        <w:spacing w:after="132"/>
        <w:jc w:val="both"/>
        <w:rPr>
          <w:rFonts w:ascii="Arial" w:hAnsi="Arial" w:cs="Arial"/>
          <w:color w:val="000000"/>
          <w:sz w:val="18"/>
          <w:szCs w:val="18"/>
        </w:rPr>
      </w:pPr>
      <w:r>
        <w:rPr>
          <w:rFonts w:ascii="Arial" w:hAnsi="Arial" w:cs="Arial"/>
          <w:color w:val="000000"/>
          <w:sz w:val="18"/>
          <w:szCs w:val="18"/>
        </w:rPr>
        <w:t>Communications expense is comprised of costs associated with our tractor and trailer tracking systems, information technology systems, and phone systems.</w:t>
      </w:r>
    </w:p>
    <w:p w:rsidR="0073298C" w:rsidRDefault="0073298C" w:rsidP="0073298C">
      <w:pPr>
        <w:spacing w:after="132"/>
        <w:jc w:val="both"/>
        <w:rPr>
          <w:rFonts w:ascii="Arial" w:hAnsi="Arial" w:cs="Arial"/>
          <w:color w:val="000000"/>
          <w:sz w:val="18"/>
          <w:szCs w:val="18"/>
        </w:rPr>
      </w:pPr>
      <w:r>
        <w:rPr>
          <w:rFonts w:ascii="Arial" w:hAnsi="Arial" w:cs="Arial"/>
          <w:i/>
          <w:iCs/>
          <w:color w:val="000000"/>
          <w:sz w:val="18"/>
          <w:szCs w:val="18"/>
        </w:rPr>
        <w:t>2017 Compared to 2016 —</w:t>
      </w:r>
      <w:r>
        <w:rPr>
          <w:rFonts w:ascii="Arial" w:hAnsi="Arial" w:cs="Arial"/>
          <w:color w:val="000000"/>
          <w:sz w:val="18"/>
          <w:szCs w:val="18"/>
        </w:rPr>
        <w:t xml:space="preserve"> The $6.5 million increase in consolidated communications expense includes $6.2 million of expense from Swift's results for the September 9, 2017 through December 31, 2017 period. Knight's </w:t>
      </w:r>
      <w:r>
        <w:rPr>
          <w:rFonts w:ascii="Arial" w:hAnsi="Arial" w:cs="Arial"/>
          <w:color w:val="000000"/>
          <w:sz w:val="18"/>
          <w:szCs w:val="18"/>
        </w:rPr>
        <w:lastRenderedPageBreak/>
        <w:t>communications expense slightly increased from 2016 to 2017, but remained flat as a percentage of revenue before fuel surcharge, as did consolidated communications expense.</w:t>
      </w:r>
    </w:p>
    <w:p w:rsidR="0073298C" w:rsidRDefault="0073298C" w:rsidP="0073298C">
      <w:pPr>
        <w:spacing w:after="264"/>
        <w:jc w:val="both"/>
        <w:rPr>
          <w:rFonts w:ascii="Arial" w:hAnsi="Arial" w:cs="Arial"/>
          <w:color w:val="000000"/>
          <w:sz w:val="18"/>
          <w:szCs w:val="18"/>
        </w:rPr>
      </w:pPr>
      <w:r>
        <w:rPr>
          <w:rFonts w:ascii="Arial" w:hAnsi="Arial" w:cs="Arial"/>
          <w:i/>
          <w:iCs/>
          <w:color w:val="000000"/>
          <w:sz w:val="18"/>
          <w:szCs w:val="18"/>
        </w:rPr>
        <w:t>2016 Compared to 2015 —</w:t>
      </w:r>
      <w:r>
        <w:rPr>
          <w:rFonts w:ascii="Arial" w:hAnsi="Arial" w:cs="Arial"/>
          <w:color w:val="000000"/>
          <w:sz w:val="18"/>
          <w:szCs w:val="18"/>
        </w:rPr>
        <w:t xml:space="preserve"> Communications expense, as a percentage of total revenue, remained flat at 0.4% for 2016 and 2015.</w:t>
      </w:r>
    </w:p>
    <w:tbl>
      <w:tblPr>
        <w:tblW w:w="10804" w:type="dxa"/>
        <w:tblInd w:w="8" w:type="dxa"/>
        <w:tblLayout w:type="fixed"/>
        <w:tblCellMar>
          <w:left w:w="0" w:type="dxa"/>
          <w:right w:w="0" w:type="dxa"/>
        </w:tblCellMar>
        <w:tblLook w:val="0000"/>
      </w:tblPr>
      <w:tblGrid>
        <w:gridCol w:w="3204"/>
        <w:gridCol w:w="120"/>
        <w:gridCol w:w="1227"/>
        <w:gridCol w:w="180"/>
        <w:gridCol w:w="103"/>
        <w:gridCol w:w="120"/>
        <w:gridCol w:w="1227"/>
        <w:gridCol w:w="180"/>
        <w:gridCol w:w="103"/>
        <w:gridCol w:w="120"/>
        <w:gridCol w:w="1227"/>
        <w:gridCol w:w="183"/>
        <w:gridCol w:w="103"/>
        <w:gridCol w:w="1009"/>
        <w:gridCol w:w="231"/>
        <w:gridCol w:w="103"/>
        <w:gridCol w:w="996"/>
        <w:gridCol w:w="361"/>
        <w:gridCol w:w="7"/>
      </w:tblGrid>
      <w:tr w:rsidR="0073298C" w:rsidTr="000E3B20">
        <w:tblPrEx>
          <w:tblCellMar>
            <w:top w:w="0" w:type="dxa"/>
            <w:left w:w="0" w:type="dxa"/>
            <w:bottom w:w="0" w:type="dxa"/>
            <w:right w:w="0" w:type="dxa"/>
          </w:tblCellMar>
        </w:tblPrEx>
        <w:trPr>
          <w:gridAfter w:val="1"/>
          <w:wAfter w:w="7" w:type="dxa"/>
          <w:trHeight w:val="298"/>
        </w:trPr>
        <w:tc>
          <w:tcPr>
            <w:tcW w:w="3204" w:type="dxa"/>
            <w:tcBorders>
              <w:top w:val="single" w:sz="6" w:space="0" w:color="00467E"/>
              <w:left w:val="single" w:sz="6" w:space="0" w:color="00467E"/>
              <w:bottom w:val="nil"/>
              <w:right w:val="nil"/>
            </w:tcBorders>
            <w:vAlign w:val="center"/>
          </w:tcPr>
          <w:p w:rsidR="0073298C" w:rsidRDefault="0073298C" w:rsidP="0073298C">
            <w:pPr>
              <w:spacing w:before="22" w:after="22"/>
              <w:ind w:left="22" w:right="22"/>
              <w:rPr>
                <w:rFonts w:ascii="Arial" w:hAnsi="Arial" w:cs="Arial"/>
                <w:b/>
                <w:bCs w:val="0"/>
                <w:color w:val="000000"/>
                <w:sz w:val="16"/>
                <w:szCs w:val="16"/>
              </w:rPr>
            </w:pPr>
            <w:r>
              <w:rPr>
                <w:rFonts w:ascii="Arial" w:hAnsi="Arial" w:cs="Arial"/>
                <w:b/>
                <w:bCs w:val="0"/>
                <w:color w:val="000000"/>
                <w:sz w:val="16"/>
                <w:szCs w:val="16"/>
              </w:rPr>
              <w:t> </w:t>
            </w:r>
          </w:p>
        </w:tc>
        <w:tc>
          <w:tcPr>
            <w:tcW w:w="1527" w:type="dxa"/>
            <w:gridSpan w:val="3"/>
            <w:tcBorders>
              <w:top w:val="single" w:sz="6" w:space="0" w:color="00467E"/>
              <w:left w:val="nil"/>
              <w:bottom w:val="single" w:sz="6" w:space="0" w:color="000000"/>
              <w:right w:val="nil"/>
            </w:tcBorders>
            <w:vAlign w:val="center"/>
          </w:tcPr>
          <w:p w:rsidR="0073298C" w:rsidRDefault="0073298C" w:rsidP="0073298C">
            <w:pPr>
              <w:spacing w:before="22" w:after="22"/>
              <w:ind w:left="22" w:right="22"/>
              <w:jc w:val="center"/>
              <w:rPr>
                <w:rFonts w:ascii="Arial" w:hAnsi="Arial" w:cs="Arial"/>
                <w:b/>
                <w:bCs w:val="0"/>
                <w:color w:val="000000"/>
                <w:sz w:val="14"/>
                <w:szCs w:val="14"/>
              </w:rPr>
            </w:pPr>
            <w:r>
              <w:rPr>
                <w:rFonts w:ascii="Arial" w:hAnsi="Arial" w:cs="Arial"/>
                <w:b/>
                <w:bCs w:val="0"/>
                <w:color w:val="000000"/>
                <w:sz w:val="14"/>
                <w:szCs w:val="14"/>
              </w:rPr>
              <w:t>2017</w:t>
            </w:r>
          </w:p>
        </w:tc>
        <w:tc>
          <w:tcPr>
            <w:tcW w:w="103" w:type="dxa"/>
            <w:tcBorders>
              <w:top w:val="single" w:sz="6" w:space="0" w:color="00467E"/>
              <w:left w:val="nil"/>
              <w:bottom w:val="nil"/>
              <w:right w:val="nil"/>
            </w:tcBorders>
            <w:vAlign w:val="bottom"/>
          </w:tcPr>
          <w:p w:rsidR="0073298C" w:rsidRDefault="0073298C" w:rsidP="0073298C">
            <w:pPr>
              <w:spacing w:before="22" w:after="22"/>
              <w:ind w:left="22" w:right="22"/>
              <w:rPr>
                <w:color w:val="000000"/>
              </w:rPr>
            </w:pPr>
            <w:r>
              <w:rPr>
                <w:color w:val="000000"/>
              </w:rPr>
              <w:t> </w:t>
            </w:r>
          </w:p>
        </w:tc>
        <w:tc>
          <w:tcPr>
            <w:tcW w:w="1527" w:type="dxa"/>
            <w:gridSpan w:val="3"/>
            <w:tcBorders>
              <w:top w:val="single" w:sz="6" w:space="0" w:color="00467E"/>
              <w:left w:val="nil"/>
              <w:bottom w:val="single" w:sz="6" w:space="0" w:color="000000"/>
              <w:right w:val="nil"/>
            </w:tcBorders>
            <w:vAlign w:val="center"/>
          </w:tcPr>
          <w:p w:rsidR="0073298C" w:rsidRDefault="0073298C" w:rsidP="0073298C">
            <w:pPr>
              <w:spacing w:before="22" w:after="22"/>
              <w:ind w:left="22" w:right="22"/>
              <w:jc w:val="center"/>
              <w:rPr>
                <w:rFonts w:ascii="Arial" w:hAnsi="Arial" w:cs="Arial"/>
                <w:b/>
                <w:bCs w:val="0"/>
                <w:color w:val="000000"/>
                <w:sz w:val="14"/>
                <w:szCs w:val="14"/>
              </w:rPr>
            </w:pPr>
            <w:r>
              <w:rPr>
                <w:rFonts w:ascii="Arial" w:hAnsi="Arial" w:cs="Arial"/>
                <w:b/>
                <w:bCs w:val="0"/>
                <w:color w:val="000000"/>
                <w:sz w:val="14"/>
                <w:szCs w:val="14"/>
              </w:rPr>
              <w:t>2016</w:t>
            </w:r>
          </w:p>
        </w:tc>
        <w:tc>
          <w:tcPr>
            <w:tcW w:w="103" w:type="dxa"/>
            <w:tcBorders>
              <w:top w:val="single" w:sz="6" w:space="0" w:color="00467E"/>
              <w:left w:val="nil"/>
              <w:bottom w:val="nil"/>
              <w:right w:val="nil"/>
            </w:tcBorders>
            <w:vAlign w:val="bottom"/>
          </w:tcPr>
          <w:p w:rsidR="0073298C" w:rsidRDefault="0073298C" w:rsidP="0073298C">
            <w:pPr>
              <w:spacing w:before="22" w:after="22"/>
              <w:ind w:left="22" w:right="22"/>
              <w:rPr>
                <w:color w:val="000000"/>
              </w:rPr>
            </w:pPr>
            <w:r>
              <w:rPr>
                <w:color w:val="000000"/>
              </w:rPr>
              <w:t> </w:t>
            </w:r>
          </w:p>
        </w:tc>
        <w:tc>
          <w:tcPr>
            <w:tcW w:w="1530" w:type="dxa"/>
            <w:gridSpan w:val="3"/>
            <w:tcBorders>
              <w:top w:val="single" w:sz="6" w:space="0" w:color="00467E"/>
              <w:left w:val="nil"/>
              <w:bottom w:val="single" w:sz="6" w:space="0" w:color="000000"/>
              <w:right w:val="nil"/>
            </w:tcBorders>
            <w:vAlign w:val="center"/>
          </w:tcPr>
          <w:p w:rsidR="0073298C" w:rsidRDefault="0073298C" w:rsidP="0073298C">
            <w:pPr>
              <w:spacing w:before="22" w:after="22"/>
              <w:ind w:left="22" w:right="22"/>
              <w:jc w:val="center"/>
              <w:rPr>
                <w:rFonts w:ascii="Arial" w:hAnsi="Arial" w:cs="Arial"/>
                <w:b/>
                <w:bCs w:val="0"/>
                <w:color w:val="000000"/>
                <w:sz w:val="14"/>
                <w:szCs w:val="14"/>
              </w:rPr>
            </w:pPr>
            <w:r>
              <w:rPr>
                <w:rFonts w:ascii="Arial" w:hAnsi="Arial" w:cs="Arial"/>
                <w:b/>
                <w:bCs w:val="0"/>
                <w:color w:val="000000"/>
                <w:sz w:val="14"/>
                <w:szCs w:val="14"/>
              </w:rPr>
              <w:t>2015</w:t>
            </w:r>
          </w:p>
        </w:tc>
        <w:tc>
          <w:tcPr>
            <w:tcW w:w="103" w:type="dxa"/>
            <w:tcBorders>
              <w:top w:val="single" w:sz="6" w:space="0" w:color="00467E"/>
              <w:left w:val="nil"/>
              <w:bottom w:val="nil"/>
              <w:right w:val="nil"/>
            </w:tcBorders>
            <w:shd w:val="clear" w:color="00467E" w:fill="00467E"/>
            <w:vAlign w:val="bottom"/>
          </w:tcPr>
          <w:p w:rsidR="0073298C" w:rsidRDefault="0073298C" w:rsidP="0073298C">
            <w:pPr>
              <w:spacing w:before="22" w:after="22"/>
              <w:ind w:left="22" w:right="22"/>
              <w:rPr>
                <w:color w:val="000000"/>
              </w:rPr>
            </w:pPr>
            <w:r>
              <w:rPr>
                <w:color w:val="000000"/>
              </w:rPr>
              <w:t> </w:t>
            </w:r>
          </w:p>
        </w:tc>
        <w:tc>
          <w:tcPr>
            <w:tcW w:w="1240" w:type="dxa"/>
            <w:gridSpan w:val="2"/>
            <w:tcBorders>
              <w:top w:val="single" w:sz="6" w:space="0" w:color="00467E"/>
              <w:left w:val="nil"/>
              <w:bottom w:val="single" w:sz="6" w:space="0" w:color="000000"/>
              <w:right w:val="nil"/>
            </w:tcBorders>
            <w:vAlign w:val="center"/>
          </w:tcPr>
          <w:p w:rsidR="0073298C" w:rsidRDefault="0073298C" w:rsidP="0073298C">
            <w:pPr>
              <w:spacing w:before="22" w:after="22"/>
              <w:ind w:left="22" w:right="22"/>
              <w:jc w:val="center"/>
              <w:rPr>
                <w:rFonts w:ascii="Arial" w:hAnsi="Arial" w:cs="Arial"/>
                <w:b/>
                <w:bCs w:val="0"/>
                <w:color w:val="000000"/>
                <w:sz w:val="14"/>
                <w:szCs w:val="14"/>
              </w:rPr>
            </w:pPr>
            <w:r>
              <w:rPr>
                <w:rFonts w:ascii="Arial" w:hAnsi="Arial" w:cs="Arial"/>
                <w:b/>
                <w:bCs w:val="0"/>
                <w:color w:val="000000"/>
                <w:sz w:val="14"/>
                <w:szCs w:val="14"/>
              </w:rPr>
              <w:t>2017 vs. 2016</w:t>
            </w:r>
          </w:p>
        </w:tc>
        <w:tc>
          <w:tcPr>
            <w:tcW w:w="103" w:type="dxa"/>
            <w:tcBorders>
              <w:top w:val="single" w:sz="6" w:space="0" w:color="00467E"/>
              <w:left w:val="nil"/>
              <w:bottom w:val="nil"/>
              <w:right w:val="nil"/>
            </w:tcBorders>
            <w:vAlign w:val="bottom"/>
          </w:tcPr>
          <w:p w:rsidR="0073298C" w:rsidRDefault="0073298C" w:rsidP="0073298C">
            <w:pPr>
              <w:spacing w:before="22" w:after="22"/>
              <w:ind w:left="22" w:right="22"/>
              <w:rPr>
                <w:color w:val="000000"/>
              </w:rPr>
            </w:pPr>
            <w:r>
              <w:rPr>
                <w:color w:val="000000"/>
              </w:rPr>
              <w:t> </w:t>
            </w:r>
          </w:p>
        </w:tc>
        <w:tc>
          <w:tcPr>
            <w:tcW w:w="1357" w:type="dxa"/>
            <w:gridSpan w:val="2"/>
            <w:tcBorders>
              <w:top w:val="single" w:sz="6" w:space="0" w:color="00467E"/>
              <w:left w:val="nil"/>
              <w:bottom w:val="single" w:sz="6" w:space="0" w:color="000000"/>
              <w:right w:val="single" w:sz="6" w:space="0" w:color="00467E"/>
            </w:tcBorders>
            <w:vAlign w:val="center"/>
          </w:tcPr>
          <w:p w:rsidR="0073298C" w:rsidRDefault="0073298C" w:rsidP="0073298C">
            <w:pPr>
              <w:spacing w:before="22" w:after="22"/>
              <w:ind w:left="22" w:right="22"/>
              <w:jc w:val="center"/>
              <w:rPr>
                <w:rFonts w:ascii="Arial" w:hAnsi="Arial" w:cs="Arial"/>
                <w:b/>
                <w:bCs w:val="0"/>
                <w:color w:val="000000"/>
                <w:sz w:val="14"/>
                <w:szCs w:val="14"/>
              </w:rPr>
            </w:pPr>
            <w:r>
              <w:rPr>
                <w:rFonts w:ascii="Arial" w:hAnsi="Arial" w:cs="Arial"/>
                <w:b/>
                <w:bCs w:val="0"/>
                <w:color w:val="000000"/>
                <w:sz w:val="14"/>
                <w:szCs w:val="14"/>
              </w:rPr>
              <w:t>2016 vs. 2015</w:t>
            </w:r>
          </w:p>
        </w:tc>
      </w:tr>
      <w:tr w:rsidR="0073298C" w:rsidTr="000E3B20">
        <w:tblPrEx>
          <w:tblCellMar>
            <w:top w:w="0" w:type="dxa"/>
            <w:left w:w="0" w:type="dxa"/>
            <w:bottom w:w="0" w:type="dxa"/>
            <w:right w:w="0" w:type="dxa"/>
          </w:tblCellMar>
        </w:tblPrEx>
        <w:trPr>
          <w:gridAfter w:val="1"/>
          <w:wAfter w:w="7" w:type="dxa"/>
          <w:trHeight w:val="298"/>
        </w:trPr>
        <w:tc>
          <w:tcPr>
            <w:tcW w:w="3204" w:type="dxa"/>
            <w:tcBorders>
              <w:top w:val="nil"/>
              <w:left w:val="single" w:sz="6" w:space="0" w:color="00467E"/>
              <w:bottom w:val="nil"/>
              <w:right w:val="nil"/>
            </w:tcBorders>
            <w:vAlign w:val="bottom"/>
          </w:tcPr>
          <w:p w:rsidR="0073298C" w:rsidRDefault="0073298C" w:rsidP="0073298C">
            <w:pPr>
              <w:spacing w:before="22" w:after="22"/>
              <w:ind w:left="22" w:right="22"/>
              <w:rPr>
                <w:color w:val="000000"/>
              </w:rPr>
            </w:pPr>
            <w:r>
              <w:rPr>
                <w:color w:val="000000"/>
              </w:rPr>
              <w:t> </w:t>
            </w:r>
          </w:p>
        </w:tc>
        <w:tc>
          <w:tcPr>
            <w:tcW w:w="4790" w:type="dxa"/>
            <w:gridSpan w:val="11"/>
            <w:tcBorders>
              <w:top w:val="nil"/>
              <w:left w:val="nil"/>
              <w:bottom w:val="single" w:sz="6" w:space="0" w:color="000000"/>
              <w:right w:val="nil"/>
            </w:tcBorders>
            <w:vAlign w:val="center"/>
          </w:tcPr>
          <w:p w:rsidR="0073298C" w:rsidRDefault="0073298C" w:rsidP="0073298C">
            <w:pPr>
              <w:spacing w:before="22" w:after="22"/>
              <w:ind w:left="22"/>
              <w:jc w:val="center"/>
              <w:rPr>
                <w:rFonts w:ascii="Arial" w:hAnsi="Arial" w:cs="Arial"/>
                <w:b/>
                <w:bCs w:val="0"/>
                <w:color w:val="000000"/>
                <w:sz w:val="14"/>
                <w:szCs w:val="14"/>
              </w:rPr>
            </w:pPr>
            <w:r>
              <w:rPr>
                <w:rFonts w:ascii="Arial" w:hAnsi="Arial" w:cs="Arial"/>
                <w:b/>
                <w:bCs w:val="0"/>
                <w:color w:val="000000"/>
                <w:sz w:val="14"/>
                <w:szCs w:val="14"/>
              </w:rPr>
              <w:t>(Dollars in thousands)</w:t>
            </w:r>
          </w:p>
        </w:tc>
        <w:tc>
          <w:tcPr>
            <w:tcW w:w="103" w:type="dxa"/>
            <w:tcBorders>
              <w:top w:val="single" w:sz="6" w:space="0" w:color="00467E"/>
              <w:left w:val="nil"/>
              <w:bottom w:val="nil"/>
              <w:right w:val="nil"/>
            </w:tcBorders>
            <w:shd w:val="clear" w:color="00467E" w:fill="00467E"/>
            <w:vAlign w:val="bottom"/>
          </w:tcPr>
          <w:p w:rsidR="0073298C" w:rsidRDefault="0073298C" w:rsidP="0073298C">
            <w:pPr>
              <w:spacing w:before="22" w:after="22"/>
              <w:ind w:left="22" w:right="22"/>
              <w:rPr>
                <w:color w:val="000000"/>
              </w:rPr>
            </w:pPr>
            <w:r>
              <w:rPr>
                <w:color w:val="000000"/>
              </w:rPr>
              <w:t> </w:t>
            </w:r>
          </w:p>
        </w:tc>
        <w:tc>
          <w:tcPr>
            <w:tcW w:w="2700" w:type="dxa"/>
            <w:gridSpan w:val="5"/>
            <w:tcBorders>
              <w:top w:val="nil"/>
              <w:left w:val="nil"/>
              <w:bottom w:val="single" w:sz="6" w:space="0" w:color="000000"/>
              <w:right w:val="single" w:sz="6" w:space="0" w:color="00467E"/>
            </w:tcBorders>
            <w:vAlign w:val="center"/>
          </w:tcPr>
          <w:p w:rsidR="0073298C" w:rsidRDefault="0073298C" w:rsidP="0073298C">
            <w:pPr>
              <w:spacing w:before="22" w:after="22"/>
              <w:ind w:left="22"/>
              <w:jc w:val="center"/>
              <w:rPr>
                <w:rFonts w:ascii="Arial" w:hAnsi="Arial" w:cs="Arial"/>
                <w:b/>
                <w:bCs w:val="0"/>
                <w:color w:val="000000"/>
                <w:sz w:val="14"/>
                <w:szCs w:val="14"/>
              </w:rPr>
            </w:pPr>
            <w:r>
              <w:rPr>
                <w:rFonts w:ascii="Arial" w:hAnsi="Arial" w:cs="Arial"/>
                <w:b/>
                <w:bCs w:val="0"/>
                <w:color w:val="000000"/>
                <w:sz w:val="14"/>
                <w:szCs w:val="14"/>
              </w:rPr>
              <w:t>Increase (decrease)</w:t>
            </w:r>
          </w:p>
        </w:tc>
      </w:tr>
      <w:tr w:rsidR="0073298C" w:rsidTr="000E3B20">
        <w:tblPrEx>
          <w:tblCellMar>
            <w:top w:w="0" w:type="dxa"/>
            <w:left w:w="0" w:type="dxa"/>
            <w:bottom w:w="0" w:type="dxa"/>
            <w:right w:w="0" w:type="dxa"/>
          </w:tblCellMar>
        </w:tblPrEx>
        <w:trPr>
          <w:trHeight w:val="479"/>
        </w:trPr>
        <w:tc>
          <w:tcPr>
            <w:tcW w:w="3204" w:type="dxa"/>
            <w:tcBorders>
              <w:top w:val="nil"/>
              <w:left w:val="single" w:sz="6" w:space="0" w:color="00467E"/>
              <w:bottom w:val="nil"/>
              <w:right w:val="nil"/>
            </w:tcBorders>
            <w:shd w:val="clear" w:color="CFD4D8" w:fill="CFD4D8"/>
            <w:vAlign w:val="center"/>
          </w:tcPr>
          <w:p w:rsidR="0073298C" w:rsidRDefault="0073298C" w:rsidP="0073298C">
            <w:pPr>
              <w:spacing w:before="22" w:after="22"/>
              <w:ind w:left="22" w:right="22"/>
              <w:rPr>
                <w:rFonts w:ascii="Arial" w:hAnsi="Arial" w:cs="Arial"/>
                <w:b/>
                <w:bCs w:val="0"/>
                <w:i/>
                <w:iCs/>
                <w:color w:val="9D1B11"/>
                <w:sz w:val="18"/>
                <w:szCs w:val="18"/>
              </w:rPr>
            </w:pPr>
            <w:r>
              <w:rPr>
                <w:rFonts w:ascii="Arial" w:hAnsi="Arial" w:cs="Arial"/>
                <w:b/>
                <w:bCs w:val="0"/>
                <w:i/>
                <w:iCs/>
                <w:color w:val="9D1B11"/>
                <w:sz w:val="18"/>
                <w:szCs w:val="18"/>
              </w:rPr>
              <w:t>Depreciation and amortization of property and equipment</w:t>
            </w:r>
          </w:p>
        </w:tc>
        <w:tc>
          <w:tcPr>
            <w:tcW w:w="120" w:type="dxa"/>
            <w:tcBorders>
              <w:top w:val="single" w:sz="6" w:space="0" w:color="000000"/>
              <w:left w:val="nil"/>
              <w:bottom w:val="nil"/>
              <w:right w:val="nil"/>
            </w:tcBorders>
            <w:shd w:val="clear" w:color="CFD4D8" w:fill="CFD4D8"/>
            <w:vAlign w:val="center"/>
          </w:tcPr>
          <w:p w:rsidR="0073298C" w:rsidRDefault="0073298C" w:rsidP="0073298C">
            <w:pPr>
              <w:spacing w:before="22" w:after="22"/>
              <w:ind w:left="22"/>
              <w:rPr>
                <w:rFonts w:ascii="Arial" w:hAnsi="Arial" w:cs="Arial"/>
                <w:color w:val="000000"/>
                <w:sz w:val="18"/>
                <w:szCs w:val="18"/>
              </w:rPr>
            </w:pPr>
            <w:r>
              <w:rPr>
                <w:rFonts w:ascii="Arial" w:hAnsi="Arial" w:cs="Arial"/>
                <w:color w:val="000000"/>
                <w:sz w:val="18"/>
                <w:szCs w:val="18"/>
              </w:rPr>
              <w:t>$</w:t>
            </w:r>
          </w:p>
        </w:tc>
        <w:tc>
          <w:tcPr>
            <w:tcW w:w="1227" w:type="dxa"/>
            <w:tcBorders>
              <w:top w:val="single" w:sz="6" w:space="0" w:color="000000"/>
              <w:left w:val="nil"/>
              <w:bottom w:val="nil"/>
              <w:right w:val="nil"/>
            </w:tcBorders>
            <w:shd w:val="clear" w:color="CFD4D8" w:fill="CFD4D8"/>
            <w:vAlign w:val="center"/>
          </w:tcPr>
          <w:p w:rsidR="0073298C" w:rsidRDefault="0073298C" w:rsidP="0073298C">
            <w:pPr>
              <w:spacing w:before="22" w:after="22"/>
              <w:jc w:val="right"/>
              <w:rPr>
                <w:rFonts w:ascii="Arial" w:hAnsi="Arial" w:cs="Arial"/>
                <w:color w:val="000000"/>
                <w:sz w:val="18"/>
                <w:szCs w:val="18"/>
              </w:rPr>
            </w:pPr>
            <w:r>
              <w:rPr>
                <w:rFonts w:ascii="Arial" w:hAnsi="Arial" w:cs="Arial"/>
                <w:color w:val="000000"/>
                <w:sz w:val="18"/>
                <w:szCs w:val="18"/>
              </w:rPr>
              <w:t>193,733</w:t>
            </w:r>
          </w:p>
        </w:tc>
        <w:tc>
          <w:tcPr>
            <w:tcW w:w="180" w:type="dxa"/>
            <w:tcBorders>
              <w:top w:val="single" w:sz="6" w:space="0" w:color="000000"/>
              <w:left w:val="nil"/>
              <w:bottom w:val="nil"/>
              <w:right w:val="nil"/>
            </w:tcBorders>
            <w:shd w:val="clear" w:color="CFD4D8" w:fill="CFD4D8"/>
            <w:vAlign w:val="bottom"/>
          </w:tcPr>
          <w:p w:rsidR="0073298C" w:rsidRDefault="0073298C" w:rsidP="0073298C">
            <w:pPr>
              <w:spacing w:before="22" w:after="22"/>
              <w:jc w:val="right"/>
              <w:rPr>
                <w:rFonts w:ascii="Arial" w:hAnsi="Arial" w:cs="Arial"/>
                <w:color w:val="000000"/>
                <w:sz w:val="18"/>
                <w:szCs w:val="18"/>
              </w:rPr>
            </w:pPr>
          </w:p>
          <w:p w:rsidR="0073298C" w:rsidRDefault="0073298C" w:rsidP="0073298C">
            <w:pPr>
              <w:rPr>
                <w:sz w:val="16"/>
                <w:szCs w:val="16"/>
              </w:rPr>
            </w:pPr>
            <w:r>
              <w:rPr>
                <w:sz w:val="16"/>
                <w:szCs w:val="16"/>
              </w:rPr>
              <w:t> </w:t>
            </w:r>
          </w:p>
        </w:tc>
        <w:tc>
          <w:tcPr>
            <w:tcW w:w="103" w:type="dxa"/>
            <w:tcBorders>
              <w:top w:val="single" w:sz="6" w:space="0" w:color="000000"/>
              <w:left w:val="nil"/>
              <w:bottom w:val="nil"/>
              <w:right w:val="nil"/>
            </w:tcBorders>
            <w:shd w:val="clear" w:color="CFD4D8" w:fill="CFD4D8"/>
            <w:vAlign w:val="bottom"/>
          </w:tcPr>
          <w:p w:rsidR="0073298C" w:rsidRDefault="0073298C" w:rsidP="0073298C">
            <w:pPr>
              <w:spacing w:before="22" w:after="22"/>
              <w:ind w:left="22" w:right="22"/>
              <w:rPr>
                <w:color w:val="000000"/>
              </w:rPr>
            </w:pPr>
            <w:r>
              <w:rPr>
                <w:color w:val="000000"/>
              </w:rPr>
              <w:t> </w:t>
            </w:r>
          </w:p>
        </w:tc>
        <w:tc>
          <w:tcPr>
            <w:tcW w:w="120" w:type="dxa"/>
            <w:tcBorders>
              <w:top w:val="single" w:sz="6" w:space="0" w:color="000000"/>
              <w:left w:val="nil"/>
              <w:bottom w:val="nil"/>
              <w:right w:val="nil"/>
            </w:tcBorders>
            <w:shd w:val="clear" w:color="CFD4D8" w:fill="CFD4D8"/>
            <w:vAlign w:val="center"/>
          </w:tcPr>
          <w:p w:rsidR="0073298C" w:rsidRDefault="0073298C" w:rsidP="0073298C">
            <w:pPr>
              <w:spacing w:before="22" w:after="22"/>
              <w:ind w:left="22"/>
              <w:rPr>
                <w:rFonts w:ascii="Arial" w:hAnsi="Arial" w:cs="Arial"/>
                <w:color w:val="000000"/>
                <w:sz w:val="18"/>
                <w:szCs w:val="18"/>
              </w:rPr>
            </w:pPr>
            <w:r>
              <w:rPr>
                <w:rFonts w:ascii="Arial" w:hAnsi="Arial" w:cs="Arial"/>
                <w:color w:val="000000"/>
                <w:sz w:val="18"/>
                <w:szCs w:val="18"/>
              </w:rPr>
              <w:t>$</w:t>
            </w:r>
          </w:p>
        </w:tc>
        <w:tc>
          <w:tcPr>
            <w:tcW w:w="1227" w:type="dxa"/>
            <w:tcBorders>
              <w:top w:val="single" w:sz="6" w:space="0" w:color="000000"/>
              <w:left w:val="nil"/>
              <w:bottom w:val="nil"/>
              <w:right w:val="nil"/>
            </w:tcBorders>
            <w:shd w:val="clear" w:color="CFD4D8" w:fill="CFD4D8"/>
            <w:vAlign w:val="center"/>
          </w:tcPr>
          <w:p w:rsidR="0073298C" w:rsidRDefault="0073298C" w:rsidP="0073298C">
            <w:pPr>
              <w:spacing w:before="22" w:after="22"/>
              <w:jc w:val="right"/>
              <w:rPr>
                <w:rFonts w:ascii="Arial" w:hAnsi="Arial" w:cs="Arial"/>
                <w:color w:val="000000"/>
                <w:sz w:val="18"/>
                <w:szCs w:val="18"/>
              </w:rPr>
            </w:pPr>
            <w:r>
              <w:rPr>
                <w:rFonts w:ascii="Arial" w:hAnsi="Arial" w:cs="Arial"/>
                <w:color w:val="000000"/>
                <w:sz w:val="18"/>
                <w:szCs w:val="18"/>
              </w:rPr>
              <w:t>115,660</w:t>
            </w:r>
          </w:p>
        </w:tc>
        <w:tc>
          <w:tcPr>
            <w:tcW w:w="180" w:type="dxa"/>
            <w:tcBorders>
              <w:top w:val="single" w:sz="6" w:space="0" w:color="000000"/>
              <w:left w:val="nil"/>
              <w:bottom w:val="nil"/>
              <w:right w:val="nil"/>
            </w:tcBorders>
            <w:shd w:val="clear" w:color="CFD4D8" w:fill="CFD4D8"/>
            <w:vAlign w:val="bottom"/>
          </w:tcPr>
          <w:p w:rsidR="0073298C" w:rsidRDefault="0073298C" w:rsidP="0073298C">
            <w:pPr>
              <w:spacing w:before="22" w:after="22"/>
              <w:jc w:val="right"/>
              <w:rPr>
                <w:rFonts w:ascii="Arial" w:hAnsi="Arial" w:cs="Arial"/>
                <w:color w:val="000000"/>
                <w:sz w:val="18"/>
                <w:szCs w:val="18"/>
              </w:rPr>
            </w:pPr>
          </w:p>
          <w:p w:rsidR="0073298C" w:rsidRDefault="0073298C" w:rsidP="0073298C">
            <w:pPr>
              <w:rPr>
                <w:sz w:val="16"/>
                <w:szCs w:val="16"/>
              </w:rPr>
            </w:pPr>
            <w:r>
              <w:rPr>
                <w:sz w:val="16"/>
                <w:szCs w:val="16"/>
              </w:rPr>
              <w:t> </w:t>
            </w:r>
          </w:p>
        </w:tc>
        <w:tc>
          <w:tcPr>
            <w:tcW w:w="103" w:type="dxa"/>
            <w:tcBorders>
              <w:top w:val="single" w:sz="6" w:space="0" w:color="000000"/>
              <w:left w:val="nil"/>
              <w:bottom w:val="nil"/>
              <w:right w:val="nil"/>
            </w:tcBorders>
            <w:shd w:val="clear" w:color="CFD4D8" w:fill="CFD4D8"/>
            <w:vAlign w:val="bottom"/>
          </w:tcPr>
          <w:p w:rsidR="0073298C" w:rsidRDefault="0073298C" w:rsidP="0073298C">
            <w:pPr>
              <w:spacing w:before="22" w:after="22"/>
              <w:ind w:left="22" w:right="22"/>
              <w:rPr>
                <w:color w:val="000000"/>
              </w:rPr>
            </w:pPr>
            <w:r>
              <w:rPr>
                <w:color w:val="000000"/>
              </w:rPr>
              <w:t> </w:t>
            </w:r>
          </w:p>
        </w:tc>
        <w:tc>
          <w:tcPr>
            <w:tcW w:w="120" w:type="dxa"/>
            <w:tcBorders>
              <w:top w:val="single" w:sz="6" w:space="0" w:color="000000"/>
              <w:left w:val="nil"/>
              <w:bottom w:val="nil"/>
              <w:right w:val="nil"/>
            </w:tcBorders>
            <w:shd w:val="clear" w:color="CFD4D8" w:fill="CFD4D8"/>
            <w:vAlign w:val="center"/>
          </w:tcPr>
          <w:p w:rsidR="0073298C" w:rsidRDefault="0073298C" w:rsidP="0073298C">
            <w:pPr>
              <w:spacing w:before="22" w:after="22"/>
              <w:ind w:left="22"/>
              <w:rPr>
                <w:rFonts w:ascii="Arial" w:hAnsi="Arial" w:cs="Arial"/>
                <w:color w:val="000000"/>
                <w:sz w:val="18"/>
                <w:szCs w:val="18"/>
              </w:rPr>
            </w:pPr>
            <w:r>
              <w:rPr>
                <w:rFonts w:ascii="Arial" w:hAnsi="Arial" w:cs="Arial"/>
                <w:color w:val="000000"/>
                <w:sz w:val="18"/>
                <w:szCs w:val="18"/>
              </w:rPr>
              <w:t>$</w:t>
            </w:r>
          </w:p>
        </w:tc>
        <w:tc>
          <w:tcPr>
            <w:tcW w:w="1227" w:type="dxa"/>
            <w:tcBorders>
              <w:top w:val="single" w:sz="6" w:space="0" w:color="000000"/>
              <w:left w:val="nil"/>
              <w:bottom w:val="nil"/>
              <w:right w:val="nil"/>
            </w:tcBorders>
            <w:shd w:val="clear" w:color="CFD4D8" w:fill="CFD4D8"/>
            <w:vAlign w:val="center"/>
          </w:tcPr>
          <w:p w:rsidR="0073298C" w:rsidRDefault="0073298C" w:rsidP="0073298C">
            <w:pPr>
              <w:spacing w:before="22" w:after="22"/>
              <w:jc w:val="right"/>
              <w:rPr>
                <w:rFonts w:ascii="Arial" w:hAnsi="Arial" w:cs="Arial"/>
                <w:color w:val="000000"/>
                <w:sz w:val="18"/>
                <w:szCs w:val="18"/>
              </w:rPr>
            </w:pPr>
            <w:r>
              <w:rPr>
                <w:rFonts w:ascii="Arial" w:hAnsi="Arial" w:cs="Arial"/>
                <w:color w:val="000000"/>
                <w:sz w:val="18"/>
                <w:szCs w:val="18"/>
              </w:rPr>
              <w:t>110,523</w:t>
            </w:r>
          </w:p>
        </w:tc>
        <w:tc>
          <w:tcPr>
            <w:tcW w:w="183" w:type="dxa"/>
            <w:tcBorders>
              <w:top w:val="single" w:sz="6" w:space="0" w:color="000000"/>
              <w:left w:val="nil"/>
              <w:bottom w:val="nil"/>
              <w:right w:val="nil"/>
            </w:tcBorders>
            <w:shd w:val="clear" w:color="CFD4D8" w:fill="CFD4D8"/>
            <w:vAlign w:val="bottom"/>
          </w:tcPr>
          <w:p w:rsidR="0073298C" w:rsidRDefault="0073298C" w:rsidP="0073298C">
            <w:pPr>
              <w:spacing w:before="22" w:after="22"/>
              <w:jc w:val="right"/>
              <w:rPr>
                <w:rFonts w:ascii="Arial" w:hAnsi="Arial" w:cs="Arial"/>
                <w:color w:val="000000"/>
                <w:sz w:val="18"/>
                <w:szCs w:val="18"/>
              </w:rPr>
            </w:pPr>
          </w:p>
          <w:p w:rsidR="0073298C" w:rsidRDefault="0073298C" w:rsidP="0073298C">
            <w:pPr>
              <w:rPr>
                <w:sz w:val="16"/>
                <w:szCs w:val="16"/>
              </w:rPr>
            </w:pPr>
            <w:r>
              <w:rPr>
                <w:sz w:val="16"/>
                <w:szCs w:val="16"/>
              </w:rPr>
              <w:t> </w:t>
            </w:r>
          </w:p>
        </w:tc>
        <w:tc>
          <w:tcPr>
            <w:tcW w:w="103" w:type="dxa"/>
            <w:tcBorders>
              <w:top w:val="single" w:sz="6" w:space="0" w:color="00467E"/>
              <w:left w:val="nil"/>
              <w:bottom w:val="nil"/>
              <w:right w:val="nil"/>
            </w:tcBorders>
            <w:shd w:val="clear" w:color="00467E" w:fill="00467E"/>
            <w:vAlign w:val="bottom"/>
          </w:tcPr>
          <w:p w:rsidR="0073298C" w:rsidRDefault="0073298C" w:rsidP="0073298C">
            <w:pPr>
              <w:spacing w:before="22" w:after="22"/>
              <w:ind w:left="22" w:right="22"/>
              <w:rPr>
                <w:color w:val="000000"/>
              </w:rPr>
            </w:pPr>
            <w:r>
              <w:rPr>
                <w:color w:val="000000"/>
              </w:rPr>
              <w:t> </w:t>
            </w:r>
          </w:p>
        </w:tc>
        <w:tc>
          <w:tcPr>
            <w:tcW w:w="1009" w:type="dxa"/>
            <w:tcBorders>
              <w:top w:val="single" w:sz="6" w:space="0" w:color="000000"/>
              <w:left w:val="nil"/>
              <w:bottom w:val="nil"/>
              <w:right w:val="nil"/>
            </w:tcBorders>
            <w:shd w:val="clear" w:color="CFD4D8" w:fill="CFD4D8"/>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67.5</w:t>
            </w:r>
          </w:p>
        </w:tc>
        <w:tc>
          <w:tcPr>
            <w:tcW w:w="231" w:type="dxa"/>
            <w:tcBorders>
              <w:top w:val="single" w:sz="6" w:space="0" w:color="000000"/>
              <w:left w:val="nil"/>
              <w:bottom w:val="nil"/>
              <w:right w:val="nil"/>
            </w:tcBorders>
            <w:shd w:val="clear" w:color="CFD4D8" w:fill="CFD4D8"/>
            <w:vAlign w:val="center"/>
          </w:tcPr>
          <w:p w:rsidR="0073298C" w:rsidRDefault="0073298C" w:rsidP="0073298C">
            <w:pPr>
              <w:spacing w:before="22" w:after="22"/>
              <w:ind w:right="22"/>
              <w:rPr>
                <w:rFonts w:ascii="Arial" w:hAnsi="Arial" w:cs="Arial"/>
                <w:color w:val="000000"/>
                <w:sz w:val="18"/>
                <w:szCs w:val="18"/>
              </w:rPr>
            </w:pPr>
            <w:r>
              <w:rPr>
                <w:rFonts w:ascii="Arial" w:hAnsi="Arial" w:cs="Arial"/>
                <w:color w:val="000000"/>
                <w:sz w:val="18"/>
                <w:szCs w:val="18"/>
              </w:rPr>
              <w:t> %</w:t>
            </w:r>
          </w:p>
        </w:tc>
        <w:tc>
          <w:tcPr>
            <w:tcW w:w="103" w:type="dxa"/>
            <w:tcBorders>
              <w:top w:val="single" w:sz="6" w:space="0" w:color="000000"/>
              <w:left w:val="nil"/>
              <w:bottom w:val="nil"/>
              <w:right w:val="nil"/>
            </w:tcBorders>
            <w:shd w:val="clear" w:color="CFD4D8" w:fill="CFD4D8"/>
            <w:vAlign w:val="bottom"/>
          </w:tcPr>
          <w:p w:rsidR="0073298C" w:rsidRDefault="0073298C" w:rsidP="0073298C">
            <w:pPr>
              <w:spacing w:before="22" w:after="22"/>
              <w:ind w:left="22" w:right="22"/>
              <w:rPr>
                <w:color w:val="000000"/>
              </w:rPr>
            </w:pPr>
            <w:r>
              <w:rPr>
                <w:color w:val="000000"/>
              </w:rPr>
              <w:t> </w:t>
            </w:r>
          </w:p>
        </w:tc>
        <w:tc>
          <w:tcPr>
            <w:tcW w:w="996" w:type="dxa"/>
            <w:tcBorders>
              <w:top w:val="single" w:sz="6" w:space="0" w:color="000000"/>
              <w:left w:val="nil"/>
              <w:bottom w:val="nil"/>
              <w:right w:val="nil"/>
            </w:tcBorders>
            <w:shd w:val="clear" w:color="CFD4D8" w:fill="CFD4D8"/>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4.6</w:t>
            </w:r>
          </w:p>
        </w:tc>
        <w:tc>
          <w:tcPr>
            <w:tcW w:w="368" w:type="dxa"/>
            <w:gridSpan w:val="2"/>
            <w:tcBorders>
              <w:top w:val="single" w:sz="6" w:space="0" w:color="000000"/>
              <w:left w:val="nil"/>
              <w:bottom w:val="nil"/>
              <w:right w:val="single" w:sz="6" w:space="0" w:color="00467E"/>
            </w:tcBorders>
            <w:shd w:val="clear" w:color="CFD4D8" w:fill="CFD4D8"/>
            <w:vAlign w:val="center"/>
          </w:tcPr>
          <w:p w:rsidR="0073298C" w:rsidRDefault="0073298C" w:rsidP="0073298C">
            <w:pPr>
              <w:spacing w:before="22" w:after="22"/>
              <w:ind w:right="22"/>
              <w:rPr>
                <w:rFonts w:ascii="Arial" w:hAnsi="Arial" w:cs="Arial"/>
                <w:color w:val="000000"/>
                <w:sz w:val="18"/>
                <w:szCs w:val="18"/>
              </w:rPr>
            </w:pPr>
            <w:r>
              <w:rPr>
                <w:rFonts w:ascii="Arial" w:hAnsi="Arial" w:cs="Arial"/>
                <w:color w:val="000000"/>
                <w:sz w:val="18"/>
                <w:szCs w:val="18"/>
              </w:rPr>
              <w:t> %</w:t>
            </w:r>
          </w:p>
        </w:tc>
      </w:tr>
      <w:tr w:rsidR="0073298C" w:rsidTr="000E3B20">
        <w:tblPrEx>
          <w:tblCellMar>
            <w:top w:w="0" w:type="dxa"/>
            <w:left w:w="0" w:type="dxa"/>
            <w:bottom w:w="0" w:type="dxa"/>
            <w:right w:w="0" w:type="dxa"/>
          </w:tblCellMar>
        </w:tblPrEx>
        <w:trPr>
          <w:trHeight w:val="298"/>
        </w:trPr>
        <w:tc>
          <w:tcPr>
            <w:tcW w:w="3204" w:type="dxa"/>
            <w:tcBorders>
              <w:top w:val="nil"/>
              <w:left w:val="single" w:sz="6" w:space="0" w:color="00467E"/>
              <w:bottom w:val="nil"/>
              <w:right w:val="nil"/>
            </w:tcBorders>
            <w:vAlign w:val="center"/>
          </w:tcPr>
          <w:p w:rsidR="0073298C" w:rsidRDefault="0073298C" w:rsidP="0073298C">
            <w:pPr>
              <w:spacing w:before="22" w:after="22"/>
              <w:ind w:left="330" w:right="22"/>
              <w:rPr>
                <w:rFonts w:ascii="Arial" w:hAnsi="Arial" w:cs="Arial"/>
                <w:color w:val="000000"/>
                <w:sz w:val="18"/>
                <w:szCs w:val="18"/>
              </w:rPr>
            </w:pPr>
            <w:r>
              <w:rPr>
                <w:rFonts w:ascii="Arial" w:hAnsi="Arial" w:cs="Arial"/>
                <w:color w:val="000000"/>
                <w:sz w:val="18"/>
                <w:szCs w:val="18"/>
              </w:rPr>
              <w:t>% of total revenue</w:t>
            </w:r>
          </w:p>
        </w:tc>
        <w:tc>
          <w:tcPr>
            <w:tcW w:w="1347" w:type="dxa"/>
            <w:gridSpan w:val="2"/>
            <w:tcBorders>
              <w:top w:val="nil"/>
              <w:left w:val="nil"/>
              <w:bottom w:val="nil"/>
              <w:right w:val="nil"/>
            </w:tcBorders>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8.0</w:t>
            </w:r>
          </w:p>
        </w:tc>
        <w:tc>
          <w:tcPr>
            <w:tcW w:w="180" w:type="dxa"/>
            <w:tcBorders>
              <w:top w:val="nil"/>
              <w:left w:val="nil"/>
              <w:bottom w:val="nil"/>
              <w:right w:val="nil"/>
            </w:tcBorders>
            <w:vAlign w:val="center"/>
          </w:tcPr>
          <w:p w:rsidR="0073298C" w:rsidRDefault="0073298C" w:rsidP="0073298C">
            <w:pPr>
              <w:spacing w:before="22" w:after="22"/>
              <w:ind w:right="22"/>
              <w:rPr>
                <w:rFonts w:ascii="Arial" w:hAnsi="Arial" w:cs="Arial"/>
                <w:color w:val="000000"/>
                <w:sz w:val="18"/>
                <w:szCs w:val="18"/>
              </w:rPr>
            </w:pPr>
            <w:r>
              <w:rPr>
                <w:rFonts w:ascii="Arial" w:hAnsi="Arial" w:cs="Arial"/>
                <w:color w:val="000000"/>
                <w:sz w:val="18"/>
                <w:szCs w:val="18"/>
              </w:rPr>
              <w:t>%</w:t>
            </w:r>
          </w:p>
        </w:tc>
        <w:tc>
          <w:tcPr>
            <w:tcW w:w="103" w:type="dxa"/>
            <w:tcBorders>
              <w:top w:val="nil"/>
              <w:left w:val="nil"/>
              <w:bottom w:val="nil"/>
              <w:right w:val="nil"/>
            </w:tcBorders>
            <w:vAlign w:val="bottom"/>
          </w:tcPr>
          <w:p w:rsidR="0073298C" w:rsidRDefault="0073298C" w:rsidP="0073298C">
            <w:pPr>
              <w:spacing w:before="22" w:after="22"/>
              <w:ind w:left="22" w:right="22"/>
              <w:rPr>
                <w:color w:val="000000"/>
              </w:rPr>
            </w:pPr>
            <w:r>
              <w:rPr>
                <w:color w:val="000000"/>
              </w:rPr>
              <w:t> </w:t>
            </w:r>
          </w:p>
        </w:tc>
        <w:tc>
          <w:tcPr>
            <w:tcW w:w="1347" w:type="dxa"/>
            <w:gridSpan w:val="2"/>
            <w:tcBorders>
              <w:top w:val="nil"/>
              <w:left w:val="nil"/>
              <w:bottom w:val="nil"/>
              <w:right w:val="nil"/>
            </w:tcBorders>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10.3</w:t>
            </w:r>
          </w:p>
        </w:tc>
        <w:tc>
          <w:tcPr>
            <w:tcW w:w="180" w:type="dxa"/>
            <w:tcBorders>
              <w:top w:val="nil"/>
              <w:left w:val="nil"/>
              <w:bottom w:val="nil"/>
              <w:right w:val="nil"/>
            </w:tcBorders>
            <w:vAlign w:val="center"/>
          </w:tcPr>
          <w:p w:rsidR="0073298C" w:rsidRDefault="0073298C" w:rsidP="0073298C">
            <w:pPr>
              <w:spacing w:before="22" w:after="22"/>
              <w:ind w:right="22"/>
              <w:rPr>
                <w:rFonts w:ascii="Arial" w:hAnsi="Arial" w:cs="Arial"/>
                <w:color w:val="000000"/>
                <w:sz w:val="18"/>
                <w:szCs w:val="18"/>
              </w:rPr>
            </w:pPr>
            <w:r>
              <w:rPr>
                <w:rFonts w:ascii="Arial" w:hAnsi="Arial" w:cs="Arial"/>
                <w:color w:val="000000"/>
                <w:sz w:val="18"/>
                <w:szCs w:val="18"/>
              </w:rPr>
              <w:t>%</w:t>
            </w:r>
          </w:p>
        </w:tc>
        <w:tc>
          <w:tcPr>
            <w:tcW w:w="103" w:type="dxa"/>
            <w:tcBorders>
              <w:top w:val="nil"/>
              <w:left w:val="nil"/>
              <w:bottom w:val="nil"/>
              <w:right w:val="nil"/>
            </w:tcBorders>
            <w:vAlign w:val="bottom"/>
          </w:tcPr>
          <w:p w:rsidR="0073298C" w:rsidRDefault="0073298C" w:rsidP="0073298C">
            <w:pPr>
              <w:spacing w:before="22" w:after="22"/>
              <w:ind w:left="22" w:right="22"/>
              <w:rPr>
                <w:color w:val="000000"/>
              </w:rPr>
            </w:pPr>
            <w:r>
              <w:rPr>
                <w:color w:val="000000"/>
              </w:rPr>
              <w:t> </w:t>
            </w:r>
          </w:p>
        </w:tc>
        <w:tc>
          <w:tcPr>
            <w:tcW w:w="1347" w:type="dxa"/>
            <w:gridSpan w:val="2"/>
            <w:tcBorders>
              <w:top w:val="nil"/>
              <w:left w:val="nil"/>
              <w:bottom w:val="nil"/>
              <w:right w:val="nil"/>
            </w:tcBorders>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9.3</w:t>
            </w:r>
          </w:p>
        </w:tc>
        <w:tc>
          <w:tcPr>
            <w:tcW w:w="183" w:type="dxa"/>
            <w:tcBorders>
              <w:top w:val="nil"/>
              <w:left w:val="nil"/>
              <w:bottom w:val="nil"/>
              <w:right w:val="nil"/>
            </w:tcBorders>
            <w:vAlign w:val="center"/>
          </w:tcPr>
          <w:p w:rsidR="0073298C" w:rsidRDefault="0073298C" w:rsidP="0073298C">
            <w:pPr>
              <w:spacing w:before="22" w:after="22"/>
              <w:ind w:right="22"/>
              <w:rPr>
                <w:rFonts w:ascii="Arial" w:hAnsi="Arial" w:cs="Arial"/>
                <w:color w:val="000000"/>
                <w:sz w:val="18"/>
                <w:szCs w:val="18"/>
              </w:rPr>
            </w:pPr>
            <w:r>
              <w:rPr>
                <w:rFonts w:ascii="Arial" w:hAnsi="Arial" w:cs="Arial"/>
                <w:color w:val="000000"/>
                <w:sz w:val="18"/>
                <w:szCs w:val="18"/>
              </w:rPr>
              <w:t>%</w:t>
            </w:r>
          </w:p>
        </w:tc>
        <w:tc>
          <w:tcPr>
            <w:tcW w:w="103" w:type="dxa"/>
            <w:tcBorders>
              <w:top w:val="single" w:sz="6" w:space="0" w:color="00467E"/>
              <w:left w:val="nil"/>
              <w:bottom w:val="nil"/>
              <w:right w:val="nil"/>
            </w:tcBorders>
            <w:shd w:val="clear" w:color="00467E" w:fill="00467E"/>
            <w:vAlign w:val="bottom"/>
          </w:tcPr>
          <w:p w:rsidR="0073298C" w:rsidRDefault="0073298C" w:rsidP="0073298C">
            <w:pPr>
              <w:spacing w:before="22" w:after="22"/>
              <w:ind w:left="22" w:right="22"/>
              <w:rPr>
                <w:color w:val="000000"/>
              </w:rPr>
            </w:pPr>
            <w:r>
              <w:rPr>
                <w:color w:val="000000"/>
              </w:rPr>
              <w:t> </w:t>
            </w:r>
          </w:p>
        </w:tc>
        <w:tc>
          <w:tcPr>
            <w:tcW w:w="1009" w:type="dxa"/>
            <w:tcBorders>
              <w:top w:val="nil"/>
              <w:left w:val="nil"/>
              <w:bottom w:val="nil"/>
              <w:right w:val="nil"/>
            </w:tcBorders>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(230 bps)</w:t>
            </w:r>
          </w:p>
        </w:tc>
        <w:tc>
          <w:tcPr>
            <w:tcW w:w="231" w:type="dxa"/>
            <w:tcBorders>
              <w:top w:val="nil"/>
              <w:left w:val="nil"/>
              <w:bottom w:val="nil"/>
              <w:right w:val="nil"/>
            </w:tcBorders>
            <w:vAlign w:val="bottom"/>
          </w:tcPr>
          <w:p w:rsidR="0073298C" w:rsidRDefault="0073298C" w:rsidP="0073298C">
            <w:pPr>
              <w:spacing w:before="22" w:after="22"/>
              <w:ind w:left="22"/>
              <w:jc w:val="right"/>
              <w:rPr>
                <w:rFonts w:ascii="Arial" w:hAnsi="Arial" w:cs="Arial"/>
                <w:color w:val="000000"/>
                <w:sz w:val="18"/>
                <w:szCs w:val="18"/>
              </w:rPr>
            </w:pPr>
          </w:p>
          <w:p w:rsidR="0073298C" w:rsidRDefault="0073298C" w:rsidP="0073298C">
            <w:pPr>
              <w:rPr>
                <w:sz w:val="16"/>
                <w:szCs w:val="16"/>
              </w:rPr>
            </w:pPr>
            <w:r>
              <w:rPr>
                <w:sz w:val="16"/>
                <w:szCs w:val="16"/>
              </w:rPr>
              <w:t> </w:t>
            </w:r>
          </w:p>
        </w:tc>
        <w:tc>
          <w:tcPr>
            <w:tcW w:w="103" w:type="dxa"/>
            <w:tcBorders>
              <w:top w:val="nil"/>
              <w:left w:val="nil"/>
              <w:bottom w:val="nil"/>
              <w:right w:val="nil"/>
            </w:tcBorders>
            <w:vAlign w:val="bottom"/>
          </w:tcPr>
          <w:p w:rsidR="0073298C" w:rsidRDefault="0073298C" w:rsidP="0073298C">
            <w:pPr>
              <w:spacing w:before="22" w:after="22"/>
              <w:ind w:left="22" w:right="22"/>
              <w:rPr>
                <w:color w:val="000000"/>
              </w:rPr>
            </w:pPr>
            <w:r>
              <w:rPr>
                <w:color w:val="000000"/>
              </w:rPr>
              <w:t> </w:t>
            </w:r>
          </w:p>
        </w:tc>
        <w:tc>
          <w:tcPr>
            <w:tcW w:w="996" w:type="dxa"/>
            <w:tcBorders>
              <w:top w:val="nil"/>
              <w:left w:val="nil"/>
              <w:bottom w:val="nil"/>
              <w:right w:val="nil"/>
            </w:tcBorders>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100</w:t>
            </w:r>
          </w:p>
        </w:tc>
        <w:tc>
          <w:tcPr>
            <w:tcW w:w="368" w:type="dxa"/>
            <w:gridSpan w:val="2"/>
            <w:tcBorders>
              <w:top w:val="nil"/>
              <w:left w:val="nil"/>
              <w:bottom w:val="nil"/>
              <w:right w:val="single" w:sz="6" w:space="0" w:color="00467E"/>
            </w:tcBorders>
            <w:vAlign w:val="center"/>
          </w:tcPr>
          <w:p w:rsidR="0073298C" w:rsidRDefault="0073298C" w:rsidP="0073298C">
            <w:pPr>
              <w:spacing w:before="22" w:after="22"/>
              <w:ind w:right="22"/>
              <w:rPr>
                <w:rFonts w:ascii="Arial" w:hAnsi="Arial" w:cs="Arial"/>
                <w:color w:val="000000"/>
                <w:sz w:val="18"/>
                <w:szCs w:val="18"/>
              </w:rPr>
            </w:pPr>
            <w:r>
              <w:rPr>
                <w:rFonts w:ascii="Arial" w:hAnsi="Arial" w:cs="Arial"/>
                <w:color w:val="000000"/>
                <w:sz w:val="18"/>
                <w:szCs w:val="18"/>
              </w:rPr>
              <w:t> bps</w:t>
            </w:r>
          </w:p>
        </w:tc>
      </w:tr>
      <w:tr w:rsidR="0073298C" w:rsidTr="000E3B20">
        <w:tblPrEx>
          <w:tblCellMar>
            <w:top w:w="0" w:type="dxa"/>
            <w:left w:w="0" w:type="dxa"/>
            <w:bottom w:w="0" w:type="dxa"/>
            <w:right w:w="0" w:type="dxa"/>
          </w:tblCellMar>
        </w:tblPrEx>
        <w:trPr>
          <w:trHeight w:val="479"/>
        </w:trPr>
        <w:tc>
          <w:tcPr>
            <w:tcW w:w="3204" w:type="dxa"/>
            <w:tcBorders>
              <w:top w:val="nil"/>
              <w:left w:val="single" w:sz="6" w:space="0" w:color="00467E"/>
              <w:bottom w:val="single" w:sz="6" w:space="0" w:color="00467E"/>
              <w:right w:val="nil"/>
            </w:tcBorders>
            <w:shd w:val="clear" w:color="CFD4D8" w:fill="CFD4D8"/>
            <w:vAlign w:val="center"/>
          </w:tcPr>
          <w:p w:rsidR="0073298C" w:rsidRDefault="0073298C" w:rsidP="0073298C">
            <w:pPr>
              <w:spacing w:before="22" w:after="22"/>
              <w:ind w:left="330" w:right="22"/>
              <w:rPr>
                <w:rFonts w:ascii="Arial" w:hAnsi="Arial" w:cs="Arial"/>
                <w:color w:val="000000"/>
                <w:sz w:val="18"/>
                <w:szCs w:val="18"/>
              </w:rPr>
            </w:pPr>
            <w:r>
              <w:rPr>
                <w:rFonts w:ascii="Arial" w:hAnsi="Arial" w:cs="Arial"/>
                <w:color w:val="000000"/>
                <w:sz w:val="18"/>
                <w:szCs w:val="18"/>
              </w:rPr>
              <w:t>% of revenue before fuel surcharge</w:t>
            </w:r>
          </w:p>
        </w:tc>
        <w:tc>
          <w:tcPr>
            <w:tcW w:w="1347" w:type="dxa"/>
            <w:gridSpan w:val="2"/>
            <w:tcBorders>
              <w:top w:val="nil"/>
              <w:left w:val="nil"/>
              <w:bottom w:val="single" w:sz="6" w:space="0" w:color="00467E"/>
              <w:right w:val="nil"/>
            </w:tcBorders>
            <w:shd w:val="clear" w:color="CFD4D8" w:fill="CFD4D8"/>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8.9</w:t>
            </w:r>
          </w:p>
        </w:tc>
        <w:tc>
          <w:tcPr>
            <w:tcW w:w="180" w:type="dxa"/>
            <w:tcBorders>
              <w:top w:val="nil"/>
              <w:left w:val="nil"/>
              <w:bottom w:val="single" w:sz="6" w:space="0" w:color="00467E"/>
              <w:right w:val="nil"/>
            </w:tcBorders>
            <w:shd w:val="clear" w:color="CFD4D8" w:fill="CFD4D8"/>
            <w:vAlign w:val="center"/>
          </w:tcPr>
          <w:p w:rsidR="0073298C" w:rsidRDefault="0073298C" w:rsidP="0073298C">
            <w:pPr>
              <w:spacing w:before="22" w:after="22"/>
              <w:ind w:right="22"/>
              <w:rPr>
                <w:rFonts w:ascii="Arial" w:hAnsi="Arial" w:cs="Arial"/>
                <w:color w:val="000000"/>
                <w:sz w:val="18"/>
                <w:szCs w:val="18"/>
              </w:rPr>
            </w:pPr>
            <w:r>
              <w:rPr>
                <w:rFonts w:ascii="Arial" w:hAnsi="Arial" w:cs="Arial"/>
                <w:color w:val="000000"/>
                <w:sz w:val="18"/>
                <w:szCs w:val="18"/>
              </w:rPr>
              <w:t>%</w:t>
            </w:r>
          </w:p>
        </w:tc>
        <w:tc>
          <w:tcPr>
            <w:tcW w:w="103" w:type="dxa"/>
            <w:tcBorders>
              <w:top w:val="nil"/>
              <w:left w:val="nil"/>
              <w:bottom w:val="single" w:sz="6" w:space="0" w:color="00467E"/>
              <w:right w:val="nil"/>
            </w:tcBorders>
            <w:shd w:val="clear" w:color="CFD4D8" w:fill="CFD4D8"/>
            <w:vAlign w:val="bottom"/>
          </w:tcPr>
          <w:p w:rsidR="0073298C" w:rsidRDefault="0073298C" w:rsidP="0073298C">
            <w:pPr>
              <w:spacing w:before="22" w:after="22"/>
              <w:ind w:left="22" w:right="22"/>
              <w:rPr>
                <w:color w:val="000000"/>
              </w:rPr>
            </w:pPr>
            <w:r>
              <w:rPr>
                <w:color w:val="000000"/>
              </w:rPr>
              <w:t> </w:t>
            </w:r>
          </w:p>
        </w:tc>
        <w:tc>
          <w:tcPr>
            <w:tcW w:w="1347" w:type="dxa"/>
            <w:gridSpan w:val="2"/>
            <w:tcBorders>
              <w:top w:val="nil"/>
              <w:left w:val="nil"/>
              <w:bottom w:val="single" w:sz="6" w:space="0" w:color="00467E"/>
              <w:right w:val="nil"/>
            </w:tcBorders>
            <w:shd w:val="clear" w:color="CFD4D8" w:fill="CFD4D8"/>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11.2</w:t>
            </w:r>
          </w:p>
        </w:tc>
        <w:tc>
          <w:tcPr>
            <w:tcW w:w="180" w:type="dxa"/>
            <w:tcBorders>
              <w:top w:val="nil"/>
              <w:left w:val="nil"/>
              <w:bottom w:val="single" w:sz="6" w:space="0" w:color="00467E"/>
              <w:right w:val="nil"/>
            </w:tcBorders>
            <w:shd w:val="clear" w:color="CFD4D8" w:fill="CFD4D8"/>
            <w:vAlign w:val="center"/>
          </w:tcPr>
          <w:p w:rsidR="0073298C" w:rsidRDefault="0073298C" w:rsidP="0073298C">
            <w:pPr>
              <w:spacing w:before="22" w:after="22"/>
              <w:ind w:right="22"/>
              <w:rPr>
                <w:rFonts w:ascii="Arial" w:hAnsi="Arial" w:cs="Arial"/>
                <w:color w:val="000000"/>
                <w:sz w:val="18"/>
                <w:szCs w:val="18"/>
              </w:rPr>
            </w:pPr>
            <w:r>
              <w:rPr>
                <w:rFonts w:ascii="Arial" w:hAnsi="Arial" w:cs="Arial"/>
                <w:color w:val="000000"/>
                <w:sz w:val="18"/>
                <w:szCs w:val="18"/>
              </w:rPr>
              <w:t>%</w:t>
            </w:r>
          </w:p>
        </w:tc>
        <w:tc>
          <w:tcPr>
            <w:tcW w:w="103" w:type="dxa"/>
            <w:tcBorders>
              <w:top w:val="nil"/>
              <w:left w:val="nil"/>
              <w:bottom w:val="single" w:sz="6" w:space="0" w:color="00467E"/>
              <w:right w:val="nil"/>
            </w:tcBorders>
            <w:shd w:val="clear" w:color="CFD4D8" w:fill="CFD4D8"/>
            <w:vAlign w:val="bottom"/>
          </w:tcPr>
          <w:p w:rsidR="0073298C" w:rsidRDefault="0073298C" w:rsidP="0073298C">
            <w:pPr>
              <w:spacing w:before="22" w:after="22"/>
              <w:ind w:left="22" w:right="22"/>
              <w:rPr>
                <w:color w:val="000000"/>
              </w:rPr>
            </w:pPr>
            <w:r>
              <w:rPr>
                <w:color w:val="000000"/>
              </w:rPr>
              <w:t> </w:t>
            </w:r>
          </w:p>
        </w:tc>
        <w:tc>
          <w:tcPr>
            <w:tcW w:w="1347" w:type="dxa"/>
            <w:gridSpan w:val="2"/>
            <w:tcBorders>
              <w:top w:val="nil"/>
              <w:left w:val="nil"/>
              <w:bottom w:val="single" w:sz="6" w:space="0" w:color="00467E"/>
              <w:right w:val="nil"/>
            </w:tcBorders>
            <w:shd w:val="clear" w:color="CFD4D8" w:fill="CFD4D8"/>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10.4</w:t>
            </w:r>
          </w:p>
        </w:tc>
        <w:tc>
          <w:tcPr>
            <w:tcW w:w="183" w:type="dxa"/>
            <w:tcBorders>
              <w:top w:val="nil"/>
              <w:left w:val="nil"/>
              <w:bottom w:val="single" w:sz="6" w:space="0" w:color="00467E"/>
              <w:right w:val="nil"/>
            </w:tcBorders>
            <w:shd w:val="clear" w:color="CFD4D8" w:fill="CFD4D8"/>
            <w:vAlign w:val="center"/>
          </w:tcPr>
          <w:p w:rsidR="0073298C" w:rsidRDefault="0073298C" w:rsidP="0073298C">
            <w:pPr>
              <w:spacing w:before="22" w:after="22"/>
              <w:ind w:right="22"/>
              <w:rPr>
                <w:rFonts w:ascii="Arial" w:hAnsi="Arial" w:cs="Arial"/>
                <w:color w:val="000000"/>
                <w:sz w:val="18"/>
                <w:szCs w:val="18"/>
              </w:rPr>
            </w:pPr>
            <w:r>
              <w:rPr>
                <w:rFonts w:ascii="Arial" w:hAnsi="Arial" w:cs="Arial"/>
                <w:color w:val="000000"/>
                <w:sz w:val="18"/>
                <w:szCs w:val="18"/>
              </w:rPr>
              <w:t>%</w:t>
            </w:r>
          </w:p>
        </w:tc>
        <w:tc>
          <w:tcPr>
            <w:tcW w:w="103" w:type="dxa"/>
            <w:tcBorders>
              <w:top w:val="single" w:sz="6" w:space="0" w:color="00467E"/>
              <w:left w:val="nil"/>
              <w:bottom w:val="single" w:sz="6" w:space="0" w:color="00467E"/>
              <w:right w:val="nil"/>
            </w:tcBorders>
            <w:shd w:val="clear" w:color="00467E" w:fill="00467E"/>
            <w:vAlign w:val="bottom"/>
          </w:tcPr>
          <w:p w:rsidR="0073298C" w:rsidRDefault="0073298C" w:rsidP="0073298C">
            <w:pPr>
              <w:spacing w:before="22" w:after="22"/>
              <w:ind w:left="22" w:right="22"/>
              <w:rPr>
                <w:color w:val="000000"/>
              </w:rPr>
            </w:pPr>
            <w:r>
              <w:rPr>
                <w:color w:val="000000"/>
              </w:rPr>
              <w:t> </w:t>
            </w:r>
          </w:p>
        </w:tc>
        <w:tc>
          <w:tcPr>
            <w:tcW w:w="1009" w:type="dxa"/>
            <w:tcBorders>
              <w:top w:val="nil"/>
              <w:left w:val="nil"/>
              <w:bottom w:val="single" w:sz="6" w:space="0" w:color="00467E"/>
              <w:right w:val="nil"/>
            </w:tcBorders>
            <w:shd w:val="clear" w:color="CFD4D8" w:fill="CFD4D8"/>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(230 bps)</w:t>
            </w:r>
          </w:p>
        </w:tc>
        <w:tc>
          <w:tcPr>
            <w:tcW w:w="231" w:type="dxa"/>
            <w:tcBorders>
              <w:top w:val="nil"/>
              <w:left w:val="nil"/>
              <w:bottom w:val="single" w:sz="6" w:space="0" w:color="00467E"/>
              <w:right w:val="nil"/>
            </w:tcBorders>
            <w:shd w:val="clear" w:color="CFD4D8" w:fill="CFD4D8"/>
            <w:vAlign w:val="bottom"/>
          </w:tcPr>
          <w:p w:rsidR="0073298C" w:rsidRDefault="0073298C" w:rsidP="0073298C">
            <w:pPr>
              <w:spacing w:before="22" w:after="22"/>
              <w:ind w:left="22"/>
              <w:jc w:val="right"/>
              <w:rPr>
                <w:rFonts w:ascii="Arial" w:hAnsi="Arial" w:cs="Arial"/>
                <w:color w:val="000000"/>
                <w:sz w:val="18"/>
                <w:szCs w:val="18"/>
              </w:rPr>
            </w:pPr>
          </w:p>
          <w:p w:rsidR="0073298C" w:rsidRDefault="0073298C" w:rsidP="0073298C">
            <w:pPr>
              <w:rPr>
                <w:sz w:val="16"/>
                <w:szCs w:val="16"/>
              </w:rPr>
            </w:pPr>
            <w:r>
              <w:rPr>
                <w:sz w:val="16"/>
                <w:szCs w:val="16"/>
              </w:rPr>
              <w:t> </w:t>
            </w:r>
          </w:p>
        </w:tc>
        <w:tc>
          <w:tcPr>
            <w:tcW w:w="103" w:type="dxa"/>
            <w:tcBorders>
              <w:top w:val="nil"/>
              <w:left w:val="nil"/>
              <w:bottom w:val="single" w:sz="6" w:space="0" w:color="00467E"/>
              <w:right w:val="nil"/>
            </w:tcBorders>
            <w:shd w:val="clear" w:color="CFD4D8" w:fill="CFD4D8"/>
            <w:vAlign w:val="bottom"/>
          </w:tcPr>
          <w:p w:rsidR="0073298C" w:rsidRDefault="0073298C" w:rsidP="0073298C">
            <w:pPr>
              <w:spacing w:before="22" w:after="22"/>
              <w:ind w:left="22" w:right="22"/>
              <w:rPr>
                <w:color w:val="000000"/>
              </w:rPr>
            </w:pPr>
            <w:r>
              <w:rPr>
                <w:color w:val="000000"/>
              </w:rPr>
              <w:t> </w:t>
            </w:r>
          </w:p>
        </w:tc>
        <w:tc>
          <w:tcPr>
            <w:tcW w:w="996" w:type="dxa"/>
            <w:tcBorders>
              <w:top w:val="nil"/>
              <w:left w:val="nil"/>
              <w:bottom w:val="single" w:sz="6" w:space="0" w:color="00467E"/>
              <w:right w:val="nil"/>
            </w:tcBorders>
            <w:shd w:val="clear" w:color="CFD4D8" w:fill="CFD4D8"/>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80</w:t>
            </w:r>
          </w:p>
        </w:tc>
        <w:tc>
          <w:tcPr>
            <w:tcW w:w="368" w:type="dxa"/>
            <w:gridSpan w:val="2"/>
            <w:tcBorders>
              <w:top w:val="nil"/>
              <w:left w:val="nil"/>
              <w:bottom w:val="single" w:sz="6" w:space="0" w:color="00467E"/>
              <w:right w:val="single" w:sz="6" w:space="0" w:color="00467E"/>
            </w:tcBorders>
            <w:shd w:val="clear" w:color="CFD4D8" w:fill="CFD4D8"/>
            <w:vAlign w:val="center"/>
          </w:tcPr>
          <w:p w:rsidR="0073298C" w:rsidRDefault="0073298C" w:rsidP="0073298C">
            <w:pPr>
              <w:spacing w:before="22" w:after="22"/>
              <w:ind w:right="22"/>
              <w:rPr>
                <w:rFonts w:ascii="Arial" w:hAnsi="Arial" w:cs="Arial"/>
                <w:color w:val="000000"/>
                <w:sz w:val="18"/>
                <w:szCs w:val="18"/>
              </w:rPr>
            </w:pPr>
            <w:r>
              <w:rPr>
                <w:rFonts w:ascii="Arial" w:hAnsi="Arial" w:cs="Arial"/>
                <w:color w:val="000000"/>
                <w:sz w:val="18"/>
                <w:szCs w:val="18"/>
              </w:rPr>
              <w:t> bps</w:t>
            </w:r>
          </w:p>
        </w:tc>
      </w:tr>
    </w:tbl>
    <w:p w:rsidR="0073298C" w:rsidRDefault="0073298C" w:rsidP="0073298C">
      <w:pPr>
        <w:spacing w:after="132"/>
        <w:jc w:val="both"/>
        <w:rPr>
          <w:rFonts w:ascii="Arial" w:hAnsi="Arial" w:cs="Arial"/>
          <w:color w:val="000000"/>
          <w:sz w:val="18"/>
          <w:szCs w:val="18"/>
        </w:rPr>
      </w:pPr>
      <w:r>
        <w:rPr>
          <w:rFonts w:ascii="Arial" w:hAnsi="Arial" w:cs="Arial"/>
          <w:color w:val="000000"/>
          <w:sz w:val="18"/>
          <w:szCs w:val="18"/>
        </w:rPr>
        <w:t xml:space="preserve">Depreciation relates primarily to our owned tractors, trailers, ELDs and other communication units, and other similar assets. Changes to this fixed cost are generally attributed to increases or decreases to company-owned equipment, the relative percentage of owned versus leased equipment, and fluctuations in new equipment purchase prices, which have historically been precipitated in part by new or proposed federal and state regulations (such as the EPA engine emissions requirements relating to post-2014 model tractors and the California trailer efficiency requirements). Depreciation can also be affected by the cost of used equipment that we sell or trade and the replacement of older used equipment. Management periodically reviews the condition, average age, and reasonableness of estimated useful lives and </w:t>
      </w:r>
      <w:proofErr w:type="gramStart"/>
      <w:r>
        <w:rPr>
          <w:rFonts w:ascii="Arial" w:hAnsi="Arial" w:cs="Arial"/>
          <w:color w:val="000000"/>
          <w:sz w:val="18"/>
          <w:szCs w:val="18"/>
        </w:rPr>
        <w:t>salvage</w:t>
      </w:r>
      <w:proofErr w:type="gramEnd"/>
      <w:r>
        <w:rPr>
          <w:rFonts w:ascii="Arial" w:hAnsi="Arial" w:cs="Arial"/>
          <w:color w:val="000000"/>
          <w:sz w:val="18"/>
          <w:szCs w:val="18"/>
        </w:rPr>
        <w:t xml:space="preserve"> values of our equipment and considers such factors in light of our experience with similar assets, used equipment market conditions, and prevailing industry practice.</w:t>
      </w:r>
    </w:p>
    <w:p w:rsidR="0073298C" w:rsidRDefault="0073298C" w:rsidP="0073298C">
      <w:pPr>
        <w:spacing w:after="132"/>
        <w:jc w:val="both"/>
        <w:rPr>
          <w:rFonts w:ascii="Arial" w:hAnsi="Arial" w:cs="Arial"/>
          <w:color w:val="000000"/>
          <w:sz w:val="18"/>
          <w:szCs w:val="18"/>
        </w:rPr>
      </w:pPr>
      <w:r>
        <w:rPr>
          <w:rFonts w:ascii="Arial" w:hAnsi="Arial" w:cs="Arial"/>
          <w:i/>
          <w:iCs/>
          <w:color w:val="000000"/>
          <w:sz w:val="18"/>
          <w:szCs w:val="18"/>
        </w:rPr>
        <w:t>2017 Compared to 2016 —</w:t>
      </w:r>
      <w:r>
        <w:rPr>
          <w:rFonts w:ascii="Arial" w:hAnsi="Arial" w:cs="Arial"/>
          <w:color w:val="000000"/>
          <w:sz w:val="18"/>
          <w:szCs w:val="18"/>
        </w:rPr>
        <w:t xml:space="preserve"> The $78.1 million increase in consolidated depreciation and amortization of property and equipment includes $77.1 million of expense from Swift's results for the September 9, 2017 through December 31, 2017 period. Knight's depreciation and amortization of property and equipment increased slightly in 2017 compared to 2016.</w:t>
      </w:r>
    </w:p>
    <w:p w:rsidR="000E3B20" w:rsidRDefault="0073298C" w:rsidP="000E3B20">
      <w:pPr>
        <w:spacing w:after="132"/>
        <w:jc w:val="both"/>
        <w:rPr>
          <w:rFonts w:ascii="Arial" w:hAnsi="Arial" w:cs="Arial"/>
          <w:color w:val="000000"/>
          <w:sz w:val="18"/>
          <w:szCs w:val="18"/>
        </w:rPr>
      </w:pPr>
      <w:r>
        <w:rPr>
          <w:rFonts w:ascii="Arial" w:hAnsi="Arial" w:cs="Arial"/>
          <w:color w:val="000000"/>
          <w:sz w:val="18"/>
          <w:szCs w:val="18"/>
        </w:rPr>
        <w:t xml:space="preserve">Knight extended its trade cycle for its tractors and reduced its average tractor count, which reduced capital expenditures. Knight has been proactive in managing its preventative maintenance program with a goal of partially mitigating the additional maintenance cost commonly associated with a slightly older fleet. We expect to begin refreshing Knight and Swift tractor fleets through replacement units in the coming quarters, and anticipate that depreciation and amortization costs will increase in future quarters. </w:t>
      </w:r>
    </w:p>
    <w:p w:rsidR="0073298C" w:rsidRDefault="0073298C" w:rsidP="000E3B20">
      <w:pPr>
        <w:spacing w:after="132"/>
        <w:jc w:val="both"/>
        <w:rPr>
          <w:rFonts w:ascii="Arial" w:hAnsi="Arial" w:cs="Arial"/>
          <w:color w:val="000000"/>
          <w:sz w:val="18"/>
          <w:szCs w:val="18"/>
        </w:rPr>
      </w:pPr>
      <w:r>
        <w:rPr>
          <w:rFonts w:ascii="Arial" w:hAnsi="Arial" w:cs="Arial"/>
          <w:i/>
          <w:iCs/>
          <w:color w:val="000000"/>
          <w:sz w:val="18"/>
          <w:szCs w:val="18"/>
        </w:rPr>
        <w:t>2016 Compared to 2015 —</w:t>
      </w:r>
      <w:r>
        <w:rPr>
          <w:rFonts w:ascii="Arial" w:hAnsi="Arial" w:cs="Arial"/>
          <w:color w:val="000000"/>
          <w:sz w:val="18"/>
          <w:szCs w:val="18"/>
        </w:rPr>
        <w:t xml:space="preserve"> Consolidated depreciation and amortization of property and equipment, as a percentage of total revenue, increased from 2015 to 2016, in part due to the decrease in fuel surcharge revenue. As a percentage of revenue before fuel surcharge, depreciation and amortization increased to 11.2% in 2016 from 10.4% in 2015. This increase was due to a combination of the decrease in revenue before fuel surcharge, driven by the decrease in average revenue per tractor in our Knight Trucking segment, and the decrease in revenue from our less asset-intensive Knight Logistics segment, driven by the decrease in revenue per load and reduced non-Trucking service revenue.</w:t>
      </w:r>
    </w:p>
    <w:tbl>
      <w:tblPr>
        <w:tblW w:w="0" w:type="auto"/>
        <w:tblLayout w:type="fixed"/>
        <w:tblCellMar>
          <w:left w:w="0" w:type="dxa"/>
          <w:right w:w="0" w:type="dxa"/>
        </w:tblCellMar>
        <w:tblLook w:val="0000"/>
      </w:tblPr>
      <w:tblGrid>
        <w:gridCol w:w="3125"/>
        <w:gridCol w:w="120"/>
        <w:gridCol w:w="1193"/>
        <w:gridCol w:w="180"/>
        <w:gridCol w:w="102"/>
        <w:gridCol w:w="235"/>
        <w:gridCol w:w="1174"/>
        <w:gridCol w:w="180"/>
        <w:gridCol w:w="102"/>
        <w:gridCol w:w="235"/>
        <w:gridCol w:w="1174"/>
        <w:gridCol w:w="182"/>
        <w:gridCol w:w="102"/>
        <w:gridCol w:w="1014"/>
        <w:gridCol w:w="361"/>
        <w:gridCol w:w="102"/>
        <w:gridCol w:w="1022"/>
        <w:gridCol w:w="200"/>
      </w:tblGrid>
      <w:tr w:rsidR="0073298C" w:rsidTr="0073298C">
        <w:tblPrEx>
          <w:tblCellMar>
            <w:top w:w="0" w:type="dxa"/>
            <w:left w:w="0" w:type="dxa"/>
            <w:bottom w:w="0" w:type="dxa"/>
            <w:right w:w="0" w:type="dxa"/>
          </w:tblCellMar>
        </w:tblPrEx>
        <w:trPr>
          <w:trHeight w:val="66"/>
        </w:trPr>
        <w:tc>
          <w:tcPr>
            <w:tcW w:w="10800" w:type="dxa"/>
            <w:gridSpan w:val="18"/>
            <w:tcBorders>
              <w:top w:val="nil"/>
              <w:left w:val="nil"/>
              <w:bottom w:val="nil"/>
              <w:right w:val="nil"/>
            </w:tcBorders>
            <w:vAlign w:val="center"/>
          </w:tcPr>
          <w:p w:rsidR="0073298C" w:rsidRDefault="0073298C" w:rsidP="0073298C">
            <w:pPr>
              <w:rPr>
                <w:sz w:val="16"/>
                <w:szCs w:val="16"/>
              </w:rPr>
            </w:pPr>
            <w:r>
              <w:rPr>
                <w:sz w:val="16"/>
                <w:szCs w:val="16"/>
              </w:rPr>
              <w:t> </w:t>
            </w:r>
          </w:p>
        </w:tc>
      </w:tr>
      <w:tr w:rsidR="0073298C" w:rsidTr="0073298C">
        <w:tblPrEx>
          <w:tblCellMar>
            <w:top w:w="0" w:type="dxa"/>
            <w:left w:w="0" w:type="dxa"/>
            <w:bottom w:w="0" w:type="dxa"/>
            <w:right w:w="0" w:type="dxa"/>
          </w:tblCellMar>
        </w:tblPrEx>
        <w:trPr>
          <w:trHeight w:val="66"/>
        </w:trPr>
        <w:tc>
          <w:tcPr>
            <w:tcW w:w="3125" w:type="dxa"/>
            <w:tcBorders>
              <w:top w:val="nil"/>
              <w:left w:val="nil"/>
              <w:bottom w:val="nil"/>
              <w:right w:val="nil"/>
            </w:tcBorders>
            <w:vAlign w:val="center"/>
          </w:tcPr>
          <w:p w:rsidR="0073298C" w:rsidRDefault="0073298C" w:rsidP="0073298C">
            <w:pPr>
              <w:rPr>
                <w:sz w:val="16"/>
                <w:szCs w:val="16"/>
              </w:rPr>
            </w:pPr>
            <w:r>
              <w:rPr>
                <w:sz w:val="16"/>
                <w:szCs w:val="16"/>
              </w:rPr>
              <w:t> </w:t>
            </w:r>
          </w:p>
        </w:tc>
        <w:tc>
          <w:tcPr>
            <w:tcW w:w="120" w:type="dxa"/>
            <w:tcBorders>
              <w:top w:val="nil"/>
              <w:left w:val="nil"/>
              <w:bottom w:val="nil"/>
              <w:right w:val="nil"/>
            </w:tcBorders>
            <w:vAlign w:val="center"/>
          </w:tcPr>
          <w:p w:rsidR="0073298C" w:rsidRDefault="0073298C" w:rsidP="0073298C">
            <w:pPr>
              <w:rPr>
                <w:sz w:val="16"/>
                <w:szCs w:val="16"/>
              </w:rPr>
            </w:pPr>
            <w:r>
              <w:rPr>
                <w:sz w:val="16"/>
                <w:szCs w:val="16"/>
              </w:rPr>
              <w:t> </w:t>
            </w:r>
          </w:p>
        </w:tc>
        <w:tc>
          <w:tcPr>
            <w:tcW w:w="1193" w:type="dxa"/>
            <w:tcBorders>
              <w:top w:val="nil"/>
              <w:left w:val="nil"/>
              <w:bottom w:val="nil"/>
              <w:right w:val="nil"/>
            </w:tcBorders>
            <w:vAlign w:val="center"/>
          </w:tcPr>
          <w:p w:rsidR="0073298C" w:rsidRDefault="0073298C" w:rsidP="0073298C">
            <w:pPr>
              <w:rPr>
                <w:sz w:val="16"/>
                <w:szCs w:val="16"/>
              </w:rPr>
            </w:pPr>
            <w:r>
              <w:rPr>
                <w:sz w:val="16"/>
                <w:szCs w:val="16"/>
              </w:rPr>
              <w:t> </w:t>
            </w:r>
          </w:p>
        </w:tc>
        <w:tc>
          <w:tcPr>
            <w:tcW w:w="180" w:type="dxa"/>
            <w:tcBorders>
              <w:top w:val="nil"/>
              <w:left w:val="nil"/>
              <w:bottom w:val="nil"/>
              <w:right w:val="nil"/>
            </w:tcBorders>
            <w:vAlign w:val="center"/>
          </w:tcPr>
          <w:p w:rsidR="0073298C" w:rsidRDefault="0073298C" w:rsidP="0073298C">
            <w:pPr>
              <w:rPr>
                <w:sz w:val="16"/>
                <w:szCs w:val="16"/>
              </w:rPr>
            </w:pPr>
            <w:r>
              <w:rPr>
                <w:sz w:val="16"/>
                <w:szCs w:val="16"/>
              </w:rPr>
              <w:t> </w:t>
            </w:r>
          </w:p>
        </w:tc>
        <w:tc>
          <w:tcPr>
            <w:tcW w:w="102" w:type="dxa"/>
            <w:tcBorders>
              <w:top w:val="nil"/>
              <w:left w:val="nil"/>
              <w:bottom w:val="nil"/>
              <w:right w:val="nil"/>
            </w:tcBorders>
            <w:vAlign w:val="center"/>
          </w:tcPr>
          <w:p w:rsidR="0073298C" w:rsidRDefault="0073298C" w:rsidP="0073298C">
            <w:pPr>
              <w:rPr>
                <w:sz w:val="16"/>
                <w:szCs w:val="16"/>
              </w:rPr>
            </w:pPr>
            <w:r>
              <w:rPr>
                <w:sz w:val="16"/>
                <w:szCs w:val="16"/>
              </w:rPr>
              <w:t> </w:t>
            </w:r>
          </w:p>
        </w:tc>
        <w:tc>
          <w:tcPr>
            <w:tcW w:w="235" w:type="dxa"/>
            <w:tcBorders>
              <w:top w:val="nil"/>
              <w:left w:val="nil"/>
              <w:bottom w:val="nil"/>
              <w:right w:val="nil"/>
            </w:tcBorders>
            <w:vAlign w:val="center"/>
          </w:tcPr>
          <w:p w:rsidR="0073298C" w:rsidRDefault="0073298C" w:rsidP="0073298C">
            <w:pPr>
              <w:rPr>
                <w:sz w:val="16"/>
                <w:szCs w:val="16"/>
              </w:rPr>
            </w:pPr>
            <w:r>
              <w:rPr>
                <w:sz w:val="16"/>
                <w:szCs w:val="16"/>
              </w:rPr>
              <w:t> </w:t>
            </w:r>
          </w:p>
        </w:tc>
        <w:tc>
          <w:tcPr>
            <w:tcW w:w="1174" w:type="dxa"/>
            <w:tcBorders>
              <w:top w:val="nil"/>
              <w:left w:val="nil"/>
              <w:bottom w:val="nil"/>
              <w:right w:val="nil"/>
            </w:tcBorders>
            <w:vAlign w:val="center"/>
          </w:tcPr>
          <w:p w:rsidR="0073298C" w:rsidRDefault="0073298C" w:rsidP="0073298C">
            <w:pPr>
              <w:rPr>
                <w:sz w:val="16"/>
                <w:szCs w:val="16"/>
              </w:rPr>
            </w:pPr>
            <w:r>
              <w:rPr>
                <w:sz w:val="16"/>
                <w:szCs w:val="16"/>
              </w:rPr>
              <w:t> </w:t>
            </w:r>
          </w:p>
        </w:tc>
        <w:tc>
          <w:tcPr>
            <w:tcW w:w="180" w:type="dxa"/>
            <w:tcBorders>
              <w:top w:val="nil"/>
              <w:left w:val="nil"/>
              <w:bottom w:val="nil"/>
              <w:right w:val="nil"/>
            </w:tcBorders>
            <w:vAlign w:val="center"/>
          </w:tcPr>
          <w:p w:rsidR="0073298C" w:rsidRDefault="0073298C" w:rsidP="0073298C">
            <w:pPr>
              <w:rPr>
                <w:sz w:val="16"/>
                <w:szCs w:val="16"/>
              </w:rPr>
            </w:pPr>
            <w:r>
              <w:rPr>
                <w:sz w:val="16"/>
                <w:szCs w:val="16"/>
              </w:rPr>
              <w:t> </w:t>
            </w:r>
          </w:p>
        </w:tc>
        <w:tc>
          <w:tcPr>
            <w:tcW w:w="102" w:type="dxa"/>
            <w:tcBorders>
              <w:top w:val="nil"/>
              <w:left w:val="nil"/>
              <w:bottom w:val="nil"/>
              <w:right w:val="nil"/>
            </w:tcBorders>
            <w:vAlign w:val="center"/>
          </w:tcPr>
          <w:p w:rsidR="0073298C" w:rsidRDefault="0073298C" w:rsidP="0073298C">
            <w:pPr>
              <w:rPr>
                <w:sz w:val="16"/>
                <w:szCs w:val="16"/>
              </w:rPr>
            </w:pPr>
            <w:r>
              <w:rPr>
                <w:sz w:val="16"/>
                <w:szCs w:val="16"/>
              </w:rPr>
              <w:t> </w:t>
            </w:r>
          </w:p>
        </w:tc>
        <w:tc>
          <w:tcPr>
            <w:tcW w:w="235" w:type="dxa"/>
            <w:tcBorders>
              <w:top w:val="nil"/>
              <w:left w:val="nil"/>
              <w:bottom w:val="nil"/>
              <w:right w:val="nil"/>
            </w:tcBorders>
            <w:vAlign w:val="center"/>
          </w:tcPr>
          <w:p w:rsidR="0073298C" w:rsidRDefault="0073298C" w:rsidP="0073298C">
            <w:pPr>
              <w:rPr>
                <w:sz w:val="16"/>
                <w:szCs w:val="16"/>
              </w:rPr>
            </w:pPr>
            <w:r>
              <w:rPr>
                <w:sz w:val="16"/>
                <w:szCs w:val="16"/>
              </w:rPr>
              <w:t> </w:t>
            </w:r>
          </w:p>
        </w:tc>
        <w:tc>
          <w:tcPr>
            <w:tcW w:w="1174" w:type="dxa"/>
            <w:tcBorders>
              <w:top w:val="nil"/>
              <w:left w:val="nil"/>
              <w:bottom w:val="nil"/>
              <w:right w:val="nil"/>
            </w:tcBorders>
            <w:vAlign w:val="center"/>
          </w:tcPr>
          <w:p w:rsidR="0073298C" w:rsidRDefault="0073298C" w:rsidP="0073298C">
            <w:pPr>
              <w:rPr>
                <w:sz w:val="16"/>
                <w:szCs w:val="16"/>
              </w:rPr>
            </w:pPr>
            <w:r>
              <w:rPr>
                <w:sz w:val="16"/>
                <w:szCs w:val="16"/>
              </w:rPr>
              <w:t> </w:t>
            </w:r>
          </w:p>
        </w:tc>
        <w:tc>
          <w:tcPr>
            <w:tcW w:w="180" w:type="dxa"/>
            <w:tcBorders>
              <w:top w:val="nil"/>
              <w:left w:val="nil"/>
              <w:bottom w:val="nil"/>
              <w:right w:val="nil"/>
            </w:tcBorders>
            <w:vAlign w:val="center"/>
          </w:tcPr>
          <w:p w:rsidR="0073298C" w:rsidRDefault="0073298C" w:rsidP="0073298C">
            <w:pPr>
              <w:rPr>
                <w:sz w:val="16"/>
                <w:szCs w:val="16"/>
              </w:rPr>
            </w:pPr>
            <w:r>
              <w:rPr>
                <w:sz w:val="16"/>
                <w:szCs w:val="16"/>
              </w:rPr>
              <w:t> </w:t>
            </w:r>
          </w:p>
        </w:tc>
        <w:tc>
          <w:tcPr>
            <w:tcW w:w="102" w:type="dxa"/>
            <w:tcBorders>
              <w:top w:val="nil"/>
              <w:left w:val="nil"/>
              <w:bottom w:val="nil"/>
              <w:right w:val="nil"/>
            </w:tcBorders>
            <w:vAlign w:val="center"/>
          </w:tcPr>
          <w:p w:rsidR="0073298C" w:rsidRDefault="0073298C" w:rsidP="0073298C">
            <w:pPr>
              <w:rPr>
                <w:sz w:val="16"/>
                <w:szCs w:val="16"/>
              </w:rPr>
            </w:pPr>
            <w:r>
              <w:rPr>
                <w:sz w:val="16"/>
                <w:szCs w:val="16"/>
              </w:rPr>
              <w:t> </w:t>
            </w:r>
          </w:p>
        </w:tc>
        <w:tc>
          <w:tcPr>
            <w:tcW w:w="1014" w:type="dxa"/>
            <w:tcBorders>
              <w:top w:val="nil"/>
              <w:left w:val="nil"/>
              <w:bottom w:val="nil"/>
              <w:right w:val="nil"/>
            </w:tcBorders>
            <w:vAlign w:val="center"/>
          </w:tcPr>
          <w:p w:rsidR="0073298C" w:rsidRDefault="0073298C" w:rsidP="0073298C">
            <w:pPr>
              <w:rPr>
                <w:sz w:val="16"/>
                <w:szCs w:val="16"/>
              </w:rPr>
            </w:pPr>
            <w:r>
              <w:rPr>
                <w:sz w:val="16"/>
                <w:szCs w:val="16"/>
              </w:rPr>
              <w:t> </w:t>
            </w:r>
          </w:p>
        </w:tc>
        <w:tc>
          <w:tcPr>
            <w:tcW w:w="360" w:type="dxa"/>
            <w:tcBorders>
              <w:top w:val="nil"/>
              <w:left w:val="nil"/>
              <w:bottom w:val="nil"/>
              <w:right w:val="nil"/>
            </w:tcBorders>
            <w:vAlign w:val="center"/>
          </w:tcPr>
          <w:p w:rsidR="0073298C" w:rsidRDefault="0073298C" w:rsidP="0073298C">
            <w:pPr>
              <w:rPr>
                <w:sz w:val="16"/>
                <w:szCs w:val="16"/>
              </w:rPr>
            </w:pPr>
            <w:r>
              <w:rPr>
                <w:sz w:val="16"/>
                <w:szCs w:val="16"/>
              </w:rPr>
              <w:t> </w:t>
            </w:r>
          </w:p>
        </w:tc>
        <w:tc>
          <w:tcPr>
            <w:tcW w:w="102" w:type="dxa"/>
            <w:tcBorders>
              <w:top w:val="nil"/>
              <w:left w:val="nil"/>
              <w:bottom w:val="nil"/>
              <w:right w:val="nil"/>
            </w:tcBorders>
            <w:vAlign w:val="center"/>
          </w:tcPr>
          <w:p w:rsidR="0073298C" w:rsidRDefault="0073298C" w:rsidP="0073298C">
            <w:pPr>
              <w:rPr>
                <w:sz w:val="16"/>
                <w:szCs w:val="16"/>
              </w:rPr>
            </w:pPr>
            <w:r>
              <w:rPr>
                <w:sz w:val="16"/>
                <w:szCs w:val="16"/>
              </w:rPr>
              <w:t> </w:t>
            </w:r>
          </w:p>
        </w:tc>
        <w:tc>
          <w:tcPr>
            <w:tcW w:w="1022" w:type="dxa"/>
            <w:tcBorders>
              <w:top w:val="nil"/>
              <w:left w:val="nil"/>
              <w:bottom w:val="nil"/>
              <w:right w:val="nil"/>
            </w:tcBorders>
            <w:vAlign w:val="center"/>
          </w:tcPr>
          <w:p w:rsidR="0073298C" w:rsidRDefault="0073298C" w:rsidP="0073298C">
            <w:pPr>
              <w:rPr>
                <w:sz w:val="16"/>
                <w:szCs w:val="16"/>
              </w:rPr>
            </w:pPr>
            <w:r>
              <w:rPr>
                <w:sz w:val="16"/>
                <w:szCs w:val="16"/>
              </w:rPr>
              <w:t> </w:t>
            </w:r>
          </w:p>
        </w:tc>
        <w:tc>
          <w:tcPr>
            <w:tcW w:w="200" w:type="dxa"/>
            <w:tcBorders>
              <w:top w:val="nil"/>
              <w:left w:val="nil"/>
              <w:bottom w:val="nil"/>
              <w:right w:val="nil"/>
            </w:tcBorders>
            <w:vAlign w:val="center"/>
          </w:tcPr>
          <w:p w:rsidR="0073298C" w:rsidRDefault="0073298C" w:rsidP="0073298C">
            <w:pPr>
              <w:rPr>
                <w:sz w:val="16"/>
                <w:szCs w:val="16"/>
              </w:rPr>
            </w:pPr>
            <w:r>
              <w:rPr>
                <w:sz w:val="16"/>
                <w:szCs w:val="16"/>
              </w:rPr>
              <w:t> </w:t>
            </w:r>
          </w:p>
        </w:tc>
      </w:tr>
      <w:tr w:rsidR="0073298C" w:rsidTr="0073298C">
        <w:tblPrEx>
          <w:tblCellMar>
            <w:top w:w="0" w:type="dxa"/>
            <w:left w:w="0" w:type="dxa"/>
            <w:bottom w:w="0" w:type="dxa"/>
            <w:right w:w="0" w:type="dxa"/>
          </w:tblCellMar>
        </w:tblPrEx>
        <w:trPr>
          <w:trHeight w:val="298"/>
        </w:trPr>
        <w:tc>
          <w:tcPr>
            <w:tcW w:w="3125" w:type="dxa"/>
            <w:tcBorders>
              <w:top w:val="single" w:sz="6" w:space="0" w:color="00467E"/>
              <w:left w:val="single" w:sz="6" w:space="0" w:color="00467E"/>
              <w:bottom w:val="nil"/>
              <w:right w:val="nil"/>
            </w:tcBorders>
            <w:vAlign w:val="center"/>
          </w:tcPr>
          <w:p w:rsidR="0073298C" w:rsidRDefault="0073298C" w:rsidP="0073298C">
            <w:pPr>
              <w:spacing w:before="22" w:after="22"/>
              <w:ind w:left="22" w:right="22"/>
              <w:rPr>
                <w:rFonts w:ascii="Arial" w:hAnsi="Arial" w:cs="Arial"/>
                <w:b/>
                <w:bCs w:val="0"/>
                <w:color w:val="000000"/>
                <w:sz w:val="16"/>
                <w:szCs w:val="16"/>
              </w:rPr>
            </w:pPr>
            <w:r>
              <w:rPr>
                <w:rFonts w:ascii="Arial" w:hAnsi="Arial" w:cs="Arial"/>
                <w:b/>
                <w:bCs w:val="0"/>
                <w:color w:val="000000"/>
                <w:sz w:val="16"/>
                <w:szCs w:val="16"/>
              </w:rPr>
              <w:t> </w:t>
            </w:r>
          </w:p>
        </w:tc>
        <w:tc>
          <w:tcPr>
            <w:tcW w:w="1493" w:type="dxa"/>
            <w:gridSpan w:val="3"/>
            <w:tcBorders>
              <w:top w:val="single" w:sz="6" w:space="0" w:color="00467E"/>
              <w:left w:val="nil"/>
              <w:bottom w:val="single" w:sz="6" w:space="0" w:color="000000"/>
              <w:right w:val="nil"/>
            </w:tcBorders>
            <w:vAlign w:val="center"/>
          </w:tcPr>
          <w:p w:rsidR="0073298C" w:rsidRDefault="0073298C" w:rsidP="0073298C">
            <w:pPr>
              <w:spacing w:before="22" w:after="22"/>
              <w:ind w:left="22" w:right="22"/>
              <w:jc w:val="center"/>
              <w:rPr>
                <w:rFonts w:ascii="Arial" w:hAnsi="Arial" w:cs="Arial"/>
                <w:b/>
                <w:bCs w:val="0"/>
                <w:color w:val="000000"/>
                <w:sz w:val="14"/>
                <w:szCs w:val="14"/>
              </w:rPr>
            </w:pPr>
            <w:r>
              <w:rPr>
                <w:rFonts w:ascii="Arial" w:hAnsi="Arial" w:cs="Arial"/>
                <w:b/>
                <w:bCs w:val="0"/>
                <w:color w:val="000000"/>
                <w:sz w:val="14"/>
                <w:szCs w:val="14"/>
              </w:rPr>
              <w:t>2017</w:t>
            </w:r>
          </w:p>
        </w:tc>
        <w:tc>
          <w:tcPr>
            <w:tcW w:w="102" w:type="dxa"/>
            <w:tcBorders>
              <w:top w:val="single" w:sz="6" w:space="0" w:color="00467E"/>
              <w:left w:val="nil"/>
              <w:bottom w:val="nil"/>
              <w:right w:val="nil"/>
            </w:tcBorders>
            <w:vAlign w:val="bottom"/>
          </w:tcPr>
          <w:p w:rsidR="0073298C" w:rsidRDefault="0073298C" w:rsidP="0073298C">
            <w:pPr>
              <w:spacing w:before="22" w:after="22"/>
              <w:ind w:left="22" w:right="22"/>
              <w:rPr>
                <w:color w:val="000000"/>
              </w:rPr>
            </w:pPr>
            <w:r>
              <w:rPr>
                <w:color w:val="000000"/>
              </w:rPr>
              <w:t> </w:t>
            </w:r>
          </w:p>
        </w:tc>
        <w:tc>
          <w:tcPr>
            <w:tcW w:w="1589" w:type="dxa"/>
            <w:gridSpan w:val="3"/>
            <w:tcBorders>
              <w:top w:val="single" w:sz="6" w:space="0" w:color="00467E"/>
              <w:left w:val="nil"/>
              <w:bottom w:val="single" w:sz="6" w:space="0" w:color="000000"/>
              <w:right w:val="nil"/>
            </w:tcBorders>
            <w:vAlign w:val="center"/>
          </w:tcPr>
          <w:p w:rsidR="0073298C" w:rsidRDefault="0073298C" w:rsidP="0073298C">
            <w:pPr>
              <w:spacing w:before="22" w:after="22"/>
              <w:ind w:left="22" w:right="22"/>
              <w:jc w:val="center"/>
              <w:rPr>
                <w:rFonts w:ascii="Arial" w:hAnsi="Arial" w:cs="Arial"/>
                <w:b/>
                <w:bCs w:val="0"/>
                <w:color w:val="000000"/>
                <w:sz w:val="14"/>
                <w:szCs w:val="14"/>
              </w:rPr>
            </w:pPr>
            <w:r>
              <w:rPr>
                <w:rFonts w:ascii="Arial" w:hAnsi="Arial" w:cs="Arial"/>
                <w:b/>
                <w:bCs w:val="0"/>
                <w:color w:val="000000"/>
                <w:sz w:val="14"/>
                <w:szCs w:val="14"/>
              </w:rPr>
              <w:t>2016</w:t>
            </w:r>
          </w:p>
        </w:tc>
        <w:tc>
          <w:tcPr>
            <w:tcW w:w="102" w:type="dxa"/>
            <w:tcBorders>
              <w:top w:val="single" w:sz="6" w:space="0" w:color="00467E"/>
              <w:left w:val="nil"/>
              <w:bottom w:val="nil"/>
              <w:right w:val="nil"/>
            </w:tcBorders>
            <w:vAlign w:val="bottom"/>
          </w:tcPr>
          <w:p w:rsidR="0073298C" w:rsidRDefault="0073298C" w:rsidP="0073298C">
            <w:pPr>
              <w:spacing w:before="22" w:after="22"/>
              <w:ind w:left="22" w:right="22"/>
              <w:rPr>
                <w:color w:val="000000"/>
              </w:rPr>
            </w:pPr>
            <w:r>
              <w:rPr>
                <w:color w:val="000000"/>
              </w:rPr>
              <w:t> </w:t>
            </w:r>
          </w:p>
        </w:tc>
        <w:tc>
          <w:tcPr>
            <w:tcW w:w="1589" w:type="dxa"/>
            <w:gridSpan w:val="3"/>
            <w:tcBorders>
              <w:top w:val="single" w:sz="6" w:space="0" w:color="00467E"/>
              <w:left w:val="nil"/>
              <w:bottom w:val="single" w:sz="6" w:space="0" w:color="000000"/>
              <w:right w:val="nil"/>
            </w:tcBorders>
            <w:vAlign w:val="center"/>
          </w:tcPr>
          <w:p w:rsidR="0073298C" w:rsidRDefault="0073298C" w:rsidP="0073298C">
            <w:pPr>
              <w:spacing w:before="22" w:after="22"/>
              <w:ind w:left="22" w:right="22"/>
              <w:jc w:val="center"/>
              <w:rPr>
                <w:rFonts w:ascii="Arial" w:hAnsi="Arial" w:cs="Arial"/>
                <w:b/>
                <w:bCs w:val="0"/>
                <w:color w:val="000000"/>
                <w:sz w:val="14"/>
                <w:szCs w:val="14"/>
              </w:rPr>
            </w:pPr>
            <w:r>
              <w:rPr>
                <w:rFonts w:ascii="Arial" w:hAnsi="Arial" w:cs="Arial"/>
                <w:b/>
                <w:bCs w:val="0"/>
                <w:color w:val="000000"/>
                <w:sz w:val="14"/>
                <w:szCs w:val="14"/>
              </w:rPr>
              <w:t>2015</w:t>
            </w:r>
          </w:p>
        </w:tc>
        <w:tc>
          <w:tcPr>
            <w:tcW w:w="102" w:type="dxa"/>
            <w:tcBorders>
              <w:top w:val="single" w:sz="6" w:space="0" w:color="00467E"/>
              <w:left w:val="nil"/>
              <w:bottom w:val="nil"/>
              <w:right w:val="nil"/>
            </w:tcBorders>
            <w:shd w:val="clear" w:color="00467E" w:fill="00467E"/>
            <w:vAlign w:val="bottom"/>
          </w:tcPr>
          <w:p w:rsidR="0073298C" w:rsidRDefault="0073298C" w:rsidP="0073298C">
            <w:pPr>
              <w:spacing w:before="22" w:after="22"/>
              <w:ind w:left="22" w:right="22"/>
              <w:rPr>
                <w:color w:val="000000"/>
              </w:rPr>
            </w:pPr>
            <w:r>
              <w:rPr>
                <w:color w:val="000000"/>
              </w:rPr>
              <w:t> </w:t>
            </w:r>
          </w:p>
        </w:tc>
        <w:tc>
          <w:tcPr>
            <w:tcW w:w="1375" w:type="dxa"/>
            <w:gridSpan w:val="2"/>
            <w:tcBorders>
              <w:top w:val="single" w:sz="6" w:space="0" w:color="00467E"/>
              <w:left w:val="nil"/>
              <w:bottom w:val="single" w:sz="6" w:space="0" w:color="000000"/>
              <w:right w:val="nil"/>
            </w:tcBorders>
            <w:vAlign w:val="center"/>
          </w:tcPr>
          <w:p w:rsidR="0073298C" w:rsidRDefault="0073298C" w:rsidP="0073298C">
            <w:pPr>
              <w:spacing w:before="22" w:after="22"/>
              <w:ind w:left="22" w:right="22"/>
              <w:jc w:val="center"/>
              <w:rPr>
                <w:rFonts w:ascii="Arial" w:hAnsi="Arial" w:cs="Arial"/>
                <w:b/>
                <w:bCs w:val="0"/>
                <w:color w:val="000000"/>
                <w:sz w:val="14"/>
                <w:szCs w:val="14"/>
              </w:rPr>
            </w:pPr>
            <w:r>
              <w:rPr>
                <w:rFonts w:ascii="Arial" w:hAnsi="Arial" w:cs="Arial"/>
                <w:b/>
                <w:bCs w:val="0"/>
                <w:color w:val="000000"/>
                <w:sz w:val="14"/>
                <w:szCs w:val="14"/>
              </w:rPr>
              <w:t>2017 vs. 2016</w:t>
            </w:r>
          </w:p>
        </w:tc>
        <w:tc>
          <w:tcPr>
            <w:tcW w:w="102" w:type="dxa"/>
            <w:tcBorders>
              <w:top w:val="single" w:sz="6" w:space="0" w:color="00467E"/>
              <w:left w:val="nil"/>
              <w:bottom w:val="nil"/>
              <w:right w:val="nil"/>
            </w:tcBorders>
            <w:vAlign w:val="bottom"/>
          </w:tcPr>
          <w:p w:rsidR="0073298C" w:rsidRDefault="0073298C" w:rsidP="0073298C">
            <w:pPr>
              <w:spacing w:before="22" w:after="22"/>
              <w:ind w:left="22" w:right="22"/>
              <w:rPr>
                <w:color w:val="000000"/>
              </w:rPr>
            </w:pPr>
            <w:r>
              <w:rPr>
                <w:color w:val="000000"/>
              </w:rPr>
              <w:t> </w:t>
            </w:r>
          </w:p>
        </w:tc>
        <w:tc>
          <w:tcPr>
            <w:tcW w:w="1217" w:type="dxa"/>
            <w:gridSpan w:val="2"/>
            <w:tcBorders>
              <w:top w:val="single" w:sz="6" w:space="0" w:color="00467E"/>
              <w:left w:val="nil"/>
              <w:bottom w:val="single" w:sz="6" w:space="0" w:color="000000"/>
              <w:right w:val="single" w:sz="6" w:space="0" w:color="00467E"/>
            </w:tcBorders>
            <w:vAlign w:val="center"/>
          </w:tcPr>
          <w:p w:rsidR="0073298C" w:rsidRDefault="0073298C" w:rsidP="0073298C">
            <w:pPr>
              <w:spacing w:before="22" w:after="22"/>
              <w:ind w:left="22" w:right="22"/>
              <w:jc w:val="center"/>
              <w:rPr>
                <w:rFonts w:ascii="Arial" w:hAnsi="Arial" w:cs="Arial"/>
                <w:b/>
                <w:bCs w:val="0"/>
                <w:color w:val="000000"/>
                <w:sz w:val="14"/>
                <w:szCs w:val="14"/>
              </w:rPr>
            </w:pPr>
            <w:r>
              <w:rPr>
                <w:rFonts w:ascii="Arial" w:hAnsi="Arial" w:cs="Arial"/>
                <w:b/>
                <w:bCs w:val="0"/>
                <w:color w:val="000000"/>
                <w:sz w:val="14"/>
                <w:szCs w:val="14"/>
              </w:rPr>
              <w:t>2016 vs. 2015</w:t>
            </w:r>
          </w:p>
        </w:tc>
      </w:tr>
      <w:tr w:rsidR="0073298C" w:rsidTr="0073298C">
        <w:tblPrEx>
          <w:tblCellMar>
            <w:top w:w="0" w:type="dxa"/>
            <w:left w:w="0" w:type="dxa"/>
            <w:bottom w:w="0" w:type="dxa"/>
            <w:right w:w="0" w:type="dxa"/>
          </w:tblCellMar>
        </w:tblPrEx>
        <w:trPr>
          <w:trHeight w:val="298"/>
        </w:trPr>
        <w:tc>
          <w:tcPr>
            <w:tcW w:w="3125" w:type="dxa"/>
            <w:tcBorders>
              <w:top w:val="nil"/>
              <w:left w:val="single" w:sz="6" w:space="0" w:color="00467E"/>
              <w:bottom w:val="nil"/>
              <w:right w:val="nil"/>
            </w:tcBorders>
            <w:vAlign w:val="bottom"/>
          </w:tcPr>
          <w:p w:rsidR="0073298C" w:rsidRDefault="0073298C" w:rsidP="0073298C">
            <w:pPr>
              <w:spacing w:before="22" w:after="22"/>
              <w:ind w:left="22" w:right="22"/>
              <w:rPr>
                <w:color w:val="000000"/>
              </w:rPr>
            </w:pPr>
            <w:r>
              <w:rPr>
                <w:color w:val="000000"/>
              </w:rPr>
              <w:t> </w:t>
            </w:r>
          </w:p>
        </w:tc>
        <w:tc>
          <w:tcPr>
            <w:tcW w:w="4877" w:type="dxa"/>
            <w:gridSpan w:val="11"/>
            <w:tcBorders>
              <w:top w:val="nil"/>
              <w:left w:val="nil"/>
              <w:bottom w:val="single" w:sz="6" w:space="0" w:color="000000"/>
              <w:right w:val="nil"/>
            </w:tcBorders>
            <w:vAlign w:val="center"/>
          </w:tcPr>
          <w:p w:rsidR="0073298C" w:rsidRDefault="0073298C" w:rsidP="0073298C">
            <w:pPr>
              <w:spacing w:before="22" w:after="22"/>
              <w:ind w:left="22"/>
              <w:jc w:val="center"/>
              <w:rPr>
                <w:rFonts w:ascii="Arial" w:hAnsi="Arial" w:cs="Arial"/>
                <w:b/>
                <w:bCs w:val="0"/>
                <w:color w:val="000000"/>
                <w:sz w:val="14"/>
                <w:szCs w:val="14"/>
              </w:rPr>
            </w:pPr>
            <w:r>
              <w:rPr>
                <w:rFonts w:ascii="Arial" w:hAnsi="Arial" w:cs="Arial"/>
                <w:b/>
                <w:bCs w:val="0"/>
                <w:color w:val="000000"/>
                <w:sz w:val="14"/>
                <w:szCs w:val="14"/>
              </w:rPr>
              <w:t>(Dollars in thousands)</w:t>
            </w:r>
          </w:p>
        </w:tc>
        <w:tc>
          <w:tcPr>
            <w:tcW w:w="102" w:type="dxa"/>
            <w:tcBorders>
              <w:top w:val="single" w:sz="6" w:space="0" w:color="00467E"/>
              <w:left w:val="nil"/>
              <w:bottom w:val="nil"/>
              <w:right w:val="nil"/>
            </w:tcBorders>
            <w:shd w:val="clear" w:color="00467E" w:fill="00467E"/>
            <w:vAlign w:val="bottom"/>
          </w:tcPr>
          <w:p w:rsidR="0073298C" w:rsidRDefault="0073298C" w:rsidP="0073298C">
            <w:pPr>
              <w:spacing w:before="22" w:after="22"/>
              <w:ind w:left="22" w:right="22"/>
              <w:rPr>
                <w:color w:val="000000"/>
              </w:rPr>
            </w:pPr>
            <w:r>
              <w:rPr>
                <w:color w:val="000000"/>
              </w:rPr>
              <w:t> </w:t>
            </w:r>
          </w:p>
        </w:tc>
        <w:tc>
          <w:tcPr>
            <w:tcW w:w="2694" w:type="dxa"/>
            <w:gridSpan w:val="5"/>
            <w:tcBorders>
              <w:top w:val="nil"/>
              <w:left w:val="nil"/>
              <w:bottom w:val="single" w:sz="6" w:space="0" w:color="000000"/>
              <w:right w:val="single" w:sz="6" w:space="0" w:color="00467E"/>
            </w:tcBorders>
            <w:vAlign w:val="center"/>
          </w:tcPr>
          <w:p w:rsidR="0073298C" w:rsidRDefault="0073298C" w:rsidP="0073298C">
            <w:pPr>
              <w:spacing w:before="22" w:after="22"/>
              <w:ind w:left="22"/>
              <w:jc w:val="center"/>
              <w:rPr>
                <w:rFonts w:ascii="Arial" w:hAnsi="Arial" w:cs="Arial"/>
                <w:b/>
                <w:bCs w:val="0"/>
                <w:color w:val="000000"/>
                <w:sz w:val="14"/>
                <w:szCs w:val="14"/>
              </w:rPr>
            </w:pPr>
            <w:r>
              <w:rPr>
                <w:rFonts w:ascii="Arial" w:hAnsi="Arial" w:cs="Arial"/>
                <w:b/>
                <w:bCs w:val="0"/>
                <w:color w:val="000000"/>
                <w:sz w:val="14"/>
                <w:szCs w:val="14"/>
              </w:rPr>
              <w:t>Increase (decrease)</w:t>
            </w:r>
          </w:p>
        </w:tc>
      </w:tr>
      <w:tr w:rsidR="0073298C" w:rsidTr="0073298C">
        <w:tblPrEx>
          <w:tblCellMar>
            <w:top w:w="0" w:type="dxa"/>
            <w:left w:w="0" w:type="dxa"/>
            <w:bottom w:w="0" w:type="dxa"/>
            <w:right w:w="0" w:type="dxa"/>
          </w:tblCellMar>
        </w:tblPrEx>
        <w:trPr>
          <w:trHeight w:val="298"/>
        </w:trPr>
        <w:tc>
          <w:tcPr>
            <w:tcW w:w="3125" w:type="dxa"/>
            <w:tcBorders>
              <w:top w:val="nil"/>
              <w:left w:val="single" w:sz="6" w:space="0" w:color="00467E"/>
              <w:bottom w:val="nil"/>
              <w:right w:val="nil"/>
            </w:tcBorders>
            <w:shd w:val="clear" w:color="CFD4D8" w:fill="CFD4D8"/>
            <w:vAlign w:val="center"/>
          </w:tcPr>
          <w:p w:rsidR="0073298C" w:rsidRDefault="0073298C" w:rsidP="0073298C">
            <w:pPr>
              <w:spacing w:before="22" w:after="22"/>
              <w:ind w:left="22" w:right="22"/>
              <w:rPr>
                <w:rFonts w:ascii="Arial" w:hAnsi="Arial" w:cs="Arial"/>
                <w:b/>
                <w:bCs w:val="0"/>
                <w:i/>
                <w:iCs/>
                <w:color w:val="9D1B11"/>
                <w:sz w:val="18"/>
                <w:szCs w:val="18"/>
              </w:rPr>
            </w:pPr>
            <w:r>
              <w:rPr>
                <w:rFonts w:ascii="Arial" w:hAnsi="Arial" w:cs="Arial"/>
                <w:b/>
                <w:bCs w:val="0"/>
                <w:i/>
                <w:iCs/>
                <w:color w:val="9D1B11"/>
                <w:sz w:val="18"/>
                <w:szCs w:val="18"/>
              </w:rPr>
              <w:t>Amortization of intangibles</w:t>
            </w:r>
          </w:p>
        </w:tc>
        <w:tc>
          <w:tcPr>
            <w:tcW w:w="120" w:type="dxa"/>
            <w:tcBorders>
              <w:top w:val="nil"/>
              <w:left w:val="nil"/>
              <w:bottom w:val="nil"/>
              <w:right w:val="nil"/>
            </w:tcBorders>
            <w:shd w:val="clear" w:color="CFD4D8" w:fill="CFD4D8"/>
            <w:vAlign w:val="center"/>
          </w:tcPr>
          <w:p w:rsidR="0073298C" w:rsidRDefault="0073298C" w:rsidP="0073298C">
            <w:pPr>
              <w:spacing w:before="22" w:after="22"/>
              <w:ind w:left="22"/>
              <w:rPr>
                <w:rFonts w:ascii="Arial" w:hAnsi="Arial" w:cs="Arial"/>
                <w:color w:val="000000"/>
                <w:sz w:val="18"/>
                <w:szCs w:val="18"/>
              </w:rPr>
            </w:pPr>
            <w:r>
              <w:rPr>
                <w:rFonts w:ascii="Arial" w:hAnsi="Arial" w:cs="Arial"/>
                <w:color w:val="000000"/>
                <w:sz w:val="18"/>
                <w:szCs w:val="18"/>
              </w:rPr>
              <w:t>$</w:t>
            </w:r>
          </w:p>
        </w:tc>
        <w:tc>
          <w:tcPr>
            <w:tcW w:w="1193" w:type="dxa"/>
            <w:tcBorders>
              <w:top w:val="nil"/>
              <w:left w:val="nil"/>
              <w:bottom w:val="nil"/>
              <w:right w:val="nil"/>
            </w:tcBorders>
            <w:shd w:val="clear" w:color="CFD4D8" w:fill="CFD4D8"/>
            <w:vAlign w:val="center"/>
          </w:tcPr>
          <w:p w:rsidR="0073298C" w:rsidRDefault="0073298C" w:rsidP="0073298C">
            <w:pPr>
              <w:spacing w:before="22" w:after="22"/>
              <w:jc w:val="right"/>
              <w:rPr>
                <w:rFonts w:ascii="Arial" w:hAnsi="Arial" w:cs="Arial"/>
                <w:color w:val="000000"/>
                <w:sz w:val="18"/>
                <w:szCs w:val="18"/>
              </w:rPr>
            </w:pPr>
            <w:r>
              <w:rPr>
                <w:rFonts w:ascii="Arial" w:hAnsi="Arial" w:cs="Arial"/>
                <w:color w:val="000000"/>
                <w:sz w:val="18"/>
                <w:szCs w:val="18"/>
              </w:rPr>
              <w:t>13,372</w:t>
            </w:r>
          </w:p>
        </w:tc>
        <w:tc>
          <w:tcPr>
            <w:tcW w:w="180" w:type="dxa"/>
            <w:tcBorders>
              <w:top w:val="nil"/>
              <w:left w:val="nil"/>
              <w:bottom w:val="nil"/>
              <w:right w:val="nil"/>
            </w:tcBorders>
            <w:shd w:val="clear" w:color="CFD4D8" w:fill="CFD4D8"/>
            <w:vAlign w:val="bottom"/>
          </w:tcPr>
          <w:p w:rsidR="0073298C" w:rsidRDefault="0073298C" w:rsidP="0073298C">
            <w:pPr>
              <w:spacing w:before="22" w:after="22"/>
              <w:jc w:val="right"/>
              <w:rPr>
                <w:rFonts w:ascii="Arial" w:hAnsi="Arial" w:cs="Arial"/>
                <w:color w:val="000000"/>
                <w:sz w:val="18"/>
                <w:szCs w:val="18"/>
              </w:rPr>
            </w:pPr>
          </w:p>
          <w:p w:rsidR="0073298C" w:rsidRDefault="0073298C" w:rsidP="0073298C">
            <w:pPr>
              <w:rPr>
                <w:sz w:val="16"/>
                <w:szCs w:val="16"/>
              </w:rPr>
            </w:pPr>
            <w:r>
              <w:rPr>
                <w:sz w:val="16"/>
                <w:szCs w:val="16"/>
              </w:rPr>
              <w:t> </w:t>
            </w:r>
          </w:p>
        </w:tc>
        <w:tc>
          <w:tcPr>
            <w:tcW w:w="102" w:type="dxa"/>
            <w:tcBorders>
              <w:top w:val="nil"/>
              <w:left w:val="nil"/>
              <w:bottom w:val="nil"/>
              <w:right w:val="nil"/>
            </w:tcBorders>
            <w:shd w:val="clear" w:color="CFD4D8" w:fill="CFD4D8"/>
            <w:vAlign w:val="bottom"/>
          </w:tcPr>
          <w:p w:rsidR="0073298C" w:rsidRDefault="0073298C" w:rsidP="0073298C">
            <w:pPr>
              <w:spacing w:before="22" w:after="22"/>
              <w:ind w:left="22" w:right="22"/>
              <w:rPr>
                <w:color w:val="000000"/>
              </w:rPr>
            </w:pPr>
            <w:r>
              <w:rPr>
                <w:color w:val="000000"/>
              </w:rPr>
              <w:t> </w:t>
            </w:r>
          </w:p>
        </w:tc>
        <w:tc>
          <w:tcPr>
            <w:tcW w:w="235" w:type="dxa"/>
            <w:tcBorders>
              <w:top w:val="nil"/>
              <w:left w:val="nil"/>
              <w:bottom w:val="nil"/>
              <w:right w:val="nil"/>
            </w:tcBorders>
            <w:shd w:val="clear" w:color="CFD4D8" w:fill="CFD4D8"/>
            <w:vAlign w:val="center"/>
          </w:tcPr>
          <w:p w:rsidR="0073298C" w:rsidRDefault="0073298C" w:rsidP="0073298C">
            <w:pPr>
              <w:spacing w:before="22" w:after="22"/>
              <w:ind w:left="22"/>
              <w:rPr>
                <w:rFonts w:ascii="Arial" w:hAnsi="Arial" w:cs="Arial"/>
                <w:color w:val="000000"/>
                <w:sz w:val="18"/>
                <w:szCs w:val="18"/>
              </w:rPr>
            </w:pPr>
            <w:r>
              <w:rPr>
                <w:rFonts w:ascii="Arial" w:hAnsi="Arial" w:cs="Arial"/>
                <w:color w:val="000000"/>
                <w:sz w:val="18"/>
                <w:szCs w:val="18"/>
              </w:rPr>
              <w:t>$</w:t>
            </w:r>
          </w:p>
        </w:tc>
        <w:tc>
          <w:tcPr>
            <w:tcW w:w="1174" w:type="dxa"/>
            <w:tcBorders>
              <w:top w:val="nil"/>
              <w:left w:val="nil"/>
              <w:bottom w:val="nil"/>
              <w:right w:val="nil"/>
            </w:tcBorders>
            <w:shd w:val="clear" w:color="CFD4D8" w:fill="CFD4D8"/>
            <w:vAlign w:val="center"/>
          </w:tcPr>
          <w:p w:rsidR="0073298C" w:rsidRDefault="0073298C" w:rsidP="0073298C">
            <w:pPr>
              <w:spacing w:before="22" w:after="22"/>
              <w:jc w:val="right"/>
              <w:rPr>
                <w:rFonts w:ascii="Arial" w:hAnsi="Arial" w:cs="Arial"/>
                <w:color w:val="000000"/>
                <w:sz w:val="18"/>
                <w:szCs w:val="18"/>
              </w:rPr>
            </w:pPr>
            <w:r>
              <w:rPr>
                <w:rFonts w:ascii="Arial" w:hAnsi="Arial" w:cs="Arial"/>
                <w:color w:val="000000"/>
                <w:sz w:val="18"/>
                <w:szCs w:val="18"/>
              </w:rPr>
              <w:t>500</w:t>
            </w:r>
          </w:p>
        </w:tc>
        <w:tc>
          <w:tcPr>
            <w:tcW w:w="180" w:type="dxa"/>
            <w:tcBorders>
              <w:top w:val="nil"/>
              <w:left w:val="nil"/>
              <w:bottom w:val="nil"/>
              <w:right w:val="nil"/>
            </w:tcBorders>
            <w:shd w:val="clear" w:color="CFD4D8" w:fill="CFD4D8"/>
            <w:vAlign w:val="bottom"/>
          </w:tcPr>
          <w:p w:rsidR="0073298C" w:rsidRDefault="0073298C" w:rsidP="0073298C">
            <w:pPr>
              <w:spacing w:before="22" w:after="22"/>
              <w:jc w:val="right"/>
              <w:rPr>
                <w:rFonts w:ascii="Arial" w:hAnsi="Arial" w:cs="Arial"/>
                <w:color w:val="000000"/>
                <w:sz w:val="18"/>
                <w:szCs w:val="18"/>
              </w:rPr>
            </w:pPr>
          </w:p>
          <w:p w:rsidR="0073298C" w:rsidRDefault="0073298C" w:rsidP="0073298C">
            <w:pPr>
              <w:rPr>
                <w:sz w:val="16"/>
                <w:szCs w:val="16"/>
              </w:rPr>
            </w:pPr>
            <w:r>
              <w:rPr>
                <w:sz w:val="16"/>
                <w:szCs w:val="16"/>
              </w:rPr>
              <w:t> </w:t>
            </w:r>
          </w:p>
        </w:tc>
        <w:tc>
          <w:tcPr>
            <w:tcW w:w="102" w:type="dxa"/>
            <w:tcBorders>
              <w:top w:val="nil"/>
              <w:left w:val="nil"/>
              <w:bottom w:val="nil"/>
              <w:right w:val="nil"/>
            </w:tcBorders>
            <w:shd w:val="clear" w:color="CFD4D8" w:fill="CFD4D8"/>
            <w:vAlign w:val="bottom"/>
          </w:tcPr>
          <w:p w:rsidR="0073298C" w:rsidRDefault="0073298C" w:rsidP="0073298C">
            <w:pPr>
              <w:spacing w:before="22" w:after="22"/>
              <w:ind w:left="22" w:right="22"/>
              <w:rPr>
                <w:color w:val="000000"/>
              </w:rPr>
            </w:pPr>
            <w:r>
              <w:rPr>
                <w:color w:val="000000"/>
              </w:rPr>
              <w:t> </w:t>
            </w:r>
          </w:p>
        </w:tc>
        <w:tc>
          <w:tcPr>
            <w:tcW w:w="235" w:type="dxa"/>
            <w:tcBorders>
              <w:top w:val="nil"/>
              <w:left w:val="nil"/>
              <w:bottom w:val="nil"/>
              <w:right w:val="nil"/>
            </w:tcBorders>
            <w:shd w:val="clear" w:color="CFD4D8" w:fill="CFD4D8"/>
            <w:vAlign w:val="center"/>
          </w:tcPr>
          <w:p w:rsidR="0073298C" w:rsidRDefault="0073298C" w:rsidP="0073298C">
            <w:pPr>
              <w:spacing w:before="22" w:after="22"/>
              <w:ind w:left="22"/>
              <w:rPr>
                <w:rFonts w:ascii="Arial" w:hAnsi="Arial" w:cs="Arial"/>
                <w:color w:val="000000"/>
                <w:sz w:val="18"/>
                <w:szCs w:val="18"/>
              </w:rPr>
            </w:pPr>
            <w:r>
              <w:rPr>
                <w:rFonts w:ascii="Arial" w:hAnsi="Arial" w:cs="Arial"/>
                <w:color w:val="000000"/>
                <w:sz w:val="18"/>
                <w:szCs w:val="18"/>
              </w:rPr>
              <w:t>$</w:t>
            </w:r>
          </w:p>
        </w:tc>
        <w:tc>
          <w:tcPr>
            <w:tcW w:w="1174" w:type="dxa"/>
            <w:tcBorders>
              <w:top w:val="nil"/>
              <w:left w:val="nil"/>
              <w:bottom w:val="nil"/>
              <w:right w:val="nil"/>
            </w:tcBorders>
            <w:shd w:val="clear" w:color="CFD4D8" w:fill="CFD4D8"/>
            <w:vAlign w:val="center"/>
          </w:tcPr>
          <w:p w:rsidR="0073298C" w:rsidRDefault="0073298C" w:rsidP="0073298C">
            <w:pPr>
              <w:spacing w:before="22" w:after="22"/>
              <w:jc w:val="right"/>
              <w:rPr>
                <w:rFonts w:ascii="Arial" w:hAnsi="Arial" w:cs="Arial"/>
                <w:color w:val="000000"/>
                <w:sz w:val="18"/>
                <w:szCs w:val="18"/>
              </w:rPr>
            </w:pPr>
            <w:r>
              <w:rPr>
                <w:rFonts w:ascii="Arial" w:hAnsi="Arial" w:cs="Arial"/>
                <w:color w:val="000000"/>
                <w:sz w:val="18"/>
                <w:szCs w:val="18"/>
              </w:rPr>
              <w:t>500</w:t>
            </w:r>
          </w:p>
        </w:tc>
        <w:tc>
          <w:tcPr>
            <w:tcW w:w="180" w:type="dxa"/>
            <w:tcBorders>
              <w:top w:val="nil"/>
              <w:left w:val="nil"/>
              <w:bottom w:val="nil"/>
              <w:right w:val="nil"/>
            </w:tcBorders>
            <w:shd w:val="clear" w:color="CFD4D8" w:fill="CFD4D8"/>
            <w:vAlign w:val="bottom"/>
          </w:tcPr>
          <w:p w:rsidR="0073298C" w:rsidRDefault="0073298C" w:rsidP="0073298C">
            <w:pPr>
              <w:spacing w:before="22" w:after="22"/>
              <w:jc w:val="right"/>
              <w:rPr>
                <w:rFonts w:ascii="Arial" w:hAnsi="Arial" w:cs="Arial"/>
                <w:color w:val="000000"/>
                <w:sz w:val="18"/>
                <w:szCs w:val="18"/>
              </w:rPr>
            </w:pPr>
          </w:p>
          <w:p w:rsidR="0073298C" w:rsidRDefault="0073298C" w:rsidP="0073298C">
            <w:pPr>
              <w:rPr>
                <w:sz w:val="16"/>
                <w:szCs w:val="16"/>
              </w:rPr>
            </w:pPr>
            <w:r>
              <w:rPr>
                <w:sz w:val="16"/>
                <w:szCs w:val="16"/>
              </w:rPr>
              <w:t> </w:t>
            </w:r>
          </w:p>
        </w:tc>
        <w:tc>
          <w:tcPr>
            <w:tcW w:w="102" w:type="dxa"/>
            <w:tcBorders>
              <w:top w:val="single" w:sz="6" w:space="0" w:color="00467E"/>
              <w:left w:val="nil"/>
              <w:bottom w:val="nil"/>
              <w:right w:val="nil"/>
            </w:tcBorders>
            <w:shd w:val="clear" w:color="00467E" w:fill="00467E"/>
            <w:vAlign w:val="bottom"/>
          </w:tcPr>
          <w:p w:rsidR="0073298C" w:rsidRDefault="0073298C" w:rsidP="0073298C">
            <w:pPr>
              <w:spacing w:before="22" w:after="22"/>
              <w:ind w:left="22" w:right="22"/>
              <w:rPr>
                <w:color w:val="000000"/>
              </w:rPr>
            </w:pPr>
            <w:r>
              <w:rPr>
                <w:color w:val="000000"/>
              </w:rPr>
              <w:t> </w:t>
            </w:r>
          </w:p>
        </w:tc>
        <w:tc>
          <w:tcPr>
            <w:tcW w:w="1014" w:type="dxa"/>
            <w:tcBorders>
              <w:top w:val="single" w:sz="6" w:space="0" w:color="000000"/>
              <w:left w:val="nil"/>
              <w:bottom w:val="nil"/>
              <w:right w:val="nil"/>
            </w:tcBorders>
            <w:shd w:val="clear" w:color="CFD4D8" w:fill="CFD4D8"/>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2,574.4</w:t>
            </w:r>
          </w:p>
        </w:tc>
        <w:tc>
          <w:tcPr>
            <w:tcW w:w="360" w:type="dxa"/>
            <w:tcBorders>
              <w:top w:val="single" w:sz="6" w:space="0" w:color="000000"/>
              <w:left w:val="nil"/>
              <w:bottom w:val="nil"/>
              <w:right w:val="nil"/>
            </w:tcBorders>
            <w:shd w:val="clear" w:color="CFD4D8" w:fill="CFD4D8"/>
            <w:vAlign w:val="center"/>
          </w:tcPr>
          <w:p w:rsidR="0073298C" w:rsidRDefault="0073298C" w:rsidP="0073298C">
            <w:pPr>
              <w:spacing w:before="22" w:after="22"/>
              <w:ind w:right="22"/>
              <w:rPr>
                <w:rFonts w:ascii="Arial" w:hAnsi="Arial" w:cs="Arial"/>
                <w:color w:val="000000"/>
                <w:sz w:val="18"/>
                <w:szCs w:val="18"/>
              </w:rPr>
            </w:pPr>
            <w:r>
              <w:rPr>
                <w:rFonts w:ascii="Arial" w:hAnsi="Arial" w:cs="Arial"/>
                <w:color w:val="000000"/>
                <w:sz w:val="18"/>
                <w:szCs w:val="18"/>
              </w:rPr>
              <w:t> %</w:t>
            </w:r>
          </w:p>
        </w:tc>
        <w:tc>
          <w:tcPr>
            <w:tcW w:w="102" w:type="dxa"/>
            <w:tcBorders>
              <w:top w:val="single" w:sz="6" w:space="0" w:color="000000"/>
              <w:left w:val="nil"/>
              <w:bottom w:val="nil"/>
              <w:right w:val="nil"/>
            </w:tcBorders>
            <w:shd w:val="clear" w:color="CFD4D8" w:fill="CFD4D8"/>
            <w:vAlign w:val="bottom"/>
          </w:tcPr>
          <w:p w:rsidR="0073298C" w:rsidRDefault="0073298C" w:rsidP="0073298C">
            <w:pPr>
              <w:spacing w:before="22" w:after="22"/>
              <w:ind w:left="22" w:right="22"/>
              <w:rPr>
                <w:color w:val="000000"/>
              </w:rPr>
            </w:pPr>
            <w:r>
              <w:rPr>
                <w:color w:val="000000"/>
              </w:rPr>
              <w:t> </w:t>
            </w:r>
          </w:p>
        </w:tc>
        <w:tc>
          <w:tcPr>
            <w:tcW w:w="1022" w:type="dxa"/>
            <w:tcBorders>
              <w:top w:val="single" w:sz="6" w:space="0" w:color="000000"/>
              <w:left w:val="nil"/>
              <w:bottom w:val="nil"/>
              <w:right w:val="nil"/>
            </w:tcBorders>
            <w:shd w:val="clear" w:color="CFD4D8" w:fill="CFD4D8"/>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w:t>
            </w:r>
          </w:p>
        </w:tc>
        <w:tc>
          <w:tcPr>
            <w:tcW w:w="200" w:type="dxa"/>
            <w:tcBorders>
              <w:top w:val="single" w:sz="6" w:space="0" w:color="000000"/>
              <w:left w:val="nil"/>
              <w:bottom w:val="nil"/>
              <w:right w:val="single" w:sz="6" w:space="0" w:color="00467E"/>
            </w:tcBorders>
            <w:shd w:val="clear" w:color="CFD4D8" w:fill="CFD4D8"/>
            <w:vAlign w:val="bottom"/>
          </w:tcPr>
          <w:p w:rsidR="0073298C" w:rsidRDefault="0073298C" w:rsidP="0073298C">
            <w:pPr>
              <w:spacing w:before="22" w:after="22"/>
              <w:ind w:left="22"/>
              <w:jc w:val="right"/>
              <w:rPr>
                <w:rFonts w:ascii="Arial" w:hAnsi="Arial" w:cs="Arial"/>
                <w:color w:val="000000"/>
                <w:sz w:val="18"/>
                <w:szCs w:val="18"/>
              </w:rPr>
            </w:pPr>
          </w:p>
          <w:p w:rsidR="0073298C" w:rsidRDefault="0073298C" w:rsidP="0073298C">
            <w:pPr>
              <w:rPr>
                <w:sz w:val="16"/>
                <w:szCs w:val="16"/>
              </w:rPr>
            </w:pPr>
            <w:r>
              <w:rPr>
                <w:sz w:val="16"/>
                <w:szCs w:val="16"/>
              </w:rPr>
              <w:t> </w:t>
            </w:r>
          </w:p>
        </w:tc>
      </w:tr>
      <w:tr w:rsidR="0073298C" w:rsidTr="0073298C">
        <w:tblPrEx>
          <w:tblCellMar>
            <w:top w:w="0" w:type="dxa"/>
            <w:left w:w="0" w:type="dxa"/>
            <w:bottom w:w="0" w:type="dxa"/>
            <w:right w:w="0" w:type="dxa"/>
          </w:tblCellMar>
        </w:tblPrEx>
        <w:trPr>
          <w:trHeight w:val="298"/>
        </w:trPr>
        <w:tc>
          <w:tcPr>
            <w:tcW w:w="3125" w:type="dxa"/>
            <w:tcBorders>
              <w:top w:val="nil"/>
              <w:left w:val="single" w:sz="6" w:space="0" w:color="00467E"/>
              <w:bottom w:val="nil"/>
              <w:right w:val="nil"/>
            </w:tcBorders>
            <w:vAlign w:val="center"/>
          </w:tcPr>
          <w:p w:rsidR="0073298C" w:rsidRDefault="0073298C" w:rsidP="0073298C">
            <w:pPr>
              <w:spacing w:before="22" w:after="22"/>
              <w:ind w:left="330" w:right="22"/>
              <w:rPr>
                <w:rFonts w:ascii="Arial" w:hAnsi="Arial" w:cs="Arial"/>
                <w:color w:val="000000"/>
                <w:sz w:val="18"/>
                <w:szCs w:val="18"/>
              </w:rPr>
            </w:pPr>
            <w:r>
              <w:rPr>
                <w:rFonts w:ascii="Arial" w:hAnsi="Arial" w:cs="Arial"/>
                <w:color w:val="000000"/>
                <w:sz w:val="18"/>
                <w:szCs w:val="18"/>
              </w:rPr>
              <w:lastRenderedPageBreak/>
              <w:t>% of total revenue</w:t>
            </w:r>
          </w:p>
        </w:tc>
        <w:tc>
          <w:tcPr>
            <w:tcW w:w="1313" w:type="dxa"/>
            <w:gridSpan w:val="2"/>
            <w:tcBorders>
              <w:top w:val="nil"/>
              <w:left w:val="nil"/>
              <w:bottom w:val="nil"/>
              <w:right w:val="nil"/>
            </w:tcBorders>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0.6</w:t>
            </w:r>
          </w:p>
        </w:tc>
        <w:tc>
          <w:tcPr>
            <w:tcW w:w="180" w:type="dxa"/>
            <w:tcBorders>
              <w:top w:val="nil"/>
              <w:left w:val="nil"/>
              <w:bottom w:val="nil"/>
              <w:right w:val="nil"/>
            </w:tcBorders>
            <w:vAlign w:val="center"/>
          </w:tcPr>
          <w:p w:rsidR="0073298C" w:rsidRDefault="0073298C" w:rsidP="0073298C">
            <w:pPr>
              <w:spacing w:before="22" w:after="22"/>
              <w:ind w:right="22"/>
              <w:rPr>
                <w:rFonts w:ascii="Arial" w:hAnsi="Arial" w:cs="Arial"/>
                <w:color w:val="000000"/>
                <w:sz w:val="18"/>
                <w:szCs w:val="18"/>
              </w:rPr>
            </w:pPr>
            <w:r>
              <w:rPr>
                <w:rFonts w:ascii="Arial" w:hAnsi="Arial" w:cs="Arial"/>
                <w:color w:val="000000"/>
                <w:sz w:val="18"/>
                <w:szCs w:val="18"/>
              </w:rPr>
              <w:t>%</w:t>
            </w:r>
          </w:p>
        </w:tc>
        <w:tc>
          <w:tcPr>
            <w:tcW w:w="102" w:type="dxa"/>
            <w:tcBorders>
              <w:top w:val="nil"/>
              <w:left w:val="nil"/>
              <w:bottom w:val="nil"/>
              <w:right w:val="nil"/>
            </w:tcBorders>
            <w:vAlign w:val="bottom"/>
          </w:tcPr>
          <w:p w:rsidR="0073298C" w:rsidRDefault="0073298C" w:rsidP="0073298C">
            <w:pPr>
              <w:spacing w:before="22" w:after="22"/>
              <w:ind w:left="22" w:right="22"/>
              <w:rPr>
                <w:color w:val="000000"/>
              </w:rPr>
            </w:pPr>
            <w:r>
              <w:rPr>
                <w:color w:val="000000"/>
              </w:rPr>
              <w:t> </w:t>
            </w:r>
          </w:p>
        </w:tc>
        <w:tc>
          <w:tcPr>
            <w:tcW w:w="1409" w:type="dxa"/>
            <w:gridSpan w:val="2"/>
            <w:tcBorders>
              <w:top w:val="nil"/>
              <w:left w:val="nil"/>
              <w:bottom w:val="nil"/>
              <w:right w:val="nil"/>
            </w:tcBorders>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w:t>
            </w:r>
          </w:p>
        </w:tc>
        <w:tc>
          <w:tcPr>
            <w:tcW w:w="180" w:type="dxa"/>
            <w:tcBorders>
              <w:top w:val="nil"/>
              <w:left w:val="nil"/>
              <w:bottom w:val="nil"/>
              <w:right w:val="nil"/>
            </w:tcBorders>
            <w:vAlign w:val="center"/>
          </w:tcPr>
          <w:p w:rsidR="0073298C" w:rsidRDefault="0073298C" w:rsidP="0073298C">
            <w:pPr>
              <w:spacing w:before="22" w:after="22"/>
              <w:ind w:right="22"/>
              <w:rPr>
                <w:rFonts w:ascii="Arial" w:hAnsi="Arial" w:cs="Arial"/>
                <w:color w:val="000000"/>
                <w:sz w:val="18"/>
                <w:szCs w:val="18"/>
              </w:rPr>
            </w:pPr>
            <w:r>
              <w:rPr>
                <w:rFonts w:ascii="Arial" w:hAnsi="Arial" w:cs="Arial"/>
                <w:color w:val="000000"/>
                <w:sz w:val="18"/>
                <w:szCs w:val="18"/>
              </w:rPr>
              <w:t>%</w:t>
            </w:r>
          </w:p>
        </w:tc>
        <w:tc>
          <w:tcPr>
            <w:tcW w:w="102" w:type="dxa"/>
            <w:tcBorders>
              <w:top w:val="nil"/>
              <w:left w:val="nil"/>
              <w:bottom w:val="nil"/>
              <w:right w:val="nil"/>
            </w:tcBorders>
            <w:vAlign w:val="bottom"/>
          </w:tcPr>
          <w:p w:rsidR="0073298C" w:rsidRDefault="0073298C" w:rsidP="0073298C">
            <w:pPr>
              <w:spacing w:before="22" w:after="22"/>
              <w:ind w:left="22" w:right="22"/>
              <w:rPr>
                <w:color w:val="000000"/>
              </w:rPr>
            </w:pPr>
            <w:r>
              <w:rPr>
                <w:color w:val="000000"/>
              </w:rPr>
              <w:t> </w:t>
            </w:r>
          </w:p>
        </w:tc>
        <w:tc>
          <w:tcPr>
            <w:tcW w:w="1409" w:type="dxa"/>
            <w:gridSpan w:val="2"/>
            <w:tcBorders>
              <w:top w:val="nil"/>
              <w:left w:val="nil"/>
              <w:bottom w:val="nil"/>
              <w:right w:val="nil"/>
            </w:tcBorders>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w:t>
            </w:r>
          </w:p>
        </w:tc>
        <w:tc>
          <w:tcPr>
            <w:tcW w:w="180" w:type="dxa"/>
            <w:tcBorders>
              <w:top w:val="nil"/>
              <w:left w:val="nil"/>
              <w:bottom w:val="nil"/>
              <w:right w:val="nil"/>
            </w:tcBorders>
            <w:vAlign w:val="center"/>
          </w:tcPr>
          <w:p w:rsidR="0073298C" w:rsidRDefault="0073298C" w:rsidP="0073298C">
            <w:pPr>
              <w:spacing w:before="22" w:after="22"/>
              <w:ind w:right="22"/>
              <w:rPr>
                <w:rFonts w:ascii="Arial" w:hAnsi="Arial" w:cs="Arial"/>
                <w:color w:val="000000"/>
                <w:sz w:val="18"/>
                <w:szCs w:val="18"/>
              </w:rPr>
            </w:pPr>
            <w:r>
              <w:rPr>
                <w:rFonts w:ascii="Arial" w:hAnsi="Arial" w:cs="Arial"/>
                <w:color w:val="000000"/>
                <w:sz w:val="18"/>
                <w:szCs w:val="18"/>
              </w:rPr>
              <w:t>%</w:t>
            </w:r>
          </w:p>
        </w:tc>
        <w:tc>
          <w:tcPr>
            <w:tcW w:w="102" w:type="dxa"/>
            <w:tcBorders>
              <w:top w:val="single" w:sz="6" w:space="0" w:color="00467E"/>
              <w:left w:val="nil"/>
              <w:bottom w:val="nil"/>
              <w:right w:val="nil"/>
            </w:tcBorders>
            <w:shd w:val="clear" w:color="00467E" w:fill="00467E"/>
            <w:vAlign w:val="bottom"/>
          </w:tcPr>
          <w:p w:rsidR="0073298C" w:rsidRDefault="0073298C" w:rsidP="0073298C">
            <w:pPr>
              <w:spacing w:before="22" w:after="22"/>
              <w:ind w:left="22" w:right="22"/>
              <w:rPr>
                <w:color w:val="000000"/>
              </w:rPr>
            </w:pPr>
            <w:r>
              <w:rPr>
                <w:color w:val="000000"/>
              </w:rPr>
              <w:t> </w:t>
            </w:r>
          </w:p>
        </w:tc>
        <w:tc>
          <w:tcPr>
            <w:tcW w:w="1014" w:type="dxa"/>
            <w:tcBorders>
              <w:top w:val="nil"/>
              <w:left w:val="nil"/>
              <w:bottom w:val="nil"/>
              <w:right w:val="nil"/>
            </w:tcBorders>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60</w:t>
            </w:r>
          </w:p>
        </w:tc>
        <w:tc>
          <w:tcPr>
            <w:tcW w:w="360" w:type="dxa"/>
            <w:tcBorders>
              <w:top w:val="nil"/>
              <w:left w:val="nil"/>
              <w:bottom w:val="nil"/>
              <w:right w:val="nil"/>
            </w:tcBorders>
            <w:vAlign w:val="center"/>
          </w:tcPr>
          <w:p w:rsidR="0073298C" w:rsidRDefault="0073298C" w:rsidP="0073298C">
            <w:pPr>
              <w:spacing w:before="22" w:after="22"/>
              <w:ind w:right="22"/>
              <w:rPr>
                <w:rFonts w:ascii="Arial" w:hAnsi="Arial" w:cs="Arial"/>
                <w:color w:val="000000"/>
                <w:sz w:val="18"/>
                <w:szCs w:val="18"/>
              </w:rPr>
            </w:pPr>
            <w:r>
              <w:rPr>
                <w:rFonts w:ascii="Arial" w:hAnsi="Arial" w:cs="Arial"/>
                <w:color w:val="000000"/>
                <w:sz w:val="18"/>
                <w:szCs w:val="18"/>
              </w:rPr>
              <w:t> bps</w:t>
            </w:r>
          </w:p>
        </w:tc>
        <w:tc>
          <w:tcPr>
            <w:tcW w:w="102" w:type="dxa"/>
            <w:tcBorders>
              <w:top w:val="nil"/>
              <w:left w:val="nil"/>
              <w:bottom w:val="nil"/>
              <w:right w:val="nil"/>
            </w:tcBorders>
            <w:vAlign w:val="bottom"/>
          </w:tcPr>
          <w:p w:rsidR="0073298C" w:rsidRDefault="0073298C" w:rsidP="0073298C">
            <w:pPr>
              <w:spacing w:before="22" w:after="22"/>
              <w:ind w:left="22" w:right="22"/>
              <w:rPr>
                <w:color w:val="000000"/>
              </w:rPr>
            </w:pPr>
            <w:r>
              <w:rPr>
                <w:color w:val="000000"/>
              </w:rPr>
              <w:t> </w:t>
            </w:r>
          </w:p>
        </w:tc>
        <w:tc>
          <w:tcPr>
            <w:tcW w:w="1022" w:type="dxa"/>
            <w:tcBorders>
              <w:top w:val="nil"/>
              <w:left w:val="nil"/>
              <w:bottom w:val="nil"/>
              <w:right w:val="nil"/>
            </w:tcBorders>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w:t>
            </w:r>
          </w:p>
        </w:tc>
        <w:tc>
          <w:tcPr>
            <w:tcW w:w="200" w:type="dxa"/>
            <w:tcBorders>
              <w:top w:val="nil"/>
              <w:left w:val="nil"/>
              <w:bottom w:val="nil"/>
              <w:right w:val="single" w:sz="6" w:space="0" w:color="00467E"/>
            </w:tcBorders>
            <w:vAlign w:val="bottom"/>
          </w:tcPr>
          <w:p w:rsidR="0073298C" w:rsidRDefault="0073298C" w:rsidP="0073298C">
            <w:pPr>
              <w:spacing w:before="22" w:after="22"/>
              <w:ind w:left="22"/>
              <w:jc w:val="right"/>
              <w:rPr>
                <w:rFonts w:ascii="Arial" w:hAnsi="Arial" w:cs="Arial"/>
                <w:color w:val="000000"/>
                <w:sz w:val="18"/>
                <w:szCs w:val="18"/>
              </w:rPr>
            </w:pPr>
          </w:p>
          <w:p w:rsidR="0073298C" w:rsidRDefault="0073298C" w:rsidP="0073298C">
            <w:pPr>
              <w:rPr>
                <w:sz w:val="16"/>
                <w:szCs w:val="16"/>
              </w:rPr>
            </w:pPr>
            <w:r>
              <w:rPr>
                <w:sz w:val="16"/>
                <w:szCs w:val="16"/>
              </w:rPr>
              <w:t> </w:t>
            </w:r>
          </w:p>
        </w:tc>
      </w:tr>
      <w:tr w:rsidR="0073298C" w:rsidTr="0073298C">
        <w:tblPrEx>
          <w:tblCellMar>
            <w:top w:w="0" w:type="dxa"/>
            <w:left w:w="0" w:type="dxa"/>
            <w:bottom w:w="0" w:type="dxa"/>
            <w:right w:w="0" w:type="dxa"/>
          </w:tblCellMar>
        </w:tblPrEx>
        <w:trPr>
          <w:trHeight w:val="479"/>
        </w:trPr>
        <w:tc>
          <w:tcPr>
            <w:tcW w:w="3125" w:type="dxa"/>
            <w:tcBorders>
              <w:top w:val="nil"/>
              <w:left w:val="single" w:sz="6" w:space="0" w:color="00467E"/>
              <w:bottom w:val="single" w:sz="6" w:space="0" w:color="00467E"/>
              <w:right w:val="nil"/>
            </w:tcBorders>
            <w:shd w:val="clear" w:color="CFD4D8" w:fill="CFD4D8"/>
            <w:vAlign w:val="center"/>
          </w:tcPr>
          <w:p w:rsidR="0073298C" w:rsidRDefault="0073298C" w:rsidP="0073298C">
            <w:pPr>
              <w:spacing w:before="22" w:after="22"/>
              <w:ind w:left="330" w:right="22"/>
              <w:rPr>
                <w:rFonts w:ascii="Arial" w:hAnsi="Arial" w:cs="Arial"/>
                <w:color w:val="000000"/>
                <w:sz w:val="18"/>
                <w:szCs w:val="18"/>
              </w:rPr>
            </w:pPr>
            <w:r>
              <w:rPr>
                <w:rFonts w:ascii="Arial" w:hAnsi="Arial" w:cs="Arial"/>
                <w:color w:val="000000"/>
                <w:sz w:val="18"/>
                <w:szCs w:val="18"/>
              </w:rPr>
              <w:t>% of revenue before fuel surcharge</w:t>
            </w:r>
          </w:p>
        </w:tc>
        <w:tc>
          <w:tcPr>
            <w:tcW w:w="1313" w:type="dxa"/>
            <w:gridSpan w:val="2"/>
            <w:tcBorders>
              <w:top w:val="nil"/>
              <w:left w:val="nil"/>
              <w:bottom w:val="single" w:sz="6" w:space="0" w:color="00467E"/>
              <w:right w:val="nil"/>
            </w:tcBorders>
            <w:shd w:val="clear" w:color="CFD4D8" w:fill="CFD4D8"/>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0.6</w:t>
            </w:r>
          </w:p>
        </w:tc>
        <w:tc>
          <w:tcPr>
            <w:tcW w:w="180" w:type="dxa"/>
            <w:tcBorders>
              <w:top w:val="nil"/>
              <w:left w:val="nil"/>
              <w:bottom w:val="single" w:sz="6" w:space="0" w:color="00467E"/>
              <w:right w:val="nil"/>
            </w:tcBorders>
            <w:shd w:val="clear" w:color="CFD4D8" w:fill="CFD4D8"/>
            <w:vAlign w:val="center"/>
          </w:tcPr>
          <w:p w:rsidR="0073298C" w:rsidRDefault="0073298C" w:rsidP="0073298C">
            <w:pPr>
              <w:spacing w:before="22" w:after="22"/>
              <w:ind w:right="22"/>
              <w:rPr>
                <w:rFonts w:ascii="Arial" w:hAnsi="Arial" w:cs="Arial"/>
                <w:color w:val="000000"/>
                <w:sz w:val="18"/>
                <w:szCs w:val="18"/>
              </w:rPr>
            </w:pPr>
            <w:r>
              <w:rPr>
                <w:rFonts w:ascii="Arial" w:hAnsi="Arial" w:cs="Arial"/>
                <w:color w:val="000000"/>
                <w:sz w:val="18"/>
                <w:szCs w:val="18"/>
              </w:rPr>
              <w:t>%</w:t>
            </w:r>
          </w:p>
        </w:tc>
        <w:tc>
          <w:tcPr>
            <w:tcW w:w="102" w:type="dxa"/>
            <w:tcBorders>
              <w:top w:val="nil"/>
              <w:left w:val="nil"/>
              <w:bottom w:val="single" w:sz="6" w:space="0" w:color="00467E"/>
              <w:right w:val="nil"/>
            </w:tcBorders>
            <w:shd w:val="clear" w:color="CFD4D8" w:fill="CFD4D8"/>
            <w:vAlign w:val="bottom"/>
          </w:tcPr>
          <w:p w:rsidR="0073298C" w:rsidRDefault="0073298C" w:rsidP="0073298C">
            <w:pPr>
              <w:spacing w:before="22" w:after="22"/>
              <w:ind w:left="22" w:right="22"/>
              <w:rPr>
                <w:color w:val="000000"/>
              </w:rPr>
            </w:pPr>
            <w:r>
              <w:rPr>
                <w:color w:val="000000"/>
              </w:rPr>
              <w:t> </w:t>
            </w:r>
          </w:p>
        </w:tc>
        <w:tc>
          <w:tcPr>
            <w:tcW w:w="1409" w:type="dxa"/>
            <w:gridSpan w:val="2"/>
            <w:tcBorders>
              <w:top w:val="nil"/>
              <w:left w:val="nil"/>
              <w:bottom w:val="single" w:sz="6" w:space="0" w:color="00467E"/>
              <w:right w:val="nil"/>
            </w:tcBorders>
            <w:shd w:val="clear" w:color="CFD4D8" w:fill="CFD4D8"/>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w:t>
            </w:r>
          </w:p>
        </w:tc>
        <w:tc>
          <w:tcPr>
            <w:tcW w:w="180" w:type="dxa"/>
            <w:tcBorders>
              <w:top w:val="nil"/>
              <w:left w:val="nil"/>
              <w:bottom w:val="single" w:sz="6" w:space="0" w:color="00467E"/>
              <w:right w:val="nil"/>
            </w:tcBorders>
            <w:shd w:val="clear" w:color="CFD4D8" w:fill="CFD4D8"/>
            <w:vAlign w:val="center"/>
          </w:tcPr>
          <w:p w:rsidR="0073298C" w:rsidRDefault="0073298C" w:rsidP="0073298C">
            <w:pPr>
              <w:spacing w:before="22" w:after="22"/>
              <w:ind w:right="22"/>
              <w:rPr>
                <w:rFonts w:ascii="Arial" w:hAnsi="Arial" w:cs="Arial"/>
                <w:color w:val="000000"/>
                <w:sz w:val="18"/>
                <w:szCs w:val="18"/>
              </w:rPr>
            </w:pPr>
            <w:r>
              <w:rPr>
                <w:rFonts w:ascii="Arial" w:hAnsi="Arial" w:cs="Arial"/>
                <w:color w:val="000000"/>
                <w:sz w:val="18"/>
                <w:szCs w:val="18"/>
              </w:rPr>
              <w:t>%</w:t>
            </w:r>
          </w:p>
        </w:tc>
        <w:tc>
          <w:tcPr>
            <w:tcW w:w="102" w:type="dxa"/>
            <w:tcBorders>
              <w:top w:val="nil"/>
              <w:left w:val="nil"/>
              <w:bottom w:val="single" w:sz="6" w:space="0" w:color="00467E"/>
              <w:right w:val="nil"/>
            </w:tcBorders>
            <w:shd w:val="clear" w:color="CFD4D8" w:fill="CFD4D8"/>
            <w:vAlign w:val="bottom"/>
          </w:tcPr>
          <w:p w:rsidR="0073298C" w:rsidRDefault="0073298C" w:rsidP="0073298C">
            <w:pPr>
              <w:spacing w:before="22" w:after="22"/>
              <w:ind w:left="22" w:right="22"/>
              <w:rPr>
                <w:color w:val="000000"/>
              </w:rPr>
            </w:pPr>
            <w:r>
              <w:rPr>
                <w:color w:val="000000"/>
              </w:rPr>
              <w:t> </w:t>
            </w:r>
          </w:p>
        </w:tc>
        <w:tc>
          <w:tcPr>
            <w:tcW w:w="1409" w:type="dxa"/>
            <w:gridSpan w:val="2"/>
            <w:tcBorders>
              <w:top w:val="nil"/>
              <w:left w:val="nil"/>
              <w:bottom w:val="single" w:sz="6" w:space="0" w:color="00467E"/>
              <w:right w:val="nil"/>
            </w:tcBorders>
            <w:shd w:val="clear" w:color="CFD4D8" w:fill="CFD4D8"/>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w:t>
            </w:r>
          </w:p>
        </w:tc>
        <w:tc>
          <w:tcPr>
            <w:tcW w:w="180" w:type="dxa"/>
            <w:tcBorders>
              <w:top w:val="nil"/>
              <w:left w:val="nil"/>
              <w:bottom w:val="single" w:sz="6" w:space="0" w:color="00467E"/>
              <w:right w:val="nil"/>
            </w:tcBorders>
            <w:shd w:val="clear" w:color="CFD4D8" w:fill="CFD4D8"/>
            <w:vAlign w:val="center"/>
          </w:tcPr>
          <w:p w:rsidR="0073298C" w:rsidRDefault="0073298C" w:rsidP="0073298C">
            <w:pPr>
              <w:spacing w:before="22" w:after="22"/>
              <w:ind w:right="22"/>
              <w:rPr>
                <w:rFonts w:ascii="Arial" w:hAnsi="Arial" w:cs="Arial"/>
                <w:color w:val="000000"/>
                <w:sz w:val="18"/>
                <w:szCs w:val="18"/>
              </w:rPr>
            </w:pPr>
            <w:r>
              <w:rPr>
                <w:rFonts w:ascii="Arial" w:hAnsi="Arial" w:cs="Arial"/>
                <w:color w:val="000000"/>
                <w:sz w:val="18"/>
                <w:szCs w:val="18"/>
              </w:rPr>
              <w:t>%</w:t>
            </w:r>
          </w:p>
        </w:tc>
        <w:tc>
          <w:tcPr>
            <w:tcW w:w="102" w:type="dxa"/>
            <w:tcBorders>
              <w:top w:val="single" w:sz="6" w:space="0" w:color="00467E"/>
              <w:left w:val="nil"/>
              <w:bottom w:val="single" w:sz="6" w:space="0" w:color="00467E"/>
              <w:right w:val="nil"/>
            </w:tcBorders>
            <w:shd w:val="clear" w:color="00467E" w:fill="00467E"/>
            <w:vAlign w:val="bottom"/>
          </w:tcPr>
          <w:p w:rsidR="0073298C" w:rsidRDefault="0073298C" w:rsidP="0073298C">
            <w:pPr>
              <w:spacing w:before="22" w:after="22"/>
              <w:ind w:left="22" w:right="22"/>
              <w:rPr>
                <w:color w:val="000000"/>
              </w:rPr>
            </w:pPr>
            <w:r>
              <w:rPr>
                <w:color w:val="000000"/>
              </w:rPr>
              <w:t> </w:t>
            </w:r>
          </w:p>
        </w:tc>
        <w:tc>
          <w:tcPr>
            <w:tcW w:w="1014" w:type="dxa"/>
            <w:tcBorders>
              <w:top w:val="nil"/>
              <w:left w:val="nil"/>
              <w:bottom w:val="single" w:sz="6" w:space="0" w:color="00467E"/>
              <w:right w:val="nil"/>
            </w:tcBorders>
            <w:shd w:val="clear" w:color="CFD4D8" w:fill="CFD4D8"/>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60</w:t>
            </w:r>
          </w:p>
        </w:tc>
        <w:tc>
          <w:tcPr>
            <w:tcW w:w="360" w:type="dxa"/>
            <w:tcBorders>
              <w:top w:val="nil"/>
              <w:left w:val="nil"/>
              <w:bottom w:val="single" w:sz="6" w:space="0" w:color="00467E"/>
              <w:right w:val="nil"/>
            </w:tcBorders>
            <w:shd w:val="clear" w:color="CFD4D8" w:fill="CFD4D8"/>
            <w:vAlign w:val="center"/>
          </w:tcPr>
          <w:p w:rsidR="0073298C" w:rsidRDefault="0073298C" w:rsidP="0073298C">
            <w:pPr>
              <w:spacing w:before="22" w:after="22"/>
              <w:ind w:right="22"/>
              <w:rPr>
                <w:rFonts w:ascii="Arial" w:hAnsi="Arial" w:cs="Arial"/>
                <w:color w:val="000000"/>
                <w:sz w:val="18"/>
                <w:szCs w:val="18"/>
              </w:rPr>
            </w:pPr>
            <w:r>
              <w:rPr>
                <w:rFonts w:ascii="Arial" w:hAnsi="Arial" w:cs="Arial"/>
                <w:color w:val="000000"/>
                <w:sz w:val="18"/>
                <w:szCs w:val="18"/>
              </w:rPr>
              <w:t> bps</w:t>
            </w:r>
          </w:p>
        </w:tc>
        <w:tc>
          <w:tcPr>
            <w:tcW w:w="102" w:type="dxa"/>
            <w:tcBorders>
              <w:top w:val="nil"/>
              <w:left w:val="nil"/>
              <w:bottom w:val="single" w:sz="6" w:space="0" w:color="00467E"/>
              <w:right w:val="nil"/>
            </w:tcBorders>
            <w:shd w:val="clear" w:color="CFD4D8" w:fill="CFD4D8"/>
            <w:vAlign w:val="bottom"/>
          </w:tcPr>
          <w:p w:rsidR="0073298C" w:rsidRDefault="0073298C" w:rsidP="0073298C">
            <w:pPr>
              <w:spacing w:before="22" w:after="22"/>
              <w:ind w:left="22" w:right="22"/>
              <w:rPr>
                <w:color w:val="000000"/>
              </w:rPr>
            </w:pPr>
            <w:r>
              <w:rPr>
                <w:color w:val="000000"/>
              </w:rPr>
              <w:t> </w:t>
            </w:r>
          </w:p>
        </w:tc>
        <w:tc>
          <w:tcPr>
            <w:tcW w:w="1022" w:type="dxa"/>
            <w:tcBorders>
              <w:top w:val="nil"/>
              <w:left w:val="nil"/>
              <w:bottom w:val="single" w:sz="6" w:space="0" w:color="00467E"/>
              <w:right w:val="nil"/>
            </w:tcBorders>
            <w:shd w:val="clear" w:color="CFD4D8" w:fill="CFD4D8"/>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w:t>
            </w:r>
          </w:p>
        </w:tc>
        <w:tc>
          <w:tcPr>
            <w:tcW w:w="200" w:type="dxa"/>
            <w:tcBorders>
              <w:top w:val="nil"/>
              <w:left w:val="nil"/>
              <w:bottom w:val="single" w:sz="6" w:space="0" w:color="00467E"/>
              <w:right w:val="single" w:sz="6" w:space="0" w:color="00467E"/>
            </w:tcBorders>
            <w:shd w:val="clear" w:color="CFD4D8" w:fill="CFD4D8"/>
            <w:vAlign w:val="bottom"/>
          </w:tcPr>
          <w:p w:rsidR="0073298C" w:rsidRDefault="0073298C" w:rsidP="0073298C">
            <w:pPr>
              <w:spacing w:before="22" w:after="22"/>
              <w:ind w:left="22"/>
              <w:jc w:val="right"/>
              <w:rPr>
                <w:rFonts w:ascii="Arial" w:hAnsi="Arial" w:cs="Arial"/>
                <w:color w:val="000000"/>
                <w:sz w:val="18"/>
                <w:szCs w:val="18"/>
              </w:rPr>
            </w:pPr>
          </w:p>
          <w:p w:rsidR="0073298C" w:rsidRDefault="0073298C" w:rsidP="0073298C">
            <w:pPr>
              <w:rPr>
                <w:sz w:val="16"/>
                <w:szCs w:val="16"/>
              </w:rPr>
            </w:pPr>
            <w:r>
              <w:rPr>
                <w:sz w:val="16"/>
                <w:szCs w:val="16"/>
              </w:rPr>
              <w:t> </w:t>
            </w:r>
          </w:p>
        </w:tc>
      </w:tr>
    </w:tbl>
    <w:p w:rsidR="0073298C" w:rsidRDefault="0073298C" w:rsidP="0073298C">
      <w:pPr>
        <w:spacing w:after="132"/>
        <w:jc w:val="both"/>
        <w:rPr>
          <w:rFonts w:ascii="Arial" w:hAnsi="Arial" w:cs="Arial"/>
          <w:color w:val="000000"/>
          <w:sz w:val="18"/>
          <w:szCs w:val="18"/>
        </w:rPr>
      </w:pPr>
      <w:r>
        <w:rPr>
          <w:rFonts w:ascii="Arial" w:hAnsi="Arial" w:cs="Arial"/>
          <w:color w:val="000000"/>
          <w:sz w:val="18"/>
          <w:szCs w:val="18"/>
        </w:rPr>
        <w:t>Amortization of intangibles primarily relates to intangible assets identified with the 2017 Merger. See Note 4 and Note 11 in Part II, Item 8, of this Annual Report for further details regarding the Company's intangible assets, historical amortization, and anticipated future amortization.</w:t>
      </w:r>
    </w:p>
    <w:p w:rsidR="0073298C" w:rsidRDefault="0073298C" w:rsidP="0073298C">
      <w:pPr>
        <w:spacing w:after="132"/>
        <w:jc w:val="both"/>
        <w:rPr>
          <w:rFonts w:ascii="Arial" w:hAnsi="Arial" w:cs="Arial"/>
          <w:color w:val="000000"/>
          <w:sz w:val="18"/>
          <w:szCs w:val="18"/>
        </w:rPr>
      </w:pPr>
      <w:r>
        <w:rPr>
          <w:rFonts w:ascii="Arial" w:hAnsi="Arial" w:cs="Arial"/>
          <w:i/>
          <w:iCs/>
          <w:color w:val="000000"/>
          <w:sz w:val="18"/>
          <w:szCs w:val="18"/>
        </w:rPr>
        <w:t>2017 Compared to 2016 —</w:t>
      </w:r>
      <w:r>
        <w:rPr>
          <w:rFonts w:ascii="Arial" w:hAnsi="Arial" w:cs="Arial"/>
          <w:color w:val="000000"/>
          <w:sz w:val="18"/>
          <w:szCs w:val="18"/>
        </w:rPr>
        <w:t xml:space="preserve"> The $12.9 million increase in consolidated amortization of intangibles is entirely attributed to Swift's amortization of the intangible assets identified with the 2017 Merger.</w:t>
      </w:r>
    </w:p>
    <w:p w:rsidR="0073298C" w:rsidRDefault="0073298C" w:rsidP="0073298C">
      <w:pPr>
        <w:spacing w:after="264"/>
        <w:jc w:val="both"/>
        <w:rPr>
          <w:rFonts w:ascii="Arial" w:hAnsi="Arial" w:cs="Arial"/>
          <w:color w:val="000000"/>
          <w:sz w:val="18"/>
          <w:szCs w:val="18"/>
        </w:rPr>
      </w:pPr>
      <w:r>
        <w:rPr>
          <w:rFonts w:ascii="Arial" w:hAnsi="Arial" w:cs="Arial"/>
          <w:i/>
          <w:iCs/>
          <w:color w:val="000000"/>
          <w:sz w:val="18"/>
          <w:szCs w:val="18"/>
        </w:rPr>
        <w:t>2016 Compared to 2015 —</w:t>
      </w:r>
      <w:r>
        <w:rPr>
          <w:rFonts w:ascii="Arial" w:hAnsi="Arial" w:cs="Arial"/>
          <w:color w:val="000000"/>
          <w:sz w:val="18"/>
          <w:szCs w:val="18"/>
        </w:rPr>
        <w:t xml:space="preserve"> There was no change in amortization of intangibles from 2015 to 2016.</w:t>
      </w:r>
    </w:p>
    <w:tbl>
      <w:tblPr>
        <w:tblW w:w="10803" w:type="dxa"/>
        <w:tblInd w:w="8" w:type="dxa"/>
        <w:tblLayout w:type="fixed"/>
        <w:tblCellMar>
          <w:left w:w="0" w:type="dxa"/>
          <w:right w:w="0" w:type="dxa"/>
        </w:tblCellMar>
        <w:tblLook w:val="0000"/>
      </w:tblPr>
      <w:tblGrid>
        <w:gridCol w:w="3150"/>
        <w:gridCol w:w="120"/>
        <w:gridCol w:w="1209"/>
        <w:gridCol w:w="180"/>
        <w:gridCol w:w="103"/>
        <w:gridCol w:w="120"/>
        <w:gridCol w:w="1197"/>
        <w:gridCol w:w="180"/>
        <w:gridCol w:w="103"/>
        <w:gridCol w:w="120"/>
        <w:gridCol w:w="1197"/>
        <w:gridCol w:w="183"/>
        <w:gridCol w:w="103"/>
        <w:gridCol w:w="1025"/>
        <w:gridCol w:w="360"/>
        <w:gridCol w:w="103"/>
        <w:gridCol w:w="983"/>
        <w:gridCol w:w="360"/>
        <w:gridCol w:w="7"/>
      </w:tblGrid>
      <w:tr w:rsidR="0073298C" w:rsidTr="000E3B20">
        <w:tblPrEx>
          <w:tblCellMar>
            <w:top w:w="0" w:type="dxa"/>
            <w:left w:w="0" w:type="dxa"/>
            <w:bottom w:w="0" w:type="dxa"/>
            <w:right w:w="0" w:type="dxa"/>
          </w:tblCellMar>
        </w:tblPrEx>
        <w:trPr>
          <w:gridAfter w:val="1"/>
          <w:wAfter w:w="7" w:type="dxa"/>
          <w:trHeight w:val="298"/>
        </w:trPr>
        <w:tc>
          <w:tcPr>
            <w:tcW w:w="3150" w:type="dxa"/>
            <w:tcBorders>
              <w:top w:val="single" w:sz="6" w:space="0" w:color="00467E"/>
              <w:left w:val="single" w:sz="6" w:space="0" w:color="00467E"/>
              <w:bottom w:val="nil"/>
              <w:right w:val="nil"/>
            </w:tcBorders>
            <w:vAlign w:val="center"/>
          </w:tcPr>
          <w:p w:rsidR="0073298C" w:rsidRDefault="0073298C" w:rsidP="0073298C">
            <w:pPr>
              <w:spacing w:before="22" w:after="22"/>
              <w:ind w:left="22" w:right="22"/>
              <w:rPr>
                <w:rFonts w:ascii="Arial" w:hAnsi="Arial" w:cs="Arial"/>
                <w:b/>
                <w:bCs w:val="0"/>
                <w:color w:val="000000"/>
                <w:sz w:val="16"/>
                <w:szCs w:val="16"/>
              </w:rPr>
            </w:pPr>
            <w:r>
              <w:rPr>
                <w:rFonts w:ascii="Arial" w:hAnsi="Arial" w:cs="Arial"/>
                <w:b/>
                <w:bCs w:val="0"/>
                <w:color w:val="000000"/>
                <w:sz w:val="16"/>
                <w:szCs w:val="16"/>
              </w:rPr>
              <w:t> </w:t>
            </w:r>
          </w:p>
        </w:tc>
        <w:tc>
          <w:tcPr>
            <w:tcW w:w="1509" w:type="dxa"/>
            <w:gridSpan w:val="3"/>
            <w:tcBorders>
              <w:top w:val="single" w:sz="6" w:space="0" w:color="00467E"/>
              <w:left w:val="nil"/>
              <w:bottom w:val="single" w:sz="6" w:space="0" w:color="000000"/>
              <w:right w:val="nil"/>
            </w:tcBorders>
            <w:vAlign w:val="center"/>
          </w:tcPr>
          <w:p w:rsidR="0073298C" w:rsidRDefault="0073298C" w:rsidP="0073298C">
            <w:pPr>
              <w:spacing w:before="22" w:after="22"/>
              <w:ind w:left="22" w:right="22"/>
              <w:jc w:val="center"/>
              <w:rPr>
                <w:rFonts w:ascii="Arial" w:hAnsi="Arial" w:cs="Arial"/>
                <w:b/>
                <w:bCs w:val="0"/>
                <w:color w:val="000000"/>
                <w:sz w:val="14"/>
                <w:szCs w:val="14"/>
              </w:rPr>
            </w:pPr>
            <w:r>
              <w:rPr>
                <w:rFonts w:ascii="Arial" w:hAnsi="Arial" w:cs="Arial"/>
                <w:b/>
                <w:bCs w:val="0"/>
                <w:color w:val="000000"/>
                <w:sz w:val="14"/>
                <w:szCs w:val="14"/>
              </w:rPr>
              <w:t>2017</w:t>
            </w:r>
          </w:p>
        </w:tc>
        <w:tc>
          <w:tcPr>
            <w:tcW w:w="103" w:type="dxa"/>
            <w:tcBorders>
              <w:top w:val="single" w:sz="6" w:space="0" w:color="00467E"/>
              <w:left w:val="nil"/>
              <w:bottom w:val="nil"/>
              <w:right w:val="nil"/>
            </w:tcBorders>
            <w:vAlign w:val="bottom"/>
          </w:tcPr>
          <w:p w:rsidR="0073298C" w:rsidRDefault="0073298C" w:rsidP="0073298C">
            <w:pPr>
              <w:spacing w:before="22" w:after="22"/>
              <w:ind w:left="22" w:right="22"/>
              <w:rPr>
                <w:color w:val="000000"/>
              </w:rPr>
            </w:pPr>
            <w:r>
              <w:rPr>
                <w:color w:val="000000"/>
              </w:rPr>
              <w:t> </w:t>
            </w:r>
          </w:p>
        </w:tc>
        <w:tc>
          <w:tcPr>
            <w:tcW w:w="1497" w:type="dxa"/>
            <w:gridSpan w:val="3"/>
            <w:tcBorders>
              <w:top w:val="single" w:sz="6" w:space="0" w:color="00467E"/>
              <w:left w:val="nil"/>
              <w:bottom w:val="single" w:sz="6" w:space="0" w:color="000000"/>
              <w:right w:val="nil"/>
            </w:tcBorders>
            <w:vAlign w:val="center"/>
          </w:tcPr>
          <w:p w:rsidR="0073298C" w:rsidRDefault="0073298C" w:rsidP="0073298C">
            <w:pPr>
              <w:spacing w:before="22" w:after="22"/>
              <w:ind w:left="22" w:right="22"/>
              <w:jc w:val="center"/>
              <w:rPr>
                <w:rFonts w:ascii="Arial" w:hAnsi="Arial" w:cs="Arial"/>
                <w:b/>
                <w:bCs w:val="0"/>
                <w:color w:val="000000"/>
                <w:sz w:val="14"/>
                <w:szCs w:val="14"/>
              </w:rPr>
            </w:pPr>
            <w:r>
              <w:rPr>
                <w:rFonts w:ascii="Arial" w:hAnsi="Arial" w:cs="Arial"/>
                <w:b/>
                <w:bCs w:val="0"/>
                <w:color w:val="000000"/>
                <w:sz w:val="14"/>
                <w:szCs w:val="14"/>
              </w:rPr>
              <w:t>2016</w:t>
            </w:r>
          </w:p>
        </w:tc>
        <w:tc>
          <w:tcPr>
            <w:tcW w:w="103" w:type="dxa"/>
            <w:tcBorders>
              <w:top w:val="single" w:sz="6" w:space="0" w:color="00467E"/>
              <w:left w:val="nil"/>
              <w:bottom w:val="nil"/>
              <w:right w:val="nil"/>
            </w:tcBorders>
            <w:vAlign w:val="bottom"/>
          </w:tcPr>
          <w:p w:rsidR="0073298C" w:rsidRDefault="0073298C" w:rsidP="0073298C">
            <w:pPr>
              <w:spacing w:before="22" w:after="22"/>
              <w:ind w:left="22" w:right="22"/>
              <w:rPr>
                <w:color w:val="000000"/>
              </w:rPr>
            </w:pPr>
            <w:r>
              <w:rPr>
                <w:color w:val="000000"/>
              </w:rPr>
              <w:t> </w:t>
            </w:r>
          </w:p>
        </w:tc>
        <w:tc>
          <w:tcPr>
            <w:tcW w:w="1500" w:type="dxa"/>
            <w:gridSpan w:val="3"/>
            <w:tcBorders>
              <w:top w:val="single" w:sz="6" w:space="0" w:color="00467E"/>
              <w:left w:val="nil"/>
              <w:bottom w:val="single" w:sz="6" w:space="0" w:color="000000"/>
              <w:right w:val="nil"/>
            </w:tcBorders>
            <w:vAlign w:val="center"/>
          </w:tcPr>
          <w:p w:rsidR="0073298C" w:rsidRDefault="0073298C" w:rsidP="0073298C">
            <w:pPr>
              <w:spacing w:before="22" w:after="22"/>
              <w:ind w:left="22" w:right="22"/>
              <w:jc w:val="center"/>
              <w:rPr>
                <w:rFonts w:ascii="Arial" w:hAnsi="Arial" w:cs="Arial"/>
                <w:b/>
                <w:bCs w:val="0"/>
                <w:color w:val="000000"/>
                <w:sz w:val="14"/>
                <w:szCs w:val="14"/>
              </w:rPr>
            </w:pPr>
            <w:r>
              <w:rPr>
                <w:rFonts w:ascii="Arial" w:hAnsi="Arial" w:cs="Arial"/>
                <w:b/>
                <w:bCs w:val="0"/>
                <w:color w:val="000000"/>
                <w:sz w:val="14"/>
                <w:szCs w:val="14"/>
              </w:rPr>
              <w:t>2015</w:t>
            </w:r>
          </w:p>
        </w:tc>
        <w:tc>
          <w:tcPr>
            <w:tcW w:w="103" w:type="dxa"/>
            <w:tcBorders>
              <w:top w:val="single" w:sz="6" w:space="0" w:color="00467E"/>
              <w:left w:val="nil"/>
              <w:bottom w:val="nil"/>
              <w:right w:val="nil"/>
            </w:tcBorders>
            <w:shd w:val="clear" w:color="00467E" w:fill="00467E"/>
            <w:vAlign w:val="bottom"/>
          </w:tcPr>
          <w:p w:rsidR="0073298C" w:rsidRDefault="0073298C" w:rsidP="0073298C">
            <w:pPr>
              <w:spacing w:before="22" w:after="22"/>
              <w:ind w:left="22" w:right="22"/>
              <w:rPr>
                <w:color w:val="000000"/>
              </w:rPr>
            </w:pPr>
            <w:r>
              <w:rPr>
                <w:color w:val="000000"/>
              </w:rPr>
              <w:t> </w:t>
            </w:r>
          </w:p>
        </w:tc>
        <w:tc>
          <w:tcPr>
            <w:tcW w:w="1385" w:type="dxa"/>
            <w:gridSpan w:val="2"/>
            <w:tcBorders>
              <w:top w:val="single" w:sz="6" w:space="0" w:color="00467E"/>
              <w:left w:val="nil"/>
              <w:bottom w:val="single" w:sz="6" w:space="0" w:color="000000"/>
              <w:right w:val="nil"/>
            </w:tcBorders>
            <w:vAlign w:val="center"/>
          </w:tcPr>
          <w:p w:rsidR="0073298C" w:rsidRDefault="0073298C" w:rsidP="0073298C">
            <w:pPr>
              <w:spacing w:before="22" w:after="22"/>
              <w:ind w:left="22" w:right="22"/>
              <w:jc w:val="center"/>
              <w:rPr>
                <w:rFonts w:ascii="Arial" w:hAnsi="Arial" w:cs="Arial"/>
                <w:b/>
                <w:bCs w:val="0"/>
                <w:color w:val="000000"/>
                <w:sz w:val="14"/>
                <w:szCs w:val="14"/>
              </w:rPr>
            </w:pPr>
            <w:r>
              <w:rPr>
                <w:rFonts w:ascii="Arial" w:hAnsi="Arial" w:cs="Arial"/>
                <w:b/>
                <w:bCs w:val="0"/>
                <w:color w:val="000000"/>
                <w:sz w:val="14"/>
                <w:szCs w:val="14"/>
              </w:rPr>
              <w:t>2017 vs. 2016</w:t>
            </w:r>
          </w:p>
        </w:tc>
        <w:tc>
          <w:tcPr>
            <w:tcW w:w="103" w:type="dxa"/>
            <w:tcBorders>
              <w:top w:val="single" w:sz="6" w:space="0" w:color="00467E"/>
              <w:left w:val="nil"/>
              <w:bottom w:val="nil"/>
              <w:right w:val="nil"/>
            </w:tcBorders>
            <w:vAlign w:val="bottom"/>
          </w:tcPr>
          <w:p w:rsidR="0073298C" w:rsidRDefault="0073298C" w:rsidP="0073298C">
            <w:pPr>
              <w:spacing w:before="22" w:after="22"/>
              <w:ind w:left="22" w:right="22"/>
              <w:rPr>
                <w:color w:val="000000"/>
              </w:rPr>
            </w:pPr>
            <w:r>
              <w:rPr>
                <w:color w:val="000000"/>
              </w:rPr>
              <w:t> </w:t>
            </w:r>
          </w:p>
        </w:tc>
        <w:tc>
          <w:tcPr>
            <w:tcW w:w="1343" w:type="dxa"/>
            <w:gridSpan w:val="2"/>
            <w:tcBorders>
              <w:top w:val="single" w:sz="6" w:space="0" w:color="00467E"/>
              <w:left w:val="nil"/>
              <w:bottom w:val="single" w:sz="6" w:space="0" w:color="000000"/>
              <w:right w:val="single" w:sz="6" w:space="0" w:color="00467E"/>
            </w:tcBorders>
            <w:vAlign w:val="center"/>
          </w:tcPr>
          <w:p w:rsidR="0073298C" w:rsidRDefault="0073298C" w:rsidP="0073298C">
            <w:pPr>
              <w:spacing w:before="22" w:after="22"/>
              <w:ind w:left="22" w:right="22"/>
              <w:jc w:val="center"/>
              <w:rPr>
                <w:rFonts w:ascii="Arial" w:hAnsi="Arial" w:cs="Arial"/>
                <w:b/>
                <w:bCs w:val="0"/>
                <w:color w:val="000000"/>
                <w:sz w:val="14"/>
                <w:szCs w:val="14"/>
              </w:rPr>
            </w:pPr>
            <w:r>
              <w:rPr>
                <w:rFonts w:ascii="Arial" w:hAnsi="Arial" w:cs="Arial"/>
                <w:b/>
                <w:bCs w:val="0"/>
                <w:color w:val="000000"/>
                <w:sz w:val="14"/>
                <w:szCs w:val="14"/>
              </w:rPr>
              <w:t>2016 vs. 2015</w:t>
            </w:r>
          </w:p>
        </w:tc>
      </w:tr>
      <w:tr w:rsidR="0073298C" w:rsidTr="000E3B20">
        <w:tblPrEx>
          <w:tblCellMar>
            <w:top w:w="0" w:type="dxa"/>
            <w:left w:w="0" w:type="dxa"/>
            <w:bottom w:w="0" w:type="dxa"/>
            <w:right w:w="0" w:type="dxa"/>
          </w:tblCellMar>
        </w:tblPrEx>
        <w:trPr>
          <w:trHeight w:val="298"/>
        </w:trPr>
        <w:tc>
          <w:tcPr>
            <w:tcW w:w="3150" w:type="dxa"/>
            <w:tcBorders>
              <w:top w:val="nil"/>
              <w:left w:val="single" w:sz="6" w:space="0" w:color="00467E"/>
              <w:bottom w:val="nil"/>
              <w:right w:val="nil"/>
            </w:tcBorders>
            <w:vAlign w:val="bottom"/>
          </w:tcPr>
          <w:p w:rsidR="0073298C" w:rsidRDefault="0073298C" w:rsidP="0073298C">
            <w:pPr>
              <w:spacing w:before="22" w:after="22"/>
              <w:ind w:left="22" w:right="22"/>
              <w:rPr>
                <w:color w:val="000000"/>
              </w:rPr>
            </w:pPr>
            <w:r>
              <w:rPr>
                <w:color w:val="000000"/>
              </w:rPr>
              <w:t> </w:t>
            </w:r>
          </w:p>
        </w:tc>
        <w:tc>
          <w:tcPr>
            <w:tcW w:w="4712" w:type="dxa"/>
            <w:gridSpan w:val="11"/>
            <w:tcBorders>
              <w:top w:val="nil"/>
              <w:left w:val="nil"/>
              <w:bottom w:val="single" w:sz="6" w:space="0" w:color="000000"/>
              <w:right w:val="nil"/>
            </w:tcBorders>
            <w:vAlign w:val="center"/>
          </w:tcPr>
          <w:p w:rsidR="0073298C" w:rsidRDefault="0073298C" w:rsidP="0073298C">
            <w:pPr>
              <w:spacing w:before="22" w:after="22"/>
              <w:ind w:left="22"/>
              <w:jc w:val="center"/>
              <w:rPr>
                <w:rFonts w:ascii="Arial" w:hAnsi="Arial" w:cs="Arial"/>
                <w:b/>
                <w:bCs w:val="0"/>
                <w:color w:val="000000"/>
                <w:sz w:val="14"/>
                <w:szCs w:val="14"/>
              </w:rPr>
            </w:pPr>
            <w:r>
              <w:rPr>
                <w:rFonts w:ascii="Arial" w:hAnsi="Arial" w:cs="Arial"/>
                <w:b/>
                <w:bCs w:val="0"/>
                <w:color w:val="000000"/>
                <w:sz w:val="14"/>
                <w:szCs w:val="14"/>
              </w:rPr>
              <w:t>(Dollars in thousands)</w:t>
            </w:r>
          </w:p>
        </w:tc>
        <w:tc>
          <w:tcPr>
            <w:tcW w:w="103" w:type="dxa"/>
            <w:tcBorders>
              <w:top w:val="single" w:sz="6" w:space="0" w:color="00467E"/>
              <w:left w:val="nil"/>
              <w:bottom w:val="nil"/>
              <w:right w:val="nil"/>
            </w:tcBorders>
            <w:shd w:val="clear" w:color="00467E" w:fill="00467E"/>
            <w:vAlign w:val="bottom"/>
          </w:tcPr>
          <w:p w:rsidR="0073298C" w:rsidRDefault="0073298C" w:rsidP="0073298C">
            <w:pPr>
              <w:spacing w:before="22" w:after="22"/>
              <w:ind w:left="22" w:right="22"/>
              <w:rPr>
                <w:color w:val="000000"/>
              </w:rPr>
            </w:pPr>
            <w:r>
              <w:rPr>
                <w:color w:val="000000"/>
              </w:rPr>
              <w:t> </w:t>
            </w:r>
          </w:p>
        </w:tc>
        <w:tc>
          <w:tcPr>
            <w:tcW w:w="2838" w:type="dxa"/>
            <w:gridSpan w:val="6"/>
            <w:tcBorders>
              <w:top w:val="nil"/>
              <w:left w:val="nil"/>
              <w:bottom w:val="single" w:sz="6" w:space="0" w:color="000000"/>
              <w:right w:val="single" w:sz="6" w:space="0" w:color="00467E"/>
            </w:tcBorders>
            <w:vAlign w:val="center"/>
          </w:tcPr>
          <w:p w:rsidR="0073298C" w:rsidRDefault="0073298C" w:rsidP="0073298C">
            <w:pPr>
              <w:spacing w:before="22" w:after="22"/>
              <w:ind w:left="22"/>
              <w:jc w:val="center"/>
              <w:rPr>
                <w:rFonts w:ascii="Arial" w:hAnsi="Arial" w:cs="Arial"/>
                <w:b/>
                <w:bCs w:val="0"/>
                <w:color w:val="000000"/>
                <w:sz w:val="14"/>
                <w:szCs w:val="14"/>
              </w:rPr>
            </w:pPr>
            <w:r>
              <w:rPr>
                <w:rFonts w:ascii="Arial" w:hAnsi="Arial" w:cs="Arial"/>
                <w:b/>
                <w:bCs w:val="0"/>
                <w:color w:val="000000"/>
                <w:sz w:val="14"/>
                <w:szCs w:val="14"/>
              </w:rPr>
              <w:t>Increase (decrease)</w:t>
            </w:r>
          </w:p>
        </w:tc>
      </w:tr>
      <w:tr w:rsidR="0073298C" w:rsidTr="000E3B20">
        <w:tblPrEx>
          <w:tblCellMar>
            <w:top w:w="0" w:type="dxa"/>
            <w:left w:w="0" w:type="dxa"/>
            <w:bottom w:w="0" w:type="dxa"/>
            <w:right w:w="0" w:type="dxa"/>
          </w:tblCellMar>
        </w:tblPrEx>
        <w:trPr>
          <w:trHeight w:val="298"/>
        </w:trPr>
        <w:tc>
          <w:tcPr>
            <w:tcW w:w="3150" w:type="dxa"/>
            <w:tcBorders>
              <w:top w:val="nil"/>
              <w:left w:val="single" w:sz="6" w:space="0" w:color="00467E"/>
              <w:bottom w:val="nil"/>
              <w:right w:val="nil"/>
            </w:tcBorders>
            <w:shd w:val="clear" w:color="CFD4D8" w:fill="CFD4D8"/>
            <w:vAlign w:val="center"/>
          </w:tcPr>
          <w:p w:rsidR="0073298C" w:rsidRDefault="0073298C" w:rsidP="0073298C">
            <w:pPr>
              <w:spacing w:before="22" w:after="22"/>
              <w:ind w:left="22" w:right="22"/>
              <w:rPr>
                <w:rFonts w:ascii="Arial" w:hAnsi="Arial" w:cs="Arial"/>
                <w:b/>
                <w:bCs w:val="0"/>
                <w:i/>
                <w:iCs/>
                <w:color w:val="9D1B11"/>
                <w:sz w:val="18"/>
                <w:szCs w:val="18"/>
              </w:rPr>
            </w:pPr>
            <w:r>
              <w:rPr>
                <w:rFonts w:ascii="Arial" w:hAnsi="Arial" w:cs="Arial"/>
                <w:b/>
                <w:bCs w:val="0"/>
                <w:i/>
                <w:iCs/>
                <w:color w:val="9D1B11"/>
                <w:sz w:val="18"/>
                <w:szCs w:val="18"/>
              </w:rPr>
              <w:t>Rental expense</w:t>
            </w:r>
          </w:p>
        </w:tc>
        <w:tc>
          <w:tcPr>
            <w:tcW w:w="120" w:type="dxa"/>
            <w:tcBorders>
              <w:top w:val="single" w:sz="6" w:space="0" w:color="000000"/>
              <w:left w:val="nil"/>
              <w:bottom w:val="nil"/>
              <w:right w:val="nil"/>
            </w:tcBorders>
            <w:shd w:val="clear" w:color="CFD4D8" w:fill="CFD4D8"/>
            <w:vAlign w:val="center"/>
          </w:tcPr>
          <w:p w:rsidR="0073298C" w:rsidRDefault="0073298C" w:rsidP="0073298C">
            <w:pPr>
              <w:spacing w:before="22" w:after="22"/>
              <w:ind w:left="22"/>
              <w:rPr>
                <w:rFonts w:ascii="Arial" w:hAnsi="Arial" w:cs="Arial"/>
                <w:color w:val="000000"/>
                <w:sz w:val="18"/>
                <w:szCs w:val="18"/>
              </w:rPr>
            </w:pPr>
            <w:r>
              <w:rPr>
                <w:rFonts w:ascii="Arial" w:hAnsi="Arial" w:cs="Arial"/>
                <w:color w:val="000000"/>
                <w:sz w:val="18"/>
                <w:szCs w:val="18"/>
              </w:rPr>
              <w:t>$</w:t>
            </w:r>
          </w:p>
        </w:tc>
        <w:tc>
          <w:tcPr>
            <w:tcW w:w="1209" w:type="dxa"/>
            <w:tcBorders>
              <w:top w:val="single" w:sz="6" w:space="0" w:color="000000"/>
              <w:left w:val="nil"/>
              <w:bottom w:val="nil"/>
              <w:right w:val="nil"/>
            </w:tcBorders>
            <w:shd w:val="clear" w:color="CFD4D8" w:fill="CFD4D8"/>
            <w:vAlign w:val="center"/>
          </w:tcPr>
          <w:p w:rsidR="0073298C" w:rsidRDefault="0073298C" w:rsidP="0073298C">
            <w:pPr>
              <w:spacing w:before="22" w:after="22"/>
              <w:jc w:val="right"/>
              <w:rPr>
                <w:rFonts w:ascii="Arial" w:hAnsi="Arial" w:cs="Arial"/>
                <w:color w:val="000000"/>
                <w:sz w:val="18"/>
                <w:szCs w:val="18"/>
              </w:rPr>
            </w:pPr>
            <w:r>
              <w:rPr>
                <w:rFonts w:ascii="Arial" w:hAnsi="Arial" w:cs="Arial"/>
                <w:color w:val="000000"/>
                <w:sz w:val="18"/>
                <w:szCs w:val="18"/>
              </w:rPr>
              <w:t>74,224</w:t>
            </w:r>
          </w:p>
        </w:tc>
        <w:tc>
          <w:tcPr>
            <w:tcW w:w="180" w:type="dxa"/>
            <w:tcBorders>
              <w:top w:val="single" w:sz="6" w:space="0" w:color="000000"/>
              <w:left w:val="nil"/>
              <w:bottom w:val="nil"/>
              <w:right w:val="nil"/>
            </w:tcBorders>
            <w:shd w:val="clear" w:color="CFD4D8" w:fill="CFD4D8"/>
            <w:vAlign w:val="bottom"/>
          </w:tcPr>
          <w:p w:rsidR="0073298C" w:rsidRDefault="0073298C" w:rsidP="0073298C">
            <w:pPr>
              <w:spacing w:before="22" w:after="22"/>
              <w:jc w:val="right"/>
              <w:rPr>
                <w:rFonts w:ascii="Arial" w:hAnsi="Arial" w:cs="Arial"/>
                <w:color w:val="000000"/>
                <w:sz w:val="18"/>
                <w:szCs w:val="18"/>
              </w:rPr>
            </w:pPr>
          </w:p>
          <w:p w:rsidR="0073298C" w:rsidRDefault="0073298C" w:rsidP="0073298C">
            <w:pPr>
              <w:rPr>
                <w:sz w:val="16"/>
                <w:szCs w:val="16"/>
              </w:rPr>
            </w:pPr>
            <w:r>
              <w:rPr>
                <w:sz w:val="16"/>
                <w:szCs w:val="16"/>
              </w:rPr>
              <w:t> </w:t>
            </w:r>
          </w:p>
        </w:tc>
        <w:tc>
          <w:tcPr>
            <w:tcW w:w="103" w:type="dxa"/>
            <w:tcBorders>
              <w:top w:val="single" w:sz="6" w:space="0" w:color="000000"/>
              <w:left w:val="nil"/>
              <w:bottom w:val="nil"/>
              <w:right w:val="nil"/>
            </w:tcBorders>
            <w:shd w:val="clear" w:color="CFD4D8" w:fill="CFD4D8"/>
            <w:vAlign w:val="bottom"/>
          </w:tcPr>
          <w:p w:rsidR="0073298C" w:rsidRDefault="0073298C" w:rsidP="0073298C">
            <w:pPr>
              <w:spacing w:before="22" w:after="22"/>
              <w:ind w:left="22" w:right="22"/>
              <w:rPr>
                <w:color w:val="000000"/>
              </w:rPr>
            </w:pPr>
            <w:r>
              <w:rPr>
                <w:color w:val="000000"/>
              </w:rPr>
              <w:t> </w:t>
            </w:r>
          </w:p>
        </w:tc>
        <w:tc>
          <w:tcPr>
            <w:tcW w:w="120" w:type="dxa"/>
            <w:tcBorders>
              <w:top w:val="single" w:sz="6" w:space="0" w:color="000000"/>
              <w:left w:val="nil"/>
              <w:bottom w:val="nil"/>
              <w:right w:val="nil"/>
            </w:tcBorders>
            <w:shd w:val="clear" w:color="CFD4D8" w:fill="CFD4D8"/>
            <w:vAlign w:val="center"/>
          </w:tcPr>
          <w:p w:rsidR="0073298C" w:rsidRDefault="0073298C" w:rsidP="0073298C">
            <w:pPr>
              <w:spacing w:before="22" w:after="22"/>
              <w:ind w:left="22"/>
              <w:rPr>
                <w:rFonts w:ascii="Arial" w:hAnsi="Arial" w:cs="Arial"/>
                <w:color w:val="000000"/>
                <w:sz w:val="18"/>
                <w:szCs w:val="18"/>
              </w:rPr>
            </w:pPr>
            <w:r>
              <w:rPr>
                <w:rFonts w:ascii="Arial" w:hAnsi="Arial" w:cs="Arial"/>
                <w:color w:val="000000"/>
                <w:sz w:val="18"/>
                <w:szCs w:val="18"/>
              </w:rPr>
              <w:t>$</w:t>
            </w:r>
          </w:p>
        </w:tc>
        <w:tc>
          <w:tcPr>
            <w:tcW w:w="1197" w:type="dxa"/>
            <w:tcBorders>
              <w:top w:val="single" w:sz="6" w:space="0" w:color="000000"/>
              <w:left w:val="nil"/>
              <w:bottom w:val="nil"/>
              <w:right w:val="nil"/>
            </w:tcBorders>
            <w:shd w:val="clear" w:color="CFD4D8" w:fill="CFD4D8"/>
            <w:vAlign w:val="center"/>
          </w:tcPr>
          <w:p w:rsidR="0073298C" w:rsidRDefault="0073298C" w:rsidP="0073298C">
            <w:pPr>
              <w:spacing w:before="22" w:after="22"/>
              <w:jc w:val="right"/>
              <w:rPr>
                <w:rFonts w:ascii="Arial" w:hAnsi="Arial" w:cs="Arial"/>
                <w:color w:val="000000"/>
                <w:sz w:val="18"/>
                <w:szCs w:val="18"/>
              </w:rPr>
            </w:pPr>
            <w:r>
              <w:rPr>
                <w:rFonts w:ascii="Arial" w:hAnsi="Arial" w:cs="Arial"/>
                <w:color w:val="000000"/>
                <w:sz w:val="18"/>
                <w:szCs w:val="18"/>
              </w:rPr>
              <w:t>5,036</w:t>
            </w:r>
          </w:p>
        </w:tc>
        <w:tc>
          <w:tcPr>
            <w:tcW w:w="180" w:type="dxa"/>
            <w:tcBorders>
              <w:top w:val="single" w:sz="6" w:space="0" w:color="000000"/>
              <w:left w:val="nil"/>
              <w:bottom w:val="nil"/>
              <w:right w:val="nil"/>
            </w:tcBorders>
            <w:shd w:val="clear" w:color="CFD4D8" w:fill="CFD4D8"/>
            <w:vAlign w:val="bottom"/>
          </w:tcPr>
          <w:p w:rsidR="0073298C" w:rsidRDefault="0073298C" w:rsidP="0073298C">
            <w:pPr>
              <w:spacing w:before="22" w:after="22"/>
              <w:jc w:val="right"/>
              <w:rPr>
                <w:rFonts w:ascii="Arial" w:hAnsi="Arial" w:cs="Arial"/>
                <w:color w:val="000000"/>
                <w:sz w:val="18"/>
                <w:szCs w:val="18"/>
              </w:rPr>
            </w:pPr>
          </w:p>
          <w:p w:rsidR="0073298C" w:rsidRDefault="0073298C" w:rsidP="0073298C">
            <w:pPr>
              <w:rPr>
                <w:sz w:val="16"/>
                <w:szCs w:val="16"/>
              </w:rPr>
            </w:pPr>
            <w:r>
              <w:rPr>
                <w:sz w:val="16"/>
                <w:szCs w:val="16"/>
              </w:rPr>
              <w:t> </w:t>
            </w:r>
          </w:p>
        </w:tc>
        <w:tc>
          <w:tcPr>
            <w:tcW w:w="103" w:type="dxa"/>
            <w:tcBorders>
              <w:top w:val="single" w:sz="6" w:space="0" w:color="000000"/>
              <w:left w:val="nil"/>
              <w:bottom w:val="nil"/>
              <w:right w:val="nil"/>
            </w:tcBorders>
            <w:shd w:val="clear" w:color="CFD4D8" w:fill="CFD4D8"/>
            <w:vAlign w:val="bottom"/>
          </w:tcPr>
          <w:p w:rsidR="0073298C" w:rsidRDefault="0073298C" w:rsidP="0073298C">
            <w:pPr>
              <w:spacing w:before="22" w:after="22"/>
              <w:ind w:left="22" w:right="22"/>
              <w:rPr>
                <w:color w:val="000000"/>
              </w:rPr>
            </w:pPr>
            <w:r>
              <w:rPr>
                <w:color w:val="000000"/>
              </w:rPr>
              <w:t> </w:t>
            </w:r>
          </w:p>
        </w:tc>
        <w:tc>
          <w:tcPr>
            <w:tcW w:w="120" w:type="dxa"/>
            <w:tcBorders>
              <w:top w:val="single" w:sz="6" w:space="0" w:color="000000"/>
              <w:left w:val="nil"/>
              <w:bottom w:val="nil"/>
              <w:right w:val="nil"/>
            </w:tcBorders>
            <w:shd w:val="clear" w:color="CFD4D8" w:fill="CFD4D8"/>
            <w:vAlign w:val="center"/>
          </w:tcPr>
          <w:p w:rsidR="0073298C" w:rsidRDefault="0073298C" w:rsidP="0073298C">
            <w:pPr>
              <w:spacing w:before="22" w:after="22"/>
              <w:ind w:left="22"/>
              <w:rPr>
                <w:rFonts w:ascii="Arial" w:hAnsi="Arial" w:cs="Arial"/>
                <w:color w:val="000000"/>
                <w:sz w:val="18"/>
                <w:szCs w:val="18"/>
              </w:rPr>
            </w:pPr>
            <w:r>
              <w:rPr>
                <w:rFonts w:ascii="Arial" w:hAnsi="Arial" w:cs="Arial"/>
                <w:color w:val="000000"/>
                <w:sz w:val="18"/>
                <w:szCs w:val="18"/>
              </w:rPr>
              <w:t>$</w:t>
            </w:r>
          </w:p>
        </w:tc>
        <w:tc>
          <w:tcPr>
            <w:tcW w:w="1197" w:type="dxa"/>
            <w:tcBorders>
              <w:top w:val="single" w:sz="6" w:space="0" w:color="000000"/>
              <w:left w:val="nil"/>
              <w:bottom w:val="nil"/>
              <w:right w:val="nil"/>
            </w:tcBorders>
            <w:shd w:val="clear" w:color="CFD4D8" w:fill="CFD4D8"/>
            <w:vAlign w:val="center"/>
          </w:tcPr>
          <w:p w:rsidR="0073298C" w:rsidRDefault="0073298C" w:rsidP="0073298C">
            <w:pPr>
              <w:spacing w:before="22" w:after="22"/>
              <w:jc w:val="right"/>
              <w:rPr>
                <w:rFonts w:ascii="Arial" w:hAnsi="Arial" w:cs="Arial"/>
                <w:color w:val="000000"/>
                <w:sz w:val="18"/>
                <w:szCs w:val="18"/>
              </w:rPr>
            </w:pPr>
            <w:r>
              <w:rPr>
                <w:rFonts w:ascii="Arial" w:hAnsi="Arial" w:cs="Arial"/>
                <w:color w:val="000000"/>
                <w:sz w:val="18"/>
                <w:szCs w:val="18"/>
              </w:rPr>
              <w:t>4,695</w:t>
            </w:r>
          </w:p>
        </w:tc>
        <w:tc>
          <w:tcPr>
            <w:tcW w:w="183" w:type="dxa"/>
            <w:tcBorders>
              <w:top w:val="single" w:sz="6" w:space="0" w:color="000000"/>
              <w:left w:val="nil"/>
              <w:bottom w:val="nil"/>
              <w:right w:val="nil"/>
            </w:tcBorders>
            <w:shd w:val="clear" w:color="CFD4D8" w:fill="CFD4D8"/>
            <w:vAlign w:val="bottom"/>
          </w:tcPr>
          <w:p w:rsidR="0073298C" w:rsidRDefault="0073298C" w:rsidP="0073298C">
            <w:pPr>
              <w:spacing w:before="22" w:after="22"/>
              <w:jc w:val="right"/>
              <w:rPr>
                <w:rFonts w:ascii="Arial" w:hAnsi="Arial" w:cs="Arial"/>
                <w:color w:val="000000"/>
                <w:sz w:val="18"/>
                <w:szCs w:val="18"/>
              </w:rPr>
            </w:pPr>
          </w:p>
          <w:p w:rsidR="0073298C" w:rsidRDefault="0073298C" w:rsidP="0073298C">
            <w:pPr>
              <w:rPr>
                <w:sz w:val="16"/>
                <w:szCs w:val="16"/>
              </w:rPr>
            </w:pPr>
            <w:r>
              <w:rPr>
                <w:sz w:val="16"/>
                <w:szCs w:val="16"/>
              </w:rPr>
              <w:t> </w:t>
            </w:r>
          </w:p>
        </w:tc>
        <w:tc>
          <w:tcPr>
            <w:tcW w:w="103" w:type="dxa"/>
            <w:tcBorders>
              <w:top w:val="single" w:sz="6" w:space="0" w:color="00467E"/>
              <w:left w:val="nil"/>
              <w:bottom w:val="nil"/>
              <w:right w:val="nil"/>
            </w:tcBorders>
            <w:shd w:val="clear" w:color="00467E" w:fill="00467E"/>
            <w:vAlign w:val="bottom"/>
          </w:tcPr>
          <w:p w:rsidR="0073298C" w:rsidRDefault="0073298C" w:rsidP="0073298C">
            <w:pPr>
              <w:spacing w:before="22" w:after="22"/>
              <w:ind w:left="22" w:right="22"/>
              <w:rPr>
                <w:color w:val="000000"/>
              </w:rPr>
            </w:pPr>
            <w:r>
              <w:rPr>
                <w:color w:val="000000"/>
              </w:rPr>
              <w:t> </w:t>
            </w:r>
          </w:p>
        </w:tc>
        <w:tc>
          <w:tcPr>
            <w:tcW w:w="1025" w:type="dxa"/>
            <w:tcBorders>
              <w:top w:val="single" w:sz="6" w:space="0" w:color="000000"/>
              <w:left w:val="nil"/>
              <w:bottom w:val="nil"/>
              <w:right w:val="nil"/>
            </w:tcBorders>
            <w:shd w:val="clear" w:color="CFD4D8" w:fill="CFD4D8"/>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1,373.9</w:t>
            </w:r>
          </w:p>
        </w:tc>
        <w:tc>
          <w:tcPr>
            <w:tcW w:w="360" w:type="dxa"/>
            <w:tcBorders>
              <w:top w:val="single" w:sz="6" w:space="0" w:color="000000"/>
              <w:left w:val="nil"/>
              <w:bottom w:val="nil"/>
              <w:right w:val="nil"/>
            </w:tcBorders>
            <w:shd w:val="clear" w:color="CFD4D8" w:fill="CFD4D8"/>
            <w:vAlign w:val="center"/>
          </w:tcPr>
          <w:p w:rsidR="0073298C" w:rsidRDefault="0073298C" w:rsidP="0073298C">
            <w:pPr>
              <w:spacing w:before="22" w:after="22"/>
              <w:ind w:right="22"/>
              <w:rPr>
                <w:rFonts w:ascii="Arial" w:hAnsi="Arial" w:cs="Arial"/>
                <w:color w:val="000000"/>
                <w:sz w:val="18"/>
                <w:szCs w:val="18"/>
              </w:rPr>
            </w:pPr>
            <w:r>
              <w:rPr>
                <w:rFonts w:ascii="Arial" w:hAnsi="Arial" w:cs="Arial"/>
                <w:color w:val="000000"/>
                <w:sz w:val="18"/>
                <w:szCs w:val="18"/>
              </w:rPr>
              <w:t> %</w:t>
            </w:r>
          </w:p>
        </w:tc>
        <w:tc>
          <w:tcPr>
            <w:tcW w:w="103" w:type="dxa"/>
            <w:tcBorders>
              <w:top w:val="single" w:sz="6" w:space="0" w:color="000000"/>
              <w:left w:val="nil"/>
              <w:bottom w:val="nil"/>
              <w:right w:val="nil"/>
            </w:tcBorders>
            <w:shd w:val="clear" w:color="CFD4D8" w:fill="CFD4D8"/>
            <w:vAlign w:val="bottom"/>
          </w:tcPr>
          <w:p w:rsidR="0073298C" w:rsidRDefault="0073298C" w:rsidP="0073298C">
            <w:pPr>
              <w:spacing w:before="22" w:after="22"/>
              <w:ind w:left="22" w:right="22"/>
              <w:rPr>
                <w:color w:val="000000"/>
              </w:rPr>
            </w:pPr>
            <w:r>
              <w:rPr>
                <w:color w:val="000000"/>
              </w:rPr>
              <w:t> </w:t>
            </w:r>
          </w:p>
        </w:tc>
        <w:tc>
          <w:tcPr>
            <w:tcW w:w="983" w:type="dxa"/>
            <w:tcBorders>
              <w:top w:val="single" w:sz="6" w:space="0" w:color="000000"/>
              <w:left w:val="nil"/>
              <w:bottom w:val="nil"/>
              <w:right w:val="nil"/>
            </w:tcBorders>
            <w:shd w:val="clear" w:color="CFD4D8" w:fill="CFD4D8"/>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7.3</w:t>
            </w:r>
          </w:p>
        </w:tc>
        <w:tc>
          <w:tcPr>
            <w:tcW w:w="367" w:type="dxa"/>
            <w:gridSpan w:val="2"/>
            <w:tcBorders>
              <w:top w:val="single" w:sz="6" w:space="0" w:color="000000"/>
              <w:left w:val="nil"/>
              <w:bottom w:val="nil"/>
              <w:right w:val="single" w:sz="6" w:space="0" w:color="00467E"/>
            </w:tcBorders>
            <w:shd w:val="clear" w:color="CFD4D8" w:fill="CFD4D8"/>
            <w:vAlign w:val="center"/>
          </w:tcPr>
          <w:p w:rsidR="0073298C" w:rsidRDefault="0073298C" w:rsidP="0073298C">
            <w:pPr>
              <w:spacing w:before="22" w:after="22"/>
              <w:ind w:right="22"/>
              <w:rPr>
                <w:rFonts w:ascii="Arial" w:hAnsi="Arial" w:cs="Arial"/>
                <w:color w:val="000000"/>
                <w:sz w:val="18"/>
                <w:szCs w:val="18"/>
              </w:rPr>
            </w:pPr>
            <w:r>
              <w:rPr>
                <w:rFonts w:ascii="Arial" w:hAnsi="Arial" w:cs="Arial"/>
                <w:color w:val="000000"/>
                <w:sz w:val="18"/>
                <w:szCs w:val="18"/>
              </w:rPr>
              <w:t> %</w:t>
            </w:r>
          </w:p>
        </w:tc>
      </w:tr>
      <w:tr w:rsidR="0073298C" w:rsidTr="000E3B20">
        <w:tblPrEx>
          <w:tblCellMar>
            <w:top w:w="0" w:type="dxa"/>
            <w:left w:w="0" w:type="dxa"/>
            <w:bottom w:w="0" w:type="dxa"/>
            <w:right w:w="0" w:type="dxa"/>
          </w:tblCellMar>
        </w:tblPrEx>
        <w:trPr>
          <w:trHeight w:val="298"/>
        </w:trPr>
        <w:tc>
          <w:tcPr>
            <w:tcW w:w="3150" w:type="dxa"/>
            <w:tcBorders>
              <w:top w:val="nil"/>
              <w:left w:val="single" w:sz="6" w:space="0" w:color="00467E"/>
              <w:bottom w:val="nil"/>
              <w:right w:val="nil"/>
            </w:tcBorders>
            <w:vAlign w:val="center"/>
          </w:tcPr>
          <w:p w:rsidR="0073298C" w:rsidRDefault="0073298C" w:rsidP="0073298C">
            <w:pPr>
              <w:spacing w:before="22" w:after="22"/>
              <w:ind w:left="330" w:right="22"/>
              <w:rPr>
                <w:rFonts w:ascii="Arial" w:hAnsi="Arial" w:cs="Arial"/>
                <w:color w:val="000000"/>
                <w:sz w:val="18"/>
                <w:szCs w:val="18"/>
              </w:rPr>
            </w:pPr>
            <w:r>
              <w:rPr>
                <w:rFonts w:ascii="Arial" w:hAnsi="Arial" w:cs="Arial"/>
                <w:color w:val="000000"/>
                <w:sz w:val="18"/>
                <w:szCs w:val="18"/>
              </w:rPr>
              <w:t>% of total revenue</w:t>
            </w:r>
          </w:p>
        </w:tc>
        <w:tc>
          <w:tcPr>
            <w:tcW w:w="1329" w:type="dxa"/>
            <w:gridSpan w:val="2"/>
            <w:tcBorders>
              <w:top w:val="nil"/>
              <w:left w:val="nil"/>
              <w:bottom w:val="nil"/>
              <w:right w:val="nil"/>
            </w:tcBorders>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3.1</w:t>
            </w:r>
          </w:p>
        </w:tc>
        <w:tc>
          <w:tcPr>
            <w:tcW w:w="180" w:type="dxa"/>
            <w:tcBorders>
              <w:top w:val="nil"/>
              <w:left w:val="nil"/>
              <w:bottom w:val="nil"/>
              <w:right w:val="nil"/>
            </w:tcBorders>
            <w:vAlign w:val="center"/>
          </w:tcPr>
          <w:p w:rsidR="0073298C" w:rsidRDefault="0073298C" w:rsidP="0073298C">
            <w:pPr>
              <w:spacing w:before="22" w:after="22"/>
              <w:ind w:right="22"/>
              <w:rPr>
                <w:rFonts w:ascii="Arial" w:hAnsi="Arial" w:cs="Arial"/>
                <w:color w:val="000000"/>
                <w:sz w:val="18"/>
                <w:szCs w:val="18"/>
              </w:rPr>
            </w:pPr>
            <w:r>
              <w:rPr>
                <w:rFonts w:ascii="Arial" w:hAnsi="Arial" w:cs="Arial"/>
                <w:color w:val="000000"/>
                <w:sz w:val="18"/>
                <w:szCs w:val="18"/>
              </w:rPr>
              <w:t>%</w:t>
            </w:r>
          </w:p>
        </w:tc>
        <w:tc>
          <w:tcPr>
            <w:tcW w:w="103" w:type="dxa"/>
            <w:tcBorders>
              <w:top w:val="nil"/>
              <w:left w:val="nil"/>
              <w:bottom w:val="nil"/>
              <w:right w:val="nil"/>
            </w:tcBorders>
            <w:vAlign w:val="bottom"/>
          </w:tcPr>
          <w:p w:rsidR="0073298C" w:rsidRDefault="0073298C" w:rsidP="0073298C">
            <w:pPr>
              <w:spacing w:before="22" w:after="22"/>
              <w:ind w:left="22" w:right="22"/>
              <w:rPr>
                <w:color w:val="000000"/>
              </w:rPr>
            </w:pPr>
            <w:r>
              <w:rPr>
                <w:color w:val="000000"/>
              </w:rPr>
              <w:t> </w:t>
            </w:r>
          </w:p>
        </w:tc>
        <w:tc>
          <w:tcPr>
            <w:tcW w:w="1317" w:type="dxa"/>
            <w:gridSpan w:val="2"/>
            <w:tcBorders>
              <w:top w:val="nil"/>
              <w:left w:val="nil"/>
              <w:bottom w:val="nil"/>
              <w:right w:val="nil"/>
            </w:tcBorders>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0.5</w:t>
            </w:r>
          </w:p>
        </w:tc>
        <w:tc>
          <w:tcPr>
            <w:tcW w:w="180" w:type="dxa"/>
            <w:tcBorders>
              <w:top w:val="nil"/>
              <w:left w:val="nil"/>
              <w:bottom w:val="nil"/>
              <w:right w:val="nil"/>
            </w:tcBorders>
            <w:vAlign w:val="center"/>
          </w:tcPr>
          <w:p w:rsidR="0073298C" w:rsidRDefault="0073298C" w:rsidP="0073298C">
            <w:pPr>
              <w:spacing w:before="22" w:after="22"/>
              <w:ind w:right="22"/>
              <w:rPr>
                <w:rFonts w:ascii="Arial" w:hAnsi="Arial" w:cs="Arial"/>
                <w:color w:val="000000"/>
                <w:sz w:val="18"/>
                <w:szCs w:val="18"/>
              </w:rPr>
            </w:pPr>
            <w:r>
              <w:rPr>
                <w:rFonts w:ascii="Arial" w:hAnsi="Arial" w:cs="Arial"/>
                <w:color w:val="000000"/>
                <w:sz w:val="18"/>
                <w:szCs w:val="18"/>
              </w:rPr>
              <w:t>%</w:t>
            </w:r>
          </w:p>
        </w:tc>
        <w:tc>
          <w:tcPr>
            <w:tcW w:w="103" w:type="dxa"/>
            <w:tcBorders>
              <w:top w:val="nil"/>
              <w:left w:val="nil"/>
              <w:bottom w:val="nil"/>
              <w:right w:val="nil"/>
            </w:tcBorders>
            <w:vAlign w:val="bottom"/>
          </w:tcPr>
          <w:p w:rsidR="0073298C" w:rsidRDefault="0073298C" w:rsidP="0073298C">
            <w:pPr>
              <w:spacing w:before="22" w:after="22"/>
              <w:ind w:left="22" w:right="22"/>
              <w:rPr>
                <w:color w:val="000000"/>
              </w:rPr>
            </w:pPr>
            <w:r>
              <w:rPr>
                <w:color w:val="000000"/>
              </w:rPr>
              <w:t> </w:t>
            </w:r>
          </w:p>
        </w:tc>
        <w:tc>
          <w:tcPr>
            <w:tcW w:w="1317" w:type="dxa"/>
            <w:gridSpan w:val="2"/>
            <w:tcBorders>
              <w:top w:val="nil"/>
              <w:left w:val="nil"/>
              <w:bottom w:val="nil"/>
              <w:right w:val="nil"/>
            </w:tcBorders>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0.4</w:t>
            </w:r>
          </w:p>
        </w:tc>
        <w:tc>
          <w:tcPr>
            <w:tcW w:w="183" w:type="dxa"/>
            <w:tcBorders>
              <w:top w:val="nil"/>
              <w:left w:val="nil"/>
              <w:bottom w:val="nil"/>
              <w:right w:val="nil"/>
            </w:tcBorders>
            <w:vAlign w:val="center"/>
          </w:tcPr>
          <w:p w:rsidR="0073298C" w:rsidRDefault="0073298C" w:rsidP="0073298C">
            <w:pPr>
              <w:spacing w:before="22" w:after="22"/>
              <w:ind w:right="22"/>
              <w:rPr>
                <w:rFonts w:ascii="Arial" w:hAnsi="Arial" w:cs="Arial"/>
                <w:color w:val="000000"/>
                <w:sz w:val="18"/>
                <w:szCs w:val="18"/>
              </w:rPr>
            </w:pPr>
            <w:r>
              <w:rPr>
                <w:rFonts w:ascii="Arial" w:hAnsi="Arial" w:cs="Arial"/>
                <w:color w:val="000000"/>
                <w:sz w:val="18"/>
                <w:szCs w:val="18"/>
              </w:rPr>
              <w:t>%</w:t>
            </w:r>
          </w:p>
        </w:tc>
        <w:tc>
          <w:tcPr>
            <w:tcW w:w="103" w:type="dxa"/>
            <w:tcBorders>
              <w:top w:val="single" w:sz="6" w:space="0" w:color="00467E"/>
              <w:left w:val="nil"/>
              <w:bottom w:val="nil"/>
              <w:right w:val="nil"/>
            </w:tcBorders>
            <w:shd w:val="clear" w:color="00467E" w:fill="00467E"/>
            <w:vAlign w:val="bottom"/>
          </w:tcPr>
          <w:p w:rsidR="0073298C" w:rsidRDefault="0073298C" w:rsidP="0073298C">
            <w:pPr>
              <w:spacing w:before="22" w:after="22"/>
              <w:ind w:left="22" w:right="22"/>
              <w:rPr>
                <w:color w:val="000000"/>
              </w:rPr>
            </w:pPr>
            <w:r>
              <w:rPr>
                <w:color w:val="000000"/>
              </w:rPr>
              <w:t> </w:t>
            </w:r>
          </w:p>
        </w:tc>
        <w:tc>
          <w:tcPr>
            <w:tcW w:w="1025" w:type="dxa"/>
            <w:tcBorders>
              <w:top w:val="nil"/>
              <w:left w:val="nil"/>
              <w:bottom w:val="nil"/>
              <w:right w:val="nil"/>
            </w:tcBorders>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260</w:t>
            </w:r>
          </w:p>
        </w:tc>
        <w:tc>
          <w:tcPr>
            <w:tcW w:w="360" w:type="dxa"/>
            <w:tcBorders>
              <w:top w:val="nil"/>
              <w:left w:val="nil"/>
              <w:bottom w:val="nil"/>
              <w:right w:val="nil"/>
            </w:tcBorders>
            <w:vAlign w:val="center"/>
          </w:tcPr>
          <w:p w:rsidR="0073298C" w:rsidRDefault="0073298C" w:rsidP="0073298C">
            <w:pPr>
              <w:spacing w:before="22" w:after="22"/>
              <w:ind w:right="22"/>
              <w:rPr>
                <w:rFonts w:ascii="Arial" w:hAnsi="Arial" w:cs="Arial"/>
                <w:color w:val="000000"/>
                <w:sz w:val="18"/>
                <w:szCs w:val="18"/>
              </w:rPr>
            </w:pPr>
            <w:r>
              <w:rPr>
                <w:rFonts w:ascii="Arial" w:hAnsi="Arial" w:cs="Arial"/>
                <w:color w:val="000000"/>
                <w:sz w:val="18"/>
                <w:szCs w:val="18"/>
              </w:rPr>
              <w:t> bps</w:t>
            </w:r>
          </w:p>
        </w:tc>
        <w:tc>
          <w:tcPr>
            <w:tcW w:w="103" w:type="dxa"/>
            <w:tcBorders>
              <w:top w:val="nil"/>
              <w:left w:val="nil"/>
              <w:bottom w:val="nil"/>
              <w:right w:val="nil"/>
            </w:tcBorders>
            <w:vAlign w:val="bottom"/>
          </w:tcPr>
          <w:p w:rsidR="0073298C" w:rsidRDefault="0073298C" w:rsidP="0073298C">
            <w:pPr>
              <w:spacing w:before="22" w:after="22"/>
              <w:ind w:left="22" w:right="22"/>
              <w:rPr>
                <w:color w:val="000000"/>
              </w:rPr>
            </w:pPr>
            <w:r>
              <w:rPr>
                <w:color w:val="000000"/>
              </w:rPr>
              <w:t> </w:t>
            </w:r>
          </w:p>
        </w:tc>
        <w:tc>
          <w:tcPr>
            <w:tcW w:w="983" w:type="dxa"/>
            <w:tcBorders>
              <w:top w:val="nil"/>
              <w:left w:val="nil"/>
              <w:bottom w:val="nil"/>
              <w:right w:val="nil"/>
            </w:tcBorders>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10</w:t>
            </w:r>
          </w:p>
        </w:tc>
        <w:tc>
          <w:tcPr>
            <w:tcW w:w="367" w:type="dxa"/>
            <w:gridSpan w:val="2"/>
            <w:tcBorders>
              <w:top w:val="nil"/>
              <w:left w:val="nil"/>
              <w:bottom w:val="nil"/>
              <w:right w:val="single" w:sz="6" w:space="0" w:color="00467E"/>
            </w:tcBorders>
            <w:vAlign w:val="center"/>
          </w:tcPr>
          <w:p w:rsidR="0073298C" w:rsidRDefault="0073298C" w:rsidP="0073298C">
            <w:pPr>
              <w:spacing w:before="22" w:after="22"/>
              <w:ind w:right="22"/>
              <w:rPr>
                <w:rFonts w:ascii="Arial" w:hAnsi="Arial" w:cs="Arial"/>
                <w:color w:val="000000"/>
                <w:sz w:val="18"/>
                <w:szCs w:val="18"/>
              </w:rPr>
            </w:pPr>
            <w:r>
              <w:rPr>
                <w:rFonts w:ascii="Arial" w:hAnsi="Arial" w:cs="Arial"/>
                <w:color w:val="000000"/>
                <w:sz w:val="18"/>
                <w:szCs w:val="18"/>
              </w:rPr>
              <w:t> bps</w:t>
            </w:r>
          </w:p>
        </w:tc>
      </w:tr>
      <w:tr w:rsidR="0073298C" w:rsidTr="000E3B20">
        <w:tblPrEx>
          <w:tblCellMar>
            <w:top w:w="0" w:type="dxa"/>
            <w:left w:w="0" w:type="dxa"/>
            <w:bottom w:w="0" w:type="dxa"/>
            <w:right w:w="0" w:type="dxa"/>
          </w:tblCellMar>
        </w:tblPrEx>
        <w:trPr>
          <w:trHeight w:val="479"/>
        </w:trPr>
        <w:tc>
          <w:tcPr>
            <w:tcW w:w="3150" w:type="dxa"/>
            <w:tcBorders>
              <w:top w:val="nil"/>
              <w:left w:val="single" w:sz="6" w:space="0" w:color="00467E"/>
              <w:bottom w:val="single" w:sz="6" w:space="0" w:color="00467E"/>
              <w:right w:val="nil"/>
            </w:tcBorders>
            <w:shd w:val="clear" w:color="CFD4D8" w:fill="CFD4D8"/>
            <w:vAlign w:val="center"/>
          </w:tcPr>
          <w:p w:rsidR="0073298C" w:rsidRDefault="0073298C" w:rsidP="0073298C">
            <w:pPr>
              <w:spacing w:before="22" w:after="22"/>
              <w:ind w:left="330" w:right="22"/>
              <w:rPr>
                <w:rFonts w:ascii="Arial" w:hAnsi="Arial" w:cs="Arial"/>
                <w:color w:val="000000"/>
                <w:sz w:val="18"/>
                <w:szCs w:val="18"/>
              </w:rPr>
            </w:pPr>
            <w:r>
              <w:rPr>
                <w:rFonts w:ascii="Arial" w:hAnsi="Arial" w:cs="Arial"/>
                <w:color w:val="000000"/>
                <w:sz w:val="18"/>
                <w:szCs w:val="18"/>
              </w:rPr>
              <w:t>% of revenue before fuel surcharge</w:t>
            </w:r>
          </w:p>
        </w:tc>
        <w:tc>
          <w:tcPr>
            <w:tcW w:w="1329" w:type="dxa"/>
            <w:gridSpan w:val="2"/>
            <w:tcBorders>
              <w:top w:val="nil"/>
              <w:left w:val="nil"/>
              <w:bottom w:val="single" w:sz="6" w:space="0" w:color="00467E"/>
              <w:right w:val="nil"/>
            </w:tcBorders>
            <w:shd w:val="clear" w:color="CFD4D8" w:fill="CFD4D8"/>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3.4</w:t>
            </w:r>
          </w:p>
        </w:tc>
        <w:tc>
          <w:tcPr>
            <w:tcW w:w="180" w:type="dxa"/>
            <w:tcBorders>
              <w:top w:val="nil"/>
              <w:left w:val="nil"/>
              <w:bottom w:val="single" w:sz="6" w:space="0" w:color="00467E"/>
              <w:right w:val="nil"/>
            </w:tcBorders>
            <w:shd w:val="clear" w:color="CFD4D8" w:fill="CFD4D8"/>
            <w:vAlign w:val="center"/>
          </w:tcPr>
          <w:p w:rsidR="0073298C" w:rsidRDefault="0073298C" w:rsidP="0073298C">
            <w:pPr>
              <w:spacing w:before="22" w:after="22"/>
              <w:ind w:right="22"/>
              <w:rPr>
                <w:rFonts w:ascii="Arial" w:hAnsi="Arial" w:cs="Arial"/>
                <w:color w:val="000000"/>
                <w:sz w:val="18"/>
                <w:szCs w:val="18"/>
              </w:rPr>
            </w:pPr>
            <w:r>
              <w:rPr>
                <w:rFonts w:ascii="Arial" w:hAnsi="Arial" w:cs="Arial"/>
                <w:color w:val="000000"/>
                <w:sz w:val="18"/>
                <w:szCs w:val="18"/>
              </w:rPr>
              <w:t>%</w:t>
            </w:r>
          </w:p>
        </w:tc>
        <w:tc>
          <w:tcPr>
            <w:tcW w:w="103" w:type="dxa"/>
            <w:tcBorders>
              <w:top w:val="nil"/>
              <w:left w:val="nil"/>
              <w:bottom w:val="single" w:sz="6" w:space="0" w:color="00467E"/>
              <w:right w:val="nil"/>
            </w:tcBorders>
            <w:shd w:val="clear" w:color="CFD4D8" w:fill="CFD4D8"/>
            <w:vAlign w:val="bottom"/>
          </w:tcPr>
          <w:p w:rsidR="0073298C" w:rsidRDefault="0073298C" w:rsidP="0073298C">
            <w:pPr>
              <w:spacing w:before="22" w:after="22"/>
              <w:ind w:left="22" w:right="22"/>
              <w:rPr>
                <w:color w:val="000000"/>
              </w:rPr>
            </w:pPr>
            <w:r>
              <w:rPr>
                <w:color w:val="000000"/>
              </w:rPr>
              <w:t> </w:t>
            </w:r>
          </w:p>
        </w:tc>
        <w:tc>
          <w:tcPr>
            <w:tcW w:w="1317" w:type="dxa"/>
            <w:gridSpan w:val="2"/>
            <w:tcBorders>
              <w:top w:val="nil"/>
              <w:left w:val="nil"/>
              <w:bottom w:val="single" w:sz="6" w:space="0" w:color="00467E"/>
              <w:right w:val="nil"/>
            </w:tcBorders>
            <w:shd w:val="clear" w:color="CFD4D8" w:fill="CFD4D8"/>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0.5</w:t>
            </w:r>
          </w:p>
        </w:tc>
        <w:tc>
          <w:tcPr>
            <w:tcW w:w="180" w:type="dxa"/>
            <w:tcBorders>
              <w:top w:val="nil"/>
              <w:left w:val="nil"/>
              <w:bottom w:val="single" w:sz="6" w:space="0" w:color="00467E"/>
              <w:right w:val="nil"/>
            </w:tcBorders>
            <w:shd w:val="clear" w:color="CFD4D8" w:fill="CFD4D8"/>
            <w:vAlign w:val="center"/>
          </w:tcPr>
          <w:p w:rsidR="0073298C" w:rsidRDefault="0073298C" w:rsidP="0073298C">
            <w:pPr>
              <w:spacing w:before="22" w:after="22"/>
              <w:ind w:right="22"/>
              <w:rPr>
                <w:rFonts w:ascii="Arial" w:hAnsi="Arial" w:cs="Arial"/>
                <w:color w:val="000000"/>
                <w:sz w:val="18"/>
                <w:szCs w:val="18"/>
              </w:rPr>
            </w:pPr>
            <w:r>
              <w:rPr>
                <w:rFonts w:ascii="Arial" w:hAnsi="Arial" w:cs="Arial"/>
                <w:color w:val="000000"/>
                <w:sz w:val="18"/>
                <w:szCs w:val="18"/>
              </w:rPr>
              <w:t>%</w:t>
            </w:r>
          </w:p>
        </w:tc>
        <w:tc>
          <w:tcPr>
            <w:tcW w:w="103" w:type="dxa"/>
            <w:tcBorders>
              <w:top w:val="nil"/>
              <w:left w:val="nil"/>
              <w:bottom w:val="single" w:sz="6" w:space="0" w:color="00467E"/>
              <w:right w:val="nil"/>
            </w:tcBorders>
            <w:shd w:val="clear" w:color="CFD4D8" w:fill="CFD4D8"/>
            <w:vAlign w:val="bottom"/>
          </w:tcPr>
          <w:p w:rsidR="0073298C" w:rsidRDefault="0073298C" w:rsidP="0073298C">
            <w:pPr>
              <w:spacing w:before="22" w:after="22"/>
              <w:ind w:left="22" w:right="22"/>
              <w:rPr>
                <w:color w:val="000000"/>
              </w:rPr>
            </w:pPr>
            <w:r>
              <w:rPr>
                <w:color w:val="000000"/>
              </w:rPr>
              <w:t> </w:t>
            </w:r>
          </w:p>
        </w:tc>
        <w:tc>
          <w:tcPr>
            <w:tcW w:w="1317" w:type="dxa"/>
            <w:gridSpan w:val="2"/>
            <w:tcBorders>
              <w:top w:val="nil"/>
              <w:left w:val="nil"/>
              <w:bottom w:val="single" w:sz="6" w:space="0" w:color="00467E"/>
              <w:right w:val="nil"/>
            </w:tcBorders>
            <w:shd w:val="clear" w:color="CFD4D8" w:fill="CFD4D8"/>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0.4</w:t>
            </w:r>
          </w:p>
        </w:tc>
        <w:tc>
          <w:tcPr>
            <w:tcW w:w="183" w:type="dxa"/>
            <w:tcBorders>
              <w:top w:val="nil"/>
              <w:left w:val="nil"/>
              <w:bottom w:val="single" w:sz="6" w:space="0" w:color="00467E"/>
              <w:right w:val="nil"/>
            </w:tcBorders>
            <w:shd w:val="clear" w:color="CFD4D8" w:fill="CFD4D8"/>
            <w:vAlign w:val="center"/>
          </w:tcPr>
          <w:p w:rsidR="0073298C" w:rsidRDefault="0073298C" w:rsidP="0073298C">
            <w:pPr>
              <w:spacing w:before="22" w:after="22"/>
              <w:ind w:right="22"/>
              <w:rPr>
                <w:rFonts w:ascii="Arial" w:hAnsi="Arial" w:cs="Arial"/>
                <w:color w:val="000000"/>
                <w:sz w:val="18"/>
                <w:szCs w:val="18"/>
              </w:rPr>
            </w:pPr>
            <w:r>
              <w:rPr>
                <w:rFonts w:ascii="Arial" w:hAnsi="Arial" w:cs="Arial"/>
                <w:color w:val="000000"/>
                <w:sz w:val="18"/>
                <w:szCs w:val="18"/>
              </w:rPr>
              <w:t>%</w:t>
            </w:r>
          </w:p>
        </w:tc>
        <w:tc>
          <w:tcPr>
            <w:tcW w:w="103" w:type="dxa"/>
            <w:tcBorders>
              <w:top w:val="single" w:sz="6" w:space="0" w:color="00467E"/>
              <w:left w:val="nil"/>
              <w:bottom w:val="single" w:sz="6" w:space="0" w:color="00467E"/>
              <w:right w:val="nil"/>
            </w:tcBorders>
            <w:shd w:val="clear" w:color="00467E" w:fill="00467E"/>
            <w:vAlign w:val="bottom"/>
          </w:tcPr>
          <w:p w:rsidR="0073298C" w:rsidRDefault="0073298C" w:rsidP="0073298C">
            <w:pPr>
              <w:spacing w:before="22" w:after="22"/>
              <w:ind w:left="22" w:right="22"/>
              <w:rPr>
                <w:color w:val="000000"/>
              </w:rPr>
            </w:pPr>
            <w:r>
              <w:rPr>
                <w:color w:val="000000"/>
              </w:rPr>
              <w:t> </w:t>
            </w:r>
          </w:p>
        </w:tc>
        <w:tc>
          <w:tcPr>
            <w:tcW w:w="1025" w:type="dxa"/>
            <w:tcBorders>
              <w:top w:val="nil"/>
              <w:left w:val="nil"/>
              <w:bottom w:val="single" w:sz="6" w:space="0" w:color="00467E"/>
              <w:right w:val="nil"/>
            </w:tcBorders>
            <w:shd w:val="clear" w:color="CFD4D8" w:fill="CFD4D8"/>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290</w:t>
            </w:r>
          </w:p>
        </w:tc>
        <w:tc>
          <w:tcPr>
            <w:tcW w:w="360" w:type="dxa"/>
            <w:tcBorders>
              <w:top w:val="nil"/>
              <w:left w:val="nil"/>
              <w:bottom w:val="single" w:sz="6" w:space="0" w:color="00467E"/>
              <w:right w:val="nil"/>
            </w:tcBorders>
            <w:shd w:val="clear" w:color="CFD4D8" w:fill="CFD4D8"/>
            <w:vAlign w:val="center"/>
          </w:tcPr>
          <w:p w:rsidR="0073298C" w:rsidRDefault="0073298C" w:rsidP="0073298C">
            <w:pPr>
              <w:spacing w:before="22" w:after="22"/>
              <w:ind w:right="22"/>
              <w:rPr>
                <w:rFonts w:ascii="Arial" w:hAnsi="Arial" w:cs="Arial"/>
                <w:color w:val="000000"/>
                <w:sz w:val="18"/>
                <w:szCs w:val="18"/>
              </w:rPr>
            </w:pPr>
            <w:r>
              <w:rPr>
                <w:rFonts w:ascii="Arial" w:hAnsi="Arial" w:cs="Arial"/>
                <w:color w:val="000000"/>
                <w:sz w:val="18"/>
                <w:szCs w:val="18"/>
              </w:rPr>
              <w:t> bps</w:t>
            </w:r>
          </w:p>
        </w:tc>
        <w:tc>
          <w:tcPr>
            <w:tcW w:w="103" w:type="dxa"/>
            <w:tcBorders>
              <w:top w:val="nil"/>
              <w:left w:val="nil"/>
              <w:bottom w:val="single" w:sz="6" w:space="0" w:color="00467E"/>
              <w:right w:val="nil"/>
            </w:tcBorders>
            <w:shd w:val="clear" w:color="CFD4D8" w:fill="CFD4D8"/>
            <w:vAlign w:val="bottom"/>
          </w:tcPr>
          <w:p w:rsidR="0073298C" w:rsidRDefault="0073298C" w:rsidP="0073298C">
            <w:pPr>
              <w:spacing w:before="22" w:after="22"/>
              <w:ind w:left="22" w:right="22"/>
              <w:rPr>
                <w:color w:val="000000"/>
              </w:rPr>
            </w:pPr>
            <w:r>
              <w:rPr>
                <w:color w:val="000000"/>
              </w:rPr>
              <w:t> </w:t>
            </w:r>
          </w:p>
        </w:tc>
        <w:tc>
          <w:tcPr>
            <w:tcW w:w="983" w:type="dxa"/>
            <w:tcBorders>
              <w:top w:val="nil"/>
              <w:left w:val="nil"/>
              <w:bottom w:val="single" w:sz="6" w:space="0" w:color="00467E"/>
              <w:right w:val="nil"/>
            </w:tcBorders>
            <w:shd w:val="clear" w:color="CFD4D8" w:fill="CFD4D8"/>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10</w:t>
            </w:r>
          </w:p>
        </w:tc>
        <w:tc>
          <w:tcPr>
            <w:tcW w:w="367" w:type="dxa"/>
            <w:gridSpan w:val="2"/>
            <w:tcBorders>
              <w:top w:val="nil"/>
              <w:left w:val="nil"/>
              <w:bottom w:val="single" w:sz="6" w:space="0" w:color="00467E"/>
              <w:right w:val="single" w:sz="6" w:space="0" w:color="00467E"/>
            </w:tcBorders>
            <w:shd w:val="clear" w:color="CFD4D8" w:fill="CFD4D8"/>
            <w:vAlign w:val="center"/>
          </w:tcPr>
          <w:p w:rsidR="0073298C" w:rsidRDefault="0073298C" w:rsidP="0073298C">
            <w:pPr>
              <w:spacing w:before="22" w:after="22"/>
              <w:ind w:right="22"/>
              <w:rPr>
                <w:rFonts w:ascii="Arial" w:hAnsi="Arial" w:cs="Arial"/>
                <w:color w:val="000000"/>
                <w:sz w:val="18"/>
                <w:szCs w:val="18"/>
              </w:rPr>
            </w:pPr>
            <w:r>
              <w:rPr>
                <w:rFonts w:ascii="Arial" w:hAnsi="Arial" w:cs="Arial"/>
                <w:color w:val="000000"/>
                <w:sz w:val="18"/>
                <w:szCs w:val="18"/>
              </w:rPr>
              <w:t> bps</w:t>
            </w:r>
          </w:p>
        </w:tc>
      </w:tr>
    </w:tbl>
    <w:p w:rsidR="0073298C" w:rsidRDefault="0073298C" w:rsidP="0073298C">
      <w:pPr>
        <w:spacing w:after="132"/>
        <w:jc w:val="both"/>
        <w:rPr>
          <w:rFonts w:ascii="Arial" w:hAnsi="Arial" w:cs="Arial"/>
          <w:color w:val="000000"/>
          <w:sz w:val="18"/>
          <w:szCs w:val="18"/>
        </w:rPr>
      </w:pPr>
      <w:r>
        <w:rPr>
          <w:rFonts w:ascii="Arial" w:hAnsi="Arial" w:cs="Arial"/>
          <w:color w:val="000000"/>
          <w:sz w:val="18"/>
          <w:szCs w:val="18"/>
        </w:rPr>
        <w:t>Rental expense consists primarily of payments for tractors and trailers financed with operating leases. The primary factors affecting the expense are the size our revenue equipment fleet and the relative percentage of owned versus leased equipment.</w:t>
      </w:r>
    </w:p>
    <w:p w:rsidR="0073298C" w:rsidRDefault="0073298C" w:rsidP="0073298C">
      <w:pPr>
        <w:spacing w:after="132"/>
        <w:jc w:val="both"/>
        <w:rPr>
          <w:rFonts w:ascii="Arial" w:hAnsi="Arial" w:cs="Arial"/>
          <w:color w:val="000000"/>
          <w:sz w:val="18"/>
          <w:szCs w:val="18"/>
        </w:rPr>
      </w:pPr>
      <w:r>
        <w:rPr>
          <w:rFonts w:ascii="Arial" w:hAnsi="Arial" w:cs="Arial"/>
          <w:i/>
          <w:iCs/>
          <w:color w:val="000000"/>
          <w:sz w:val="18"/>
          <w:szCs w:val="18"/>
        </w:rPr>
        <w:t>2017 Compared to 2016 —</w:t>
      </w:r>
      <w:r>
        <w:rPr>
          <w:rFonts w:ascii="Arial" w:hAnsi="Arial" w:cs="Arial"/>
          <w:color w:val="000000"/>
          <w:sz w:val="18"/>
          <w:szCs w:val="18"/>
        </w:rPr>
        <w:t xml:space="preserve"> The $69.2 million increase in consolidated rental expense includes $69.0 million of expense from Swift's results for the September 9, 2017 through December 31, 2017 period. Knight's rental expense increased slightly from 2016 to 2017, but remained flat as a percentage of revenue before fuel surcharge. Consolidated rental expense as a percentage of revenue before fuel surcharge increased, as Swift historically obtained a larger portion of its equipment through operating leases, as compared to Knight.</w:t>
      </w:r>
    </w:p>
    <w:p w:rsidR="0073298C" w:rsidRDefault="0073298C" w:rsidP="0073298C">
      <w:pPr>
        <w:spacing w:after="264"/>
        <w:jc w:val="both"/>
        <w:rPr>
          <w:rFonts w:ascii="Arial" w:hAnsi="Arial" w:cs="Arial"/>
          <w:color w:val="000000"/>
          <w:sz w:val="18"/>
          <w:szCs w:val="18"/>
        </w:rPr>
      </w:pPr>
      <w:r>
        <w:rPr>
          <w:rFonts w:ascii="Arial" w:hAnsi="Arial" w:cs="Arial"/>
          <w:i/>
          <w:iCs/>
          <w:color w:val="000000"/>
          <w:sz w:val="18"/>
          <w:szCs w:val="18"/>
        </w:rPr>
        <w:t>2016 Compared to 2015 —</w:t>
      </w:r>
      <w:r>
        <w:rPr>
          <w:rFonts w:ascii="Arial" w:hAnsi="Arial" w:cs="Arial"/>
          <w:color w:val="000000"/>
          <w:sz w:val="18"/>
          <w:szCs w:val="18"/>
        </w:rPr>
        <w:t xml:space="preserve"> As a percentage of revenue before fuel surcharge, rental expense was consistent from 2015 to 2016.</w:t>
      </w:r>
    </w:p>
    <w:tbl>
      <w:tblPr>
        <w:tblW w:w="10803" w:type="dxa"/>
        <w:tblInd w:w="8" w:type="dxa"/>
        <w:tblLayout w:type="fixed"/>
        <w:tblCellMar>
          <w:left w:w="0" w:type="dxa"/>
          <w:right w:w="0" w:type="dxa"/>
        </w:tblCellMar>
        <w:tblLook w:val="0000"/>
      </w:tblPr>
      <w:tblGrid>
        <w:gridCol w:w="3172"/>
        <w:gridCol w:w="120"/>
        <w:gridCol w:w="1213"/>
        <w:gridCol w:w="180"/>
        <w:gridCol w:w="102"/>
        <w:gridCol w:w="120"/>
        <w:gridCol w:w="1213"/>
        <w:gridCol w:w="180"/>
        <w:gridCol w:w="102"/>
        <w:gridCol w:w="120"/>
        <w:gridCol w:w="1213"/>
        <w:gridCol w:w="183"/>
        <w:gridCol w:w="102"/>
        <w:gridCol w:w="999"/>
        <w:gridCol w:w="360"/>
        <w:gridCol w:w="102"/>
        <w:gridCol w:w="1025"/>
        <w:gridCol w:w="290"/>
        <w:gridCol w:w="7"/>
      </w:tblGrid>
      <w:tr w:rsidR="0073298C" w:rsidTr="000E3B20">
        <w:tblPrEx>
          <w:tblCellMar>
            <w:top w:w="0" w:type="dxa"/>
            <w:left w:w="0" w:type="dxa"/>
            <w:bottom w:w="0" w:type="dxa"/>
            <w:right w:w="0" w:type="dxa"/>
          </w:tblCellMar>
        </w:tblPrEx>
        <w:trPr>
          <w:gridAfter w:val="1"/>
          <w:wAfter w:w="7" w:type="dxa"/>
          <w:trHeight w:val="298"/>
        </w:trPr>
        <w:tc>
          <w:tcPr>
            <w:tcW w:w="3172" w:type="dxa"/>
            <w:tcBorders>
              <w:top w:val="single" w:sz="6" w:space="0" w:color="00467E"/>
              <w:left w:val="single" w:sz="6" w:space="0" w:color="00467E"/>
              <w:bottom w:val="nil"/>
              <w:right w:val="nil"/>
            </w:tcBorders>
            <w:vAlign w:val="center"/>
          </w:tcPr>
          <w:p w:rsidR="0073298C" w:rsidRDefault="0073298C" w:rsidP="0073298C">
            <w:pPr>
              <w:spacing w:before="22" w:after="22"/>
              <w:ind w:left="22" w:right="22"/>
              <w:rPr>
                <w:rFonts w:ascii="Arial" w:hAnsi="Arial" w:cs="Arial"/>
                <w:b/>
                <w:bCs w:val="0"/>
                <w:color w:val="000000"/>
                <w:sz w:val="16"/>
                <w:szCs w:val="16"/>
              </w:rPr>
            </w:pPr>
            <w:r>
              <w:rPr>
                <w:rFonts w:ascii="Arial" w:hAnsi="Arial" w:cs="Arial"/>
                <w:b/>
                <w:bCs w:val="0"/>
                <w:color w:val="000000"/>
                <w:sz w:val="16"/>
                <w:szCs w:val="16"/>
              </w:rPr>
              <w:t> </w:t>
            </w:r>
          </w:p>
        </w:tc>
        <w:tc>
          <w:tcPr>
            <w:tcW w:w="1513" w:type="dxa"/>
            <w:gridSpan w:val="3"/>
            <w:tcBorders>
              <w:top w:val="single" w:sz="6" w:space="0" w:color="00467E"/>
              <w:left w:val="nil"/>
              <w:bottom w:val="single" w:sz="6" w:space="0" w:color="000000"/>
              <w:right w:val="nil"/>
            </w:tcBorders>
            <w:vAlign w:val="center"/>
          </w:tcPr>
          <w:p w:rsidR="0073298C" w:rsidRDefault="0073298C" w:rsidP="0073298C">
            <w:pPr>
              <w:spacing w:before="22" w:after="22"/>
              <w:ind w:left="22" w:right="22"/>
              <w:jc w:val="center"/>
              <w:rPr>
                <w:rFonts w:ascii="Arial" w:hAnsi="Arial" w:cs="Arial"/>
                <w:b/>
                <w:bCs w:val="0"/>
                <w:color w:val="000000"/>
                <w:sz w:val="14"/>
                <w:szCs w:val="14"/>
              </w:rPr>
            </w:pPr>
            <w:r>
              <w:rPr>
                <w:rFonts w:ascii="Arial" w:hAnsi="Arial" w:cs="Arial"/>
                <w:b/>
                <w:bCs w:val="0"/>
                <w:color w:val="000000"/>
                <w:sz w:val="14"/>
                <w:szCs w:val="14"/>
              </w:rPr>
              <w:t>2017</w:t>
            </w:r>
          </w:p>
        </w:tc>
        <w:tc>
          <w:tcPr>
            <w:tcW w:w="102" w:type="dxa"/>
            <w:tcBorders>
              <w:top w:val="single" w:sz="6" w:space="0" w:color="00467E"/>
              <w:left w:val="nil"/>
              <w:bottom w:val="nil"/>
              <w:right w:val="nil"/>
            </w:tcBorders>
            <w:vAlign w:val="bottom"/>
          </w:tcPr>
          <w:p w:rsidR="0073298C" w:rsidRDefault="0073298C" w:rsidP="0073298C">
            <w:pPr>
              <w:spacing w:before="22" w:after="22"/>
              <w:ind w:left="22" w:right="22"/>
              <w:rPr>
                <w:color w:val="000000"/>
              </w:rPr>
            </w:pPr>
            <w:r>
              <w:rPr>
                <w:color w:val="000000"/>
              </w:rPr>
              <w:t> </w:t>
            </w:r>
          </w:p>
        </w:tc>
        <w:tc>
          <w:tcPr>
            <w:tcW w:w="1513" w:type="dxa"/>
            <w:gridSpan w:val="3"/>
            <w:tcBorders>
              <w:top w:val="single" w:sz="6" w:space="0" w:color="00467E"/>
              <w:left w:val="nil"/>
              <w:bottom w:val="single" w:sz="6" w:space="0" w:color="000000"/>
              <w:right w:val="nil"/>
            </w:tcBorders>
            <w:vAlign w:val="center"/>
          </w:tcPr>
          <w:p w:rsidR="0073298C" w:rsidRDefault="0073298C" w:rsidP="0073298C">
            <w:pPr>
              <w:spacing w:before="22" w:after="22"/>
              <w:ind w:left="22" w:right="22"/>
              <w:jc w:val="center"/>
              <w:rPr>
                <w:rFonts w:ascii="Arial" w:hAnsi="Arial" w:cs="Arial"/>
                <w:b/>
                <w:bCs w:val="0"/>
                <w:color w:val="000000"/>
                <w:sz w:val="14"/>
                <w:szCs w:val="14"/>
              </w:rPr>
            </w:pPr>
            <w:r>
              <w:rPr>
                <w:rFonts w:ascii="Arial" w:hAnsi="Arial" w:cs="Arial"/>
                <w:b/>
                <w:bCs w:val="0"/>
                <w:color w:val="000000"/>
                <w:sz w:val="14"/>
                <w:szCs w:val="14"/>
              </w:rPr>
              <w:t>2016</w:t>
            </w:r>
          </w:p>
        </w:tc>
        <w:tc>
          <w:tcPr>
            <w:tcW w:w="102" w:type="dxa"/>
            <w:tcBorders>
              <w:top w:val="single" w:sz="6" w:space="0" w:color="00467E"/>
              <w:left w:val="nil"/>
              <w:bottom w:val="nil"/>
              <w:right w:val="nil"/>
            </w:tcBorders>
            <w:vAlign w:val="bottom"/>
          </w:tcPr>
          <w:p w:rsidR="0073298C" w:rsidRDefault="0073298C" w:rsidP="0073298C">
            <w:pPr>
              <w:spacing w:before="22" w:after="22"/>
              <w:ind w:left="22" w:right="22"/>
              <w:rPr>
                <w:color w:val="000000"/>
              </w:rPr>
            </w:pPr>
            <w:r>
              <w:rPr>
                <w:color w:val="000000"/>
              </w:rPr>
              <w:t> </w:t>
            </w:r>
          </w:p>
        </w:tc>
        <w:tc>
          <w:tcPr>
            <w:tcW w:w="1516" w:type="dxa"/>
            <w:gridSpan w:val="3"/>
            <w:tcBorders>
              <w:top w:val="single" w:sz="6" w:space="0" w:color="00467E"/>
              <w:left w:val="nil"/>
              <w:bottom w:val="single" w:sz="6" w:space="0" w:color="000000"/>
              <w:right w:val="nil"/>
            </w:tcBorders>
            <w:vAlign w:val="center"/>
          </w:tcPr>
          <w:p w:rsidR="0073298C" w:rsidRDefault="0073298C" w:rsidP="0073298C">
            <w:pPr>
              <w:spacing w:before="22" w:after="22"/>
              <w:ind w:left="22" w:right="22"/>
              <w:jc w:val="center"/>
              <w:rPr>
                <w:rFonts w:ascii="Arial" w:hAnsi="Arial" w:cs="Arial"/>
                <w:b/>
                <w:bCs w:val="0"/>
                <w:color w:val="000000"/>
                <w:sz w:val="14"/>
                <w:szCs w:val="14"/>
              </w:rPr>
            </w:pPr>
            <w:r>
              <w:rPr>
                <w:rFonts w:ascii="Arial" w:hAnsi="Arial" w:cs="Arial"/>
                <w:b/>
                <w:bCs w:val="0"/>
                <w:color w:val="000000"/>
                <w:sz w:val="14"/>
                <w:szCs w:val="14"/>
              </w:rPr>
              <w:t>2015</w:t>
            </w:r>
          </w:p>
        </w:tc>
        <w:tc>
          <w:tcPr>
            <w:tcW w:w="102" w:type="dxa"/>
            <w:tcBorders>
              <w:top w:val="single" w:sz="6" w:space="0" w:color="00467E"/>
              <w:left w:val="nil"/>
              <w:bottom w:val="nil"/>
              <w:right w:val="nil"/>
            </w:tcBorders>
            <w:shd w:val="clear" w:color="00467E" w:fill="00467E"/>
            <w:vAlign w:val="bottom"/>
          </w:tcPr>
          <w:p w:rsidR="0073298C" w:rsidRDefault="0073298C" w:rsidP="0073298C">
            <w:pPr>
              <w:spacing w:before="22" w:after="22"/>
              <w:ind w:left="22" w:right="22"/>
              <w:rPr>
                <w:color w:val="000000"/>
              </w:rPr>
            </w:pPr>
            <w:r>
              <w:rPr>
                <w:color w:val="000000"/>
              </w:rPr>
              <w:t> </w:t>
            </w:r>
          </w:p>
        </w:tc>
        <w:tc>
          <w:tcPr>
            <w:tcW w:w="1359" w:type="dxa"/>
            <w:gridSpan w:val="2"/>
            <w:tcBorders>
              <w:top w:val="single" w:sz="6" w:space="0" w:color="00467E"/>
              <w:left w:val="nil"/>
              <w:bottom w:val="single" w:sz="6" w:space="0" w:color="000000"/>
              <w:right w:val="nil"/>
            </w:tcBorders>
            <w:vAlign w:val="center"/>
          </w:tcPr>
          <w:p w:rsidR="0073298C" w:rsidRDefault="0073298C" w:rsidP="0073298C">
            <w:pPr>
              <w:spacing w:before="22" w:after="22"/>
              <w:ind w:left="22" w:right="22"/>
              <w:jc w:val="center"/>
              <w:rPr>
                <w:rFonts w:ascii="Arial" w:hAnsi="Arial" w:cs="Arial"/>
                <w:b/>
                <w:bCs w:val="0"/>
                <w:color w:val="000000"/>
                <w:sz w:val="14"/>
                <w:szCs w:val="14"/>
              </w:rPr>
            </w:pPr>
            <w:r>
              <w:rPr>
                <w:rFonts w:ascii="Arial" w:hAnsi="Arial" w:cs="Arial"/>
                <w:b/>
                <w:bCs w:val="0"/>
                <w:color w:val="000000"/>
                <w:sz w:val="14"/>
                <w:szCs w:val="14"/>
              </w:rPr>
              <w:t>2017 vs. 2016</w:t>
            </w:r>
          </w:p>
        </w:tc>
        <w:tc>
          <w:tcPr>
            <w:tcW w:w="102" w:type="dxa"/>
            <w:tcBorders>
              <w:top w:val="single" w:sz="6" w:space="0" w:color="00467E"/>
              <w:left w:val="nil"/>
              <w:bottom w:val="nil"/>
              <w:right w:val="nil"/>
            </w:tcBorders>
            <w:vAlign w:val="bottom"/>
          </w:tcPr>
          <w:p w:rsidR="0073298C" w:rsidRDefault="0073298C" w:rsidP="0073298C">
            <w:pPr>
              <w:spacing w:before="22" w:after="22"/>
              <w:ind w:left="22" w:right="22"/>
              <w:rPr>
                <w:color w:val="000000"/>
              </w:rPr>
            </w:pPr>
            <w:r>
              <w:rPr>
                <w:color w:val="000000"/>
              </w:rPr>
              <w:t> </w:t>
            </w:r>
          </w:p>
        </w:tc>
        <w:tc>
          <w:tcPr>
            <w:tcW w:w="1315" w:type="dxa"/>
            <w:gridSpan w:val="2"/>
            <w:tcBorders>
              <w:top w:val="single" w:sz="6" w:space="0" w:color="00467E"/>
              <w:left w:val="nil"/>
              <w:bottom w:val="single" w:sz="6" w:space="0" w:color="000000"/>
              <w:right w:val="single" w:sz="6" w:space="0" w:color="00467E"/>
            </w:tcBorders>
            <w:vAlign w:val="center"/>
          </w:tcPr>
          <w:p w:rsidR="0073298C" w:rsidRDefault="0073298C" w:rsidP="0073298C">
            <w:pPr>
              <w:spacing w:before="22" w:after="22"/>
              <w:ind w:left="22" w:right="22"/>
              <w:jc w:val="center"/>
              <w:rPr>
                <w:rFonts w:ascii="Arial" w:hAnsi="Arial" w:cs="Arial"/>
                <w:b/>
                <w:bCs w:val="0"/>
                <w:color w:val="000000"/>
                <w:sz w:val="14"/>
                <w:szCs w:val="14"/>
              </w:rPr>
            </w:pPr>
            <w:r>
              <w:rPr>
                <w:rFonts w:ascii="Arial" w:hAnsi="Arial" w:cs="Arial"/>
                <w:b/>
                <w:bCs w:val="0"/>
                <w:color w:val="000000"/>
                <w:sz w:val="14"/>
                <w:szCs w:val="14"/>
              </w:rPr>
              <w:t>2016 vs. 2015</w:t>
            </w:r>
          </w:p>
        </w:tc>
      </w:tr>
      <w:tr w:rsidR="0073298C" w:rsidTr="000E3B20">
        <w:tblPrEx>
          <w:tblCellMar>
            <w:top w:w="0" w:type="dxa"/>
            <w:left w:w="0" w:type="dxa"/>
            <w:bottom w:w="0" w:type="dxa"/>
            <w:right w:w="0" w:type="dxa"/>
          </w:tblCellMar>
        </w:tblPrEx>
        <w:trPr>
          <w:trHeight w:val="298"/>
        </w:trPr>
        <w:tc>
          <w:tcPr>
            <w:tcW w:w="3172" w:type="dxa"/>
            <w:tcBorders>
              <w:top w:val="nil"/>
              <w:left w:val="single" w:sz="6" w:space="0" w:color="00467E"/>
              <w:bottom w:val="nil"/>
              <w:right w:val="nil"/>
            </w:tcBorders>
            <w:vAlign w:val="bottom"/>
          </w:tcPr>
          <w:p w:rsidR="0073298C" w:rsidRDefault="0073298C" w:rsidP="0073298C">
            <w:pPr>
              <w:spacing w:before="22" w:after="22"/>
              <w:ind w:left="22" w:right="22"/>
              <w:rPr>
                <w:color w:val="000000"/>
              </w:rPr>
            </w:pPr>
            <w:r>
              <w:rPr>
                <w:color w:val="000000"/>
              </w:rPr>
              <w:t> </w:t>
            </w:r>
          </w:p>
        </w:tc>
        <w:tc>
          <w:tcPr>
            <w:tcW w:w="4746" w:type="dxa"/>
            <w:gridSpan w:val="11"/>
            <w:tcBorders>
              <w:top w:val="nil"/>
              <w:left w:val="nil"/>
              <w:bottom w:val="single" w:sz="6" w:space="0" w:color="000000"/>
              <w:right w:val="nil"/>
            </w:tcBorders>
            <w:vAlign w:val="center"/>
          </w:tcPr>
          <w:p w:rsidR="0073298C" w:rsidRDefault="0073298C" w:rsidP="0073298C">
            <w:pPr>
              <w:spacing w:before="22" w:after="22"/>
              <w:ind w:left="22"/>
              <w:jc w:val="center"/>
              <w:rPr>
                <w:rFonts w:ascii="Arial" w:hAnsi="Arial" w:cs="Arial"/>
                <w:b/>
                <w:bCs w:val="0"/>
                <w:color w:val="000000"/>
                <w:sz w:val="14"/>
                <w:szCs w:val="14"/>
              </w:rPr>
            </w:pPr>
            <w:r>
              <w:rPr>
                <w:rFonts w:ascii="Arial" w:hAnsi="Arial" w:cs="Arial"/>
                <w:b/>
                <w:bCs w:val="0"/>
                <w:color w:val="000000"/>
                <w:sz w:val="14"/>
                <w:szCs w:val="14"/>
              </w:rPr>
              <w:t>(Dollars in thousands)</w:t>
            </w:r>
          </w:p>
        </w:tc>
        <w:tc>
          <w:tcPr>
            <w:tcW w:w="102" w:type="dxa"/>
            <w:tcBorders>
              <w:top w:val="single" w:sz="6" w:space="0" w:color="00467E"/>
              <w:left w:val="nil"/>
              <w:bottom w:val="nil"/>
              <w:right w:val="nil"/>
            </w:tcBorders>
            <w:shd w:val="clear" w:color="00467E" w:fill="00467E"/>
            <w:vAlign w:val="bottom"/>
          </w:tcPr>
          <w:p w:rsidR="0073298C" w:rsidRDefault="0073298C" w:rsidP="0073298C">
            <w:pPr>
              <w:spacing w:before="22" w:after="22"/>
              <w:ind w:left="22" w:right="22"/>
              <w:rPr>
                <w:color w:val="000000"/>
              </w:rPr>
            </w:pPr>
            <w:r>
              <w:rPr>
                <w:color w:val="000000"/>
              </w:rPr>
              <w:t> </w:t>
            </w:r>
          </w:p>
        </w:tc>
        <w:tc>
          <w:tcPr>
            <w:tcW w:w="2783" w:type="dxa"/>
            <w:gridSpan w:val="6"/>
            <w:tcBorders>
              <w:top w:val="nil"/>
              <w:left w:val="nil"/>
              <w:bottom w:val="single" w:sz="6" w:space="0" w:color="000000"/>
              <w:right w:val="single" w:sz="6" w:space="0" w:color="00467E"/>
            </w:tcBorders>
            <w:vAlign w:val="center"/>
          </w:tcPr>
          <w:p w:rsidR="0073298C" w:rsidRDefault="0073298C" w:rsidP="0073298C">
            <w:pPr>
              <w:spacing w:before="22" w:after="22"/>
              <w:ind w:left="22"/>
              <w:jc w:val="center"/>
              <w:rPr>
                <w:rFonts w:ascii="Arial" w:hAnsi="Arial" w:cs="Arial"/>
                <w:b/>
                <w:bCs w:val="0"/>
                <w:color w:val="000000"/>
                <w:sz w:val="14"/>
                <w:szCs w:val="14"/>
              </w:rPr>
            </w:pPr>
            <w:r>
              <w:rPr>
                <w:rFonts w:ascii="Arial" w:hAnsi="Arial" w:cs="Arial"/>
                <w:b/>
                <w:bCs w:val="0"/>
                <w:color w:val="000000"/>
                <w:sz w:val="14"/>
                <w:szCs w:val="14"/>
              </w:rPr>
              <w:t>Increase (decrease)</w:t>
            </w:r>
          </w:p>
        </w:tc>
      </w:tr>
      <w:tr w:rsidR="0073298C" w:rsidTr="000E3B20">
        <w:tblPrEx>
          <w:tblCellMar>
            <w:top w:w="0" w:type="dxa"/>
            <w:left w:w="0" w:type="dxa"/>
            <w:bottom w:w="0" w:type="dxa"/>
            <w:right w:w="0" w:type="dxa"/>
          </w:tblCellMar>
        </w:tblPrEx>
        <w:trPr>
          <w:trHeight w:val="298"/>
        </w:trPr>
        <w:tc>
          <w:tcPr>
            <w:tcW w:w="3172" w:type="dxa"/>
            <w:tcBorders>
              <w:top w:val="nil"/>
              <w:left w:val="single" w:sz="6" w:space="0" w:color="00467E"/>
              <w:bottom w:val="nil"/>
              <w:right w:val="nil"/>
            </w:tcBorders>
            <w:shd w:val="clear" w:color="CFD4D8" w:fill="CFD4D8"/>
            <w:vAlign w:val="center"/>
          </w:tcPr>
          <w:p w:rsidR="0073298C" w:rsidRDefault="0073298C" w:rsidP="0073298C">
            <w:pPr>
              <w:spacing w:before="22" w:after="22"/>
              <w:ind w:left="22" w:right="22"/>
              <w:rPr>
                <w:rFonts w:ascii="Arial" w:hAnsi="Arial" w:cs="Arial"/>
                <w:b/>
                <w:bCs w:val="0"/>
                <w:i/>
                <w:iCs/>
                <w:color w:val="9D1B11"/>
                <w:sz w:val="18"/>
                <w:szCs w:val="18"/>
              </w:rPr>
            </w:pPr>
            <w:r>
              <w:rPr>
                <w:rFonts w:ascii="Arial" w:hAnsi="Arial" w:cs="Arial"/>
                <w:b/>
                <w:bCs w:val="0"/>
                <w:i/>
                <w:iCs/>
                <w:color w:val="9D1B11"/>
                <w:sz w:val="18"/>
                <w:szCs w:val="18"/>
              </w:rPr>
              <w:t>Purchased transportation</w:t>
            </w:r>
          </w:p>
        </w:tc>
        <w:tc>
          <w:tcPr>
            <w:tcW w:w="120" w:type="dxa"/>
            <w:tcBorders>
              <w:top w:val="nil"/>
              <w:left w:val="nil"/>
              <w:bottom w:val="nil"/>
              <w:right w:val="nil"/>
            </w:tcBorders>
            <w:shd w:val="clear" w:color="CFD4D8" w:fill="CFD4D8"/>
            <w:vAlign w:val="center"/>
          </w:tcPr>
          <w:p w:rsidR="0073298C" w:rsidRDefault="0073298C" w:rsidP="0073298C">
            <w:pPr>
              <w:spacing w:before="22" w:after="22"/>
              <w:ind w:left="22"/>
              <w:rPr>
                <w:rFonts w:ascii="Arial" w:hAnsi="Arial" w:cs="Arial"/>
                <w:color w:val="000000"/>
                <w:sz w:val="18"/>
                <w:szCs w:val="18"/>
              </w:rPr>
            </w:pPr>
            <w:r>
              <w:rPr>
                <w:rFonts w:ascii="Arial" w:hAnsi="Arial" w:cs="Arial"/>
                <w:color w:val="000000"/>
                <w:sz w:val="18"/>
                <w:szCs w:val="18"/>
              </w:rPr>
              <w:t>$</w:t>
            </w:r>
          </w:p>
        </w:tc>
        <w:tc>
          <w:tcPr>
            <w:tcW w:w="1213" w:type="dxa"/>
            <w:tcBorders>
              <w:top w:val="nil"/>
              <w:left w:val="nil"/>
              <w:bottom w:val="nil"/>
              <w:right w:val="nil"/>
            </w:tcBorders>
            <w:shd w:val="clear" w:color="CFD4D8" w:fill="CFD4D8"/>
            <w:vAlign w:val="center"/>
          </w:tcPr>
          <w:p w:rsidR="0073298C" w:rsidRDefault="0073298C" w:rsidP="0073298C">
            <w:pPr>
              <w:spacing w:before="22" w:after="22"/>
              <w:jc w:val="right"/>
              <w:rPr>
                <w:rFonts w:ascii="Arial" w:hAnsi="Arial" w:cs="Arial"/>
                <w:color w:val="000000"/>
                <w:sz w:val="18"/>
                <w:szCs w:val="18"/>
              </w:rPr>
            </w:pPr>
            <w:r>
              <w:rPr>
                <w:rFonts w:ascii="Arial" w:hAnsi="Arial" w:cs="Arial"/>
                <w:color w:val="000000"/>
                <w:sz w:val="18"/>
                <w:szCs w:val="18"/>
              </w:rPr>
              <w:t>594,113</w:t>
            </w:r>
          </w:p>
        </w:tc>
        <w:tc>
          <w:tcPr>
            <w:tcW w:w="180" w:type="dxa"/>
            <w:tcBorders>
              <w:top w:val="nil"/>
              <w:left w:val="nil"/>
              <w:bottom w:val="nil"/>
              <w:right w:val="nil"/>
            </w:tcBorders>
            <w:shd w:val="clear" w:color="CFD4D8" w:fill="CFD4D8"/>
            <w:vAlign w:val="bottom"/>
          </w:tcPr>
          <w:p w:rsidR="0073298C" w:rsidRDefault="0073298C" w:rsidP="0073298C">
            <w:pPr>
              <w:spacing w:before="22" w:after="22"/>
              <w:jc w:val="right"/>
              <w:rPr>
                <w:rFonts w:ascii="Arial" w:hAnsi="Arial" w:cs="Arial"/>
                <w:color w:val="000000"/>
                <w:sz w:val="18"/>
                <w:szCs w:val="18"/>
              </w:rPr>
            </w:pPr>
          </w:p>
          <w:p w:rsidR="0073298C" w:rsidRDefault="0073298C" w:rsidP="0073298C">
            <w:pPr>
              <w:rPr>
                <w:sz w:val="16"/>
                <w:szCs w:val="16"/>
              </w:rPr>
            </w:pPr>
            <w:r>
              <w:rPr>
                <w:sz w:val="16"/>
                <w:szCs w:val="16"/>
              </w:rPr>
              <w:t> </w:t>
            </w:r>
          </w:p>
        </w:tc>
        <w:tc>
          <w:tcPr>
            <w:tcW w:w="102" w:type="dxa"/>
            <w:tcBorders>
              <w:top w:val="nil"/>
              <w:left w:val="nil"/>
              <w:bottom w:val="nil"/>
              <w:right w:val="nil"/>
            </w:tcBorders>
            <w:shd w:val="clear" w:color="CFD4D8" w:fill="CFD4D8"/>
            <w:vAlign w:val="bottom"/>
          </w:tcPr>
          <w:p w:rsidR="0073298C" w:rsidRDefault="0073298C" w:rsidP="0073298C">
            <w:pPr>
              <w:spacing w:before="22" w:after="22"/>
              <w:ind w:left="22" w:right="22"/>
              <w:rPr>
                <w:color w:val="000000"/>
              </w:rPr>
            </w:pPr>
            <w:r>
              <w:rPr>
                <w:color w:val="000000"/>
              </w:rPr>
              <w:t> </w:t>
            </w:r>
          </w:p>
        </w:tc>
        <w:tc>
          <w:tcPr>
            <w:tcW w:w="120" w:type="dxa"/>
            <w:tcBorders>
              <w:top w:val="nil"/>
              <w:left w:val="nil"/>
              <w:bottom w:val="nil"/>
              <w:right w:val="nil"/>
            </w:tcBorders>
            <w:shd w:val="clear" w:color="CFD4D8" w:fill="CFD4D8"/>
            <w:vAlign w:val="center"/>
          </w:tcPr>
          <w:p w:rsidR="0073298C" w:rsidRDefault="0073298C" w:rsidP="0073298C">
            <w:pPr>
              <w:spacing w:before="22" w:after="22"/>
              <w:ind w:left="22"/>
              <w:rPr>
                <w:rFonts w:ascii="Arial" w:hAnsi="Arial" w:cs="Arial"/>
                <w:color w:val="000000"/>
                <w:sz w:val="18"/>
                <w:szCs w:val="18"/>
              </w:rPr>
            </w:pPr>
            <w:r>
              <w:rPr>
                <w:rFonts w:ascii="Arial" w:hAnsi="Arial" w:cs="Arial"/>
                <w:color w:val="000000"/>
                <w:sz w:val="18"/>
                <w:szCs w:val="18"/>
              </w:rPr>
              <w:t>$</w:t>
            </w:r>
          </w:p>
        </w:tc>
        <w:tc>
          <w:tcPr>
            <w:tcW w:w="1213" w:type="dxa"/>
            <w:tcBorders>
              <w:top w:val="nil"/>
              <w:left w:val="nil"/>
              <w:bottom w:val="nil"/>
              <w:right w:val="nil"/>
            </w:tcBorders>
            <w:shd w:val="clear" w:color="CFD4D8" w:fill="CFD4D8"/>
            <w:vAlign w:val="center"/>
          </w:tcPr>
          <w:p w:rsidR="0073298C" w:rsidRDefault="0073298C" w:rsidP="0073298C">
            <w:pPr>
              <w:spacing w:before="22" w:after="22"/>
              <w:jc w:val="right"/>
              <w:rPr>
                <w:rFonts w:ascii="Arial" w:hAnsi="Arial" w:cs="Arial"/>
                <w:color w:val="000000"/>
                <w:sz w:val="18"/>
                <w:szCs w:val="18"/>
              </w:rPr>
            </w:pPr>
            <w:r>
              <w:rPr>
                <w:rFonts w:ascii="Arial" w:hAnsi="Arial" w:cs="Arial"/>
                <w:color w:val="000000"/>
                <w:sz w:val="18"/>
                <w:szCs w:val="18"/>
              </w:rPr>
              <w:t>233,863</w:t>
            </w:r>
          </w:p>
        </w:tc>
        <w:tc>
          <w:tcPr>
            <w:tcW w:w="180" w:type="dxa"/>
            <w:tcBorders>
              <w:top w:val="nil"/>
              <w:left w:val="nil"/>
              <w:bottom w:val="nil"/>
              <w:right w:val="nil"/>
            </w:tcBorders>
            <w:shd w:val="clear" w:color="CFD4D8" w:fill="CFD4D8"/>
            <w:vAlign w:val="bottom"/>
          </w:tcPr>
          <w:p w:rsidR="0073298C" w:rsidRDefault="0073298C" w:rsidP="0073298C">
            <w:pPr>
              <w:spacing w:before="22" w:after="22"/>
              <w:jc w:val="right"/>
              <w:rPr>
                <w:rFonts w:ascii="Arial" w:hAnsi="Arial" w:cs="Arial"/>
                <w:color w:val="000000"/>
                <w:sz w:val="18"/>
                <w:szCs w:val="18"/>
              </w:rPr>
            </w:pPr>
          </w:p>
          <w:p w:rsidR="0073298C" w:rsidRDefault="0073298C" w:rsidP="0073298C">
            <w:pPr>
              <w:rPr>
                <w:sz w:val="16"/>
                <w:szCs w:val="16"/>
              </w:rPr>
            </w:pPr>
            <w:r>
              <w:rPr>
                <w:sz w:val="16"/>
                <w:szCs w:val="16"/>
              </w:rPr>
              <w:t> </w:t>
            </w:r>
          </w:p>
        </w:tc>
        <w:tc>
          <w:tcPr>
            <w:tcW w:w="102" w:type="dxa"/>
            <w:tcBorders>
              <w:top w:val="nil"/>
              <w:left w:val="nil"/>
              <w:bottom w:val="nil"/>
              <w:right w:val="nil"/>
            </w:tcBorders>
            <w:shd w:val="clear" w:color="CFD4D8" w:fill="CFD4D8"/>
            <w:vAlign w:val="bottom"/>
          </w:tcPr>
          <w:p w:rsidR="0073298C" w:rsidRDefault="0073298C" w:rsidP="0073298C">
            <w:pPr>
              <w:spacing w:before="22" w:after="22"/>
              <w:ind w:left="22" w:right="22"/>
              <w:rPr>
                <w:color w:val="000000"/>
              </w:rPr>
            </w:pPr>
            <w:r>
              <w:rPr>
                <w:color w:val="000000"/>
              </w:rPr>
              <w:t> </w:t>
            </w:r>
          </w:p>
        </w:tc>
        <w:tc>
          <w:tcPr>
            <w:tcW w:w="120" w:type="dxa"/>
            <w:tcBorders>
              <w:top w:val="nil"/>
              <w:left w:val="nil"/>
              <w:bottom w:val="nil"/>
              <w:right w:val="nil"/>
            </w:tcBorders>
            <w:shd w:val="clear" w:color="CFD4D8" w:fill="CFD4D8"/>
            <w:vAlign w:val="center"/>
          </w:tcPr>
          <w:p w:rsidR="0073298C" w:rsidRDefault="0073298C" w:rsidP="0073298C">
            <w:pPr>
              <w:spacing w:before="22" w:after="22"/>
              <w:ind w:left="22"/>
              <w:rPr>
                <w:rFonts w:ascii="Arial" w:hAnsi="Arial" w:cs="Arial"/>
                <w:color w:val="000000"/>
                <w:sz w:val="18"/>
                <w:szCs w:val="18"/>
              </w:rPr>
            </w:pPr>
            <w:r>
              <w:rPr>
                <w:rFonts w:ascii="Arial" w:hAnsi="Arial" w:cs="Arial"/>
                <w:color w:val="000000"/>
                <w:sz w:val="18"/>
                <w:szCs w:val="18"/>
              </w:rPr>
              <w:t>$</w:t>
            </w:r>
          </w:p>
        </w:tc>
        <w:tc>
          <w:tcPr>
            <w:tcW w:w="1213" w:type="dxa"/>
            <w:tcBorders>
              <w:top w:val="nil"/>
              <w:left w:val="nil"/>
              <w:bottom w:val="nil"/>
              <w:right w:val="nil"/>
            </w:tcBorders>
            <w:shd w:val="clear" w:color="CFD4D8" w:fill="CFD4D8"/>
            <w:vAlign w:val="center"/>
          </w:tcPr>
          <w:p w:rsidR="0073298C" w:rsidRDefault="0073298C" w:rsidP="0073298C">
            <w:pPr>
              <w:spacing w:before="22" w:after="22"/>
              <w:jc w:val="right"/>
              <w:rPr>
                <w:rFonts w:ascii="Arial" w:hAnsi="Arial" w:cs="Arial"/>
                <w:color w:val="000000"/>
                <w:sz w:val="18"/>
                <w:szCs w:val="18"/>
              </w:rPr>
            </w:pPr>
            <w:r>
              <w:rPr>
                <w:rFonts w:ascii="Arial" w:hAnsi="Arial" w:cs="Arial"/>
                <w:color w:val="000000"/>
                <w:sz w:val="18"/>
                <w:szCs w:val="18"/>
              </w:rPr>
              <w:t>246,864</w:t>
            </w:r>
          </w:p>
        </w:tc>
        <w:tc>
          <w:tcPr>
            <w:tcW w:w="183" w:type="dxa"/>
            <w:tcBorders>
              <w:top w:val="nil"/>
              <w:left w:val="nil"/>
              <w:bottom w:val="nil"/>
              <w:right w:val="nil"/>
            </w:tcBorders>
            <w:shd w:val="clear" w:color="CFD4D8" w:fill="CFD4D8"/>
            <w:vAlign w:val="bottom"/>
          </w:tcPr>
          <w:p w:rsidR="0073298C" w:rsidRDefault="0073298C" w:rsidP="0073298C">
            <w:pPr>
              <w:spacing w:before="22" w:after="22"/>
              <w:jc w:val="right"/>
              <w:rPr>
                <w:rFonts w:ascii="Arial" w:hAnsi="Arial" w:cs="Arial"/>
                <w:color w:val="000000"/>
                <w:sz w:val="18"/>
                <w:szCs w:val="18"/>
              </w:rPr>
            </w:pPr>
          </w:p>
          <w:p w:rsidR="0073298C" w:rsidRDefault="0073298C" w:rsidP="0073298C">
            <w:pPr>
              <w:rPr>
                <w:sz w:val="16"/>
                <w:szCs w:val="16"/>
              </w:rPr>
            </w:pPr>
            <w:r>
              <w:rPr>
                <w:sz w:val="16"/>
                <w:szCs w:val="16"/>
              </w:rPr>
              <w:t> </w:t>
            </w:r>
          </w:p>
        </w:tc>
        <w:tc>
          <w:tcPr>
            <w:tcW w:w="102" w:type="dxa"/>
            <w:tcBorders>
              <w:top w:val="single" w:sz="6" w:space="0" w:color="00467E"/>
              <w:left w:val="nil"/>
              <w:bottom w:val="nil"/>
              <w:right w:val="nil"/>
            </w:tcBorders>
            <w:shd w:val="clear" w:color="00467E" w:fill="00467E"/>
            <w:vAlign w:val="bottom"/>
          </w:tcPr>
          <w:p w:rsidR="0073298C" w:rsidRDefault="0073298C" w:rsidP="0073298C">
            <w:pPr>
              <w:spacing w:before="22" w:after="22"/>
              <w:ind w:left="22" w:right="22"/>
              <w:rPr>
                <w:color w:val="000000"/>
              </w:rPr>
            </w:pPr>
            <w:r>
              <w:rPr>
                <w:color w:val="000000"/>
              </w:rPr>
              <w:t> </w:t>
            </w:r>
          </w:p>
        </w:tc>
        <w:tc>
          <w:tcPr>
            <w:tcW w:w="999" w:type="dxa"/>
            <w:tcBorders>
              <w:top w:val="single" w:sz="6" w:space="0" w:color="000000"/>
              <w:left w:val="nil"/>
              <w:bottom w:val="nil"/>
              <w:right w:val="nil"/>
            </w:tcBorders>
            <w:shd w:val="clear" w:color="CFD4D8" w:fill="CFD4D8"/>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154.0</w:t>
            </w:r>
          </w:p>
        </w:tc>
        <w:tc>
          <w:tcPr>
            <w:tcW w:w="360" w:type="dxa"/>
            <w:tcBorders>
              <w:top w:val="single" w:sz="6" w:space="0" w:color="000000"/>
              <w:left w:val="nil"/>
              <w:bottom w:val="nil"/>
              <w:right w:val="nil"/>
            </w:tcBorders>
            <w:shd w:val="clear" w:color="CFD4D8" w:fill="CFD4D8"/>
            <w:vAlign w:val="center"/>
          </w:tcPr>
          <w:p w:rsidR="0073298C" w:rsidRDefault="0073298C" w:rsidP="0073298C">
            <w:pPr>
              <w:spacing w:before="22" w:after="22"/>
              <w:ind w:right="22"/>
              <w:rPr>
                <w:rFonts w:ascii="Arial" w:hAnsi="Arial" w:cs="Arial"/>
                <w:color w:val="000000"/>
                <w:sz w:val="18"/>
                <w:szCs w:val="18"/>
              </w:rPr>
            </w:pPr>
            <w:r>
              <w:rPr>
                <w:rFonts w:ascii="Arial" w:hAnsi="Arial" w:cs="Arial"/>
                <w:color w:val="000000"/>
                <w:sz w:val="18"/>
                <w:szCs w:val="18"/>
              </w:rPr>
              <w:t> %</w:t>
            </w:r>
          </w:p>
        </w:tc>
        <w:tc>
          <w:tcPr>
            <w:tcW w:w="102" w:type="dxa"/>
            <w:tcBorders>
              <w:top w:val="single" w:sz="6" w:space="0" w:color="000000"/>
              <w:left w:val="nil"/>
              <w:bottom w:val="nil"/>
              <w:right w:val="nil"/>
            </w:tcBorders>
            <w:shd w:val="clear" w:color="CFD4D8" w:fill="CFD4D8"/>
            <w:vAlign w:val="bottom"/>
          </w:tcPr>
          <w:p w:rsidR="0073298C" w:rsidRDefault="0073298C" w:rsidP="0073298C">
            <w:pPr>
              <w:spacing w:before="22" w:after="22"/>
              <w:ind w:left="22" w:right="22"/>
              <w:rPr>
                <w:color w:val="000000"/>
              </w:rPr>
            </w:pPr>
            <w:r>
              <w:rPr>
                <w:color w:val="000000"/>
              </w:rPr>
              <w:t> </w:t>
            </w:r>
          </w:p>
        </w:tc>
        <w:tc>
          <w:tcPr>
            <w:tcW w:w="1025" w:type="dxa"/>
            <w:tcBorders>
              <w:top w:val="single" w:sz="6" w:space="0" w:color="000000"/>
              <w:left w:val="nil"/>
              <w:bottom w:val="nil"/>
              <w:right w:val="nil"/>
            </w:tcBorders>
            <w:shd w:val="clear" w:color="CFD4D8" w:fill="CFD4D8"/>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(5.3</w:t>
            </w:r>
          </w:p>
        </w:tc>
        <w:tc>
          <w:tcPr>
            <w:tcW w:w="297" w:type="dxa"/>
            <w:gridSpan w:val="2"/>
            <w:tcBorders>
              <w:top w:val="single" w:sz="6" w:space="0" w:color="000000"/>
              <w:left w:val="nil"/>
              <w:bottom w:val="nil"/>
              <w:right w:val="single" w:sz="6" w:space="0" w:color="00467E"/>
            </w:tcBorders>
            <w:shd w:val="clear" w:color="CFD4D8" w:fill="CFD4D8"/>
            <w:vAlign w:val="center"/>
          </w:tcPr>
          <w:p w:rsidR="0073298C" w:rsidRDefault="0073298C" w:rsidP="0073298C">
            <w:pPr>
              <w:spacing w:before="22" w:after="22"/>
              <w:ind w:right="22"/>
              <w:rPr>
                <w:rFonts w:ascii="Arial" w:hAnsi="Arial" w:cs="Arial"/>
                <w:color w:val="000000"/>
                <w:sz w:val="18"/>
                <w:szCs w:val="18"/>
              </w:rPr>
            </w:pPr>
            <w:r>
              <w:rPr>
                <w:rFonts w:ascii="Arial" w:hAnsi="Arial" w:cs="Arial"/>
                <w:color w:val="000000"/>
                <w:sz w:val="18"/>
                <w:szCs w:val="18"/>
              </w:rPr>
              <w:t> %)</w:t>
            </w:r>
          </w:p>
        </w:tc>
      </w:tr>
      <w:tr w:rsidR="0073298C" w:rsidTr="000E3B20">
        <w:tblPrEx>
          <w:tblCellMar>
            <w:top w:w="0" w:type="dxa"/>
            <w:left w:w="0" w:type="dxa"/>
            <w:bottom w:w="0" w:type="dxa"/>
            <w:right w:w="0" w:type="dxa"/>
          </w:tblCellMar>
        </w:tblPrEx>
        <w:trPr>
          <w:trHeight w:val="298"/>
        </w:trPr>
        <w:tc>
          <w:tcPr>
            <w:tcW w:w="3172" w:type="dxa"/>
            <w:tcBorders>
              <w:top w:val="nil"/>
              <w:left w:val="single" w:sz="6" w:space="0" w:color="00467E"/>
              <w:bottom w:val="nil"/>
              <w:right w:val="nil"/>
            </w:tcBorders>
            <w:vAlign w:val="center"/>
          </w:tcPr>
          <w:p w:rsidR="0073298C" w:rsidRDefault="0073298C" w:rsidP="0073298C">
            <w:pPr>
              <w:spacing w:before="22" w:after="22"/>
              <w:ind w:left="330" w:right="22"/>
              <w:rPr>
                <w:rFonts w:ascii="Arial" w:hAnsi="Arial" w:cs="Arial"/>
                <w:color w:val="000000"/>
                <w:sz w:val="18"/>
                <w:szCs w:val="18"/>
              </w:rPr>
            </w:pPr>
            <w:r>
              <w:rPr>
                <w:rFonts w:ascii="Arial" w:hAnsi="Arial" w:cs="Arial"/>
                <w:color w:val="000000"/>
                <w:sz w:val="18"/>
                <w:szCs w:val="18"/>
              </w:rPr>
              <w:t>% of total revenue</w:t>
            </w:r>
          </w:p>
        </w:tc>
        <w:tc>
          <w:tcPr>
            <w:tcW w:w="1333" w:type="dxa"/>
            <w:gridSpan w:val="2"/>
            <w:tcBorders>
              <w:top w:val="nil"/>
              <w:left w:val="nil"/>
              <w:bottom w:val="nil"/>
              <w:right w:val="nil"/>
            </w:tcBorders>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24.5</w:t>
            </w:r>
          </w:p>
        </w:tc>
        <w:tc>
          <w:tcPr>
            <w:tcW w:w="180" w:type="dxa"/>
            <w:tcBorders>
              <w:top w:val="nil"/>
              <w:left w:val="nil"/>
              <w:bottom w:val="nil"/>
              <w:right w:val="nil"/>
            </w:tcBorders>
            <w:vAlign w:val="center"/>
          </w:tcPr>
          <w:p w:rsidR="0073298C" w:rsidRDefault="0073298C" w:rsidP="0073298C">
            <w:pPr>
              <w:spacing w:before="22" w:after="22"/>
              <w:ind w:right="22"/>
              <w:rPr>
                <w:rFonts w:ascii="Arial" w:hAnsi="Arial" w:cs="Arial"/>
                <w:color w:val="000000"/>
                <w:sz w:val="18"/>
                <w:szCs w:val="18"/>
              </w:rPr>
            </w:pPr>
            <w:r>
              <w:rPr>
                <w:rFonts w:ascii="Arial" w:hAnsi="Arial" w:cs="Arial"/>
                <w:color w:val="000000"/>
                <w:sz w:val="18"/>
                <w:szCs w:val="18"/>
              </w:rPr>
              <w:t>%</w:t>
            </w:r>
          </w:p>
        </w:tc>
        <w:tc>
          <w:tcPr>
            <w:tcW w:w="102" w:type="dxa"/>
            <w:tcBorders>
              <w:top w:val="nil"/>
              <w:left w:val="nil"/>
              <w:bottom w:val="nil"/>
              <w:right w:val="nil"/>
            </w:tcBorders>
            <w:vAlign w:val="bottom"/>
          </w:tcPr>
          <w:p w:rsidR="0073298C" w:rsidRDefault="0073298C" w:rsidP="0073298C">
            <w:pPr>
              <w:spacing w:before="22" w:after="22"/>
              <w:ind w:left="22" w:right="22"/>
              <w:rPr>
                <w:color w:val="000000"/>
              </w:rPr>
            </w:pPr>
            <w:r>
              <w:rPr>
                <w:color w:val="000000"/>
              </w:rPr>
              <w:t> </w:t>
            </w:r>
          </w:p>
        </w:tc>
        <w:tc>
          <w:tcPr>
            <w:tcW w:w="1333" w:type="dxa"/>
            <w:gridSpan w:val="2"/>
            <w:tcBorders>
              <w:top w:val="nil"/>
              <w:left w:val="nil"/>
              <w:bottom w:val="nil"/>
              <w:right w:val="nil"/>
            </w:tcBorders>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20.9</w:t>
            </w:r>
          </w:p>
        </w:tc>
        <w:tc>
          <w:tcPr>
            <w:tcW w:w="180" w:type="dxa"/>
            <w:tcBorders>
              <w:top w:val="nil"/>
              <w:left w:val="nil"/>
              <w:bottom w:val="nil"/>
              <w:right w:val="nil"/>
            </w:tcBorders>
            <w:vAlign w:val="center"/>
          </w:tcPr>
          <w:p w:rsidR="0073298C" w:rsidRDefault="0073298C" w:rsidP="0073298C">
            <w:pPr>
              <w:spacing w:before="22" w:after="22"/>
              <w:ind w:right="22"/>
              <w:rPr>
                <w:rFonts w:ascii="Arial" w:hAnsi="Arial" w:cs="Arial"/>
                <w:color w:val="000000"/>
                <w:sz w:val="18"/>
                <w:szCs w:val="18"/>
              </w:rPr>
            </w:pPr>
            <w:r>
              <w:rPr>
                <w:rFonts w:ascii="Arial" w:hAnsi="Arial" w:cs="Arial"/>
                <w:color w:val="000000"/>
                <w:sz w:val="18"/>
                <w:szCs w:val="18"/>
              </w:rPr>
              <w:t>%</w:t>
            </w:r>
          </w:p>
        </w:tc>
        <w:tc>
          <w:tcPr>
            <w:tcW w:w="102" w:type="dxa"/>
            <w:tcBorders>
              <w:top w:val="nil"/>
              <w:left w:val="nil"/>
              <w:bottom w:val="nil"/>
              <w:right w:val="nil"/>
            </w:tcBorders>
            <w:vAlign w:val="bottom"/>
          </w:tcPr>
          <w:p w:rsidR="0073298C" w:rsidRDefault="0073298C" w:rsidP="0073298C">
            <w:pPr>
              <w:spacing w:before="22" w:after="22"/>
              <w:ind w:left="22" w:right="22"/>
              <w:rPr>
                <w:color w:val="000000"/>
              </w:rPr>
            </w:pPr>
            <w:r>
              <w:rPr>
                <w:color w:val="000000"/>
              </w:rPr>
              <w:t> </w:t>
            </w:r>
          </w:p>
        </w:tc>
        <w:tc>
          <w:tcPr>
            <w:tcW w:w="1333" w:type="dxa"/>
            <w:gridSpan w:val="2"/>
            <w:tcBorders>
              <w:top w:val="nil"/>
              <w:left w:val="nil"/>
              <w:bottom w:val="nil"/>
              <w:right w:val="nil"/>
            </w:tcBorders>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20.9</w:t>
            </w:r>
          </w:p>
        </w:tc>
        <w:tc>
          <w:tcPr>
            <w:tcW w:w="183" w:type="dxa"/>
            <w:tcBorders>
              <w:top w:val="nil"/>
              <w:left w:val="nil"/>
              <w:bottom w:val="nil"/>
              <w:right w:val="nil"/>
            </w:tcBorders>
            <w:vAlign w:val="center"/>
          </w:tcPr>
          <w:p w:rsidR="0073298C" w:rsidRDefault="0073298C" w:rsidP="0073298C">
            <w:pPr>
              <w:spacing w:before="22" w:after="22"/>
              <w:ind w:right="22"/>
              <w:rPr>
                <w:rFonts w:ascii="Arial" w:hAnsi="Arial" w:cs="Arial"/>
                <w:color w:val="000000"/>
                <w:sz w:val="18"/>
                <w:szCs w:val="18"/>
              </w:rPr>
            </w:pPr>
            <w:r>
              <w:rPr>
                <w:rFonts w:ascii="Arial" w:hAnsi="Arial" w:cs="Arial"/>
                <w:color w:val="000000"/>
                <w:sz w:val="18"/>
                <w:szCs w:val="18"/>
              </w:rPr>
              <w:t>%</w:t>
            </w:r>
          </w:p>
        </w:tc>
        <w:tc>
          <w:tcPr>
            <w:tcW w:w="102" w:type="dxa"/>
            <w:tcBorders>
              <w:top w:val="single" w:sz="6" w:space="0" w:color="00467E"/>
              <w:left w:val="nil"/>
              <w:bottom w:val="nil"/>
              <w:right w:val="nil"/>
            </w:tcBorders>
            <w:shd w:val="clear" w:color="00467E" w:fill="00467E"/>
            <w:vAlign w:val="bottom"/>
          </w:tcPr>
          <w:p w:rsidR="0073298C" w:rsidRDefault="0073298C" w:rsidP="0073298C">
            <w:pPr>
              <w:spacing w:before="22" w:after="22"/>
              <w:ind w:left="22" w:right="22"/>
              <w:rPr>
                <w:color w:val="000000"/>
              </w:rPr>
            </w:pPr>
            <w:r>
              <w:rPr>
                <w:color w:val="000000"/>
              </w:rPr>
              <w:t> </w:t>
            </w:r>
          </w:p>
        </w:tc>
        <w:tc>
          <w:tcPr>
            <w:tcW w:w="999" w:type="dxa"/>
            <w:tcBorders>
              <w:top w:val="nil"/>
              <w:left w:val="nil"/>
              <w:bottom w:val="nil"/>
              <w:right w:val="nil"/>
            </w:tcBorders>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360</w:t>
            </w:r>
          </w:p>
        </w:tc>
        <w:tc>
          <w:tcPr>
            <w:tcW w:w="360" w:type="dxa"/>
            <w:tcBorders>
              <w:top w:val="nil"/>
              <w:left w:val="nil"/>
              <w:bottom w:val="nil"/>
              <w:right w:val="nil"/>
            </w:tcBorders>
            <w:vAlign w:val="center"/>
          </w:tcPr>
          <w:p w:rsidR="0073298C" w:rsidRDefault="0073298C" w:rsidP="0073298C">
            <w:pPr>
              <w:spacing w:before="22" w:after="22"/>
              <w:ind w:right="22"/>
              <w:rPr>
                <w:rFonts w:ascii="Arial" w:hAnsi="Arial" w:cs="Arial"/>
                <w:color w:val="000000"/>
                <w:sz w:val="18"/>
                <w:szCs w:val="18"/>
              </w:rPr>
            </w:pPr>
            <w:r>
              <w:rPr>
                <w:rFonts w:ascii="Arial" w:hAnsi="Arial" w:cs="Arial"/>
                <w:color w:val="000000"/>
                <w:sz w:val="18"/>
                <w:szCs w:val="18"/>
              </w:rPr>
              <w:t> bps</w:t>
            </w:r>
          </w:p>
        </w:tc>
        <w:tc>
          <w:tcPr>
            <w:tcW w:w="102" w:type="dxa"/>
            <w:tcBorders>
              <w:top w:val="nil"/>
              <w:left w:val="nil"/>
              <w:bottom w:val="nil"/>
              <w:right w:val="nil"/>
            </w:tcBorders>
            <w:vAlign w:val="bottom"/>
          </w:tcPr>
          <w:p w:rsidR="0073298C" w:rsidRDefault="0073298C" w:rsidP="0073298C">
            <w:pPr>
              <w:spacing w:before="22" w:after="22"/>
              <w:ind w:left="22" w:right="22"/>
              <w:rPr>
                <w:color w:val="000000"/>
              </w:rPr>
            </w:pPr>
            <w:r>
              <w:rPr>
                <w:color w:val="000000"/>
              </w:rPr>
              <w:t> </w:t>
            </w:r>
          </w:p>
        </w:tc>
        <w:tc>
          <w:tcPr>
            <w:tcW w:w="1025" w:type="dxa"/>
            <w:tcBorders>
              <w:top w:val="nil"/>
              <w:left w:val="nil"/>
              <w:bottom w:val="nil"/>
              <w:right w:val="nil"/>
            </w:tcBorders>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w:t>
            </w:r>
          </w:p>
        </w:tc>
        <w:tc>
          <w:tcPr>
            <w:tcW w:w="297" w:type="dxa"/>
            <w:gridSpan w:val="2"/>
            <w:tcBorders>
              <w:top w:val="nil"/>
              <w:left w:val="nil"/>
              <w:bottom w:val="nil"/>
              <w:right w:val="single" w:sz="6" w:space="0" w:color="00467E"/>
            </w:tcBorders>
            <w:vAlign w:val="bottom"/>
          </w:tcPr>
          <w:p w:rsidR="0073298C" w:rsidRDefault="0073298C" w:rsidP="0073298C">
            <w:pPr>
              <w:spacing w:before="22" w:after="22"/>
              <w:ind w:left="22"/>
              <w:jc w:val="right"/>
              <w:rPr>
                <w:rFonts w:ascii="Arial" w:hAnsi="Arial" w:cs="Arial"/>
                <w:color w:val="000000"/>
                <w:sz w:val="18"/>
                <w:szCs w:val="18"/>
              </w:rPr>
            </w:pPr>
          </w:p>
          <w:p w:rsidR="0073298C" w:rsidRDefault="0073298C" w:rsidP="0073298C">
            <w:pPr>
              <w:rPr>
                <w:sz w:val="16"/>
                <w:szCs w:val="16"/>
              </w:rPr>
            </w:pPr>
            <w:r>
              <w:rPr>
                <w:sz w:val="16"/>
                <w:szCs w:val="16"/>
              </w:rPr>
              <w:t> </w:t>
            </w:r>
          </w:p>
        </w:tc>
      </w:tr>
      <w:tr w:rsidR="0073298C" w:rsidTr="000E3B20">
        <w:tblPrEx>
          <w:tblCellMar>
            <w:top w:w="0" w:type="dxa"/>
            <w:left w:w="0" w:type="dxa"/>
            <w:bottom w:w="0" w:type="dxa"/>
            <w:right w:w="0" w:type="dxa"/>
          </w:tblCellMar>
        </w:tblPrEx>
        <w:trPr>
          <w:trHeight w:val="479"/>
        </w:trPr>
        <w:tc>
          <w:tcPr>
            <w:tcW w:w="3172" w:type="dxa"/>
            <w:tcBorders>
              <w:top w:val="nil"/>
              <w:left w:val="single" w:sz="6" w:space="0" w:color="00467E"/>
              <w:bottom w:val="single" w:sz="6" w:space="0" w:color="00467E"/>
              <w:right w:val="nil"/>
            </w:tcBorders>
            <w:shd w:val="clear" w:color="CFD4D8" w:fill="CFD4D8"/>
            <w:vAlign w:val="center"/>
          </w:tcPr>
          <w:p w:rsidR="0073298C" w:rsidRDefault="0073298C" w:rsidP="0073298C">
            <w:pPr>
              <w:spacing w:before="22" w:after="22"/>
              <w:ind w:left="330" w:right="22"/>
              <w:rPr>
                <w:rFonts w:ascii="Arial" w:hAnsi="Arial" w:cs="Arial"/>
                <w:color w:val="000000"/>
                <w:sz w:val="18"/>
                <w:szCs w:val="18"/>
              </w:rPr>
            </w:pPr>
            <w:r>
              <w:rPr>
                <w:rFonts w:ascii="Arial" w:hAnsi="Arial" w:cs="Arial"/>
                <w:color w:val="000000"/>
                <w:sz w:val="18"/>
                <w:szCs w:val="18"/>
              </w:rPr>
              <w:t>% of revenue before fuel surcharge</w:t>
            </w:r>
          </w:p>
        </w:tc>
        <w:tc>
          <w:tcPr>
            <w:tcW w:w="1333" w:type="dxa"/>
            <w:gridSpan w:val="2"/>
            <w:tcBorders>
              <w:top w:val="nil"/>
              <w:left w:val="nil"/>
              <w:bottom w:val="single" w:sz="6" w:space="0" w:color="00467E"/>
              <w:right w:val="nil"/>
            </w:tcBorders>
            <w:shd w:val="clear" w:color="CFD4D8" w:fill="CFD4D8"/>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27.3</w:t>
            </w:r>
          </w:p>
        </w:tc>
        <w:tc>
          <w:tcPr>
            <w:tcW w:w="180" w:type="dxa"/>
            <w:tcBorders>
              <w:top w:val="nil"/>
              <w:left w:val="nil"/>
              <w:bottom w:val="single" w:sz="6" w:space="0" w:color="00467E"/>
              <w:right w:val="nil"/>
            </w:tcBorders>
            <w:shd w:val="clear" w:color="CFD4D8" w:fill="CFD4D8"/>
            <w:vAlign w:val="center"/>
          </w:tcPr>
          <w:p w:rsidR="0073298C" w:rsidRDefault="0073298C" w:rsidP="0073298C">
            <w:pPr>
              <w:spacing w:before="22" w:after="22"/>
              <w:ind w:right="22"/>
              <w:rPr>
                <w:rFonts w:ascii="Arial" w:hAnsi="Arial" w:cs="Arial"/>
                <w:color w:val="000000"/>
                <w:sz w:val="18"/>
                <w:szCs w:val="18"/>
              </w:rPr>
            </w:pPr>
            <w:r>
              <w:rPr>
                <w:rFonts w:ascii="Arial" w:hAnsi="Arial" w:cs="Arial"/>
                <w:color w:val="000000"/>
                <w:sz w:val="18"/>
                <w:szCs w:val="18"/>
              </w:rPr>
              <w:t>%</w:t>
            </w:r>
          </w:p>
        </w:tc>
        <w:tc>
          <w:tcPr>
            <w:tcW w:w="102" w:type="dxa"/>
            <w:tcBorders>
              <w:top w:val="nil"/>
              <w:left w:val="nil"/>
              <w:bottom w:val="single" w:sz="6" w:space="0" w:color="00467E"/>
              <w:right w:val="nil"/>
            </w:tcBorders>
            <w:shd w:val="clear" w:color="CFD4D8" w:fill="CFD4D8"/>
            <w:vAlign w:val="bottom"/>
          </w:tcPr>
          <w:p w:rsidR="0073298C" w:rsidRDefault="0073298C" w:rsidP="0073298C">
            <w:pPr>
              <w:spacing w:before="22" w:after="22"/>
              <w:ind w:left="22" w:right="22"/>
              <w:rPr>
                <w:color w:val="000000"/>
              </w:rPr>
            </w:pPr>
            <w:r>
              <w:rPr>
                <w:color w:val="000000"/>
              </w:rPr>
              <w:t> </w:t>
            </w:r>
          </w:p>
        </w:tc>
        <w:tc>
          <w:tcPr>
            <w:tcW w:w="1333" w:type="dxa"/>
            <w:gridSpan w:val="2"/>
            <w:tcBorders>
              <w:top w:val="nil"/>
              <w:left w:val="nil"/>
              <w:bottom w:val="single" w:sz="6" w:space="0" w:color="00467E"/>
              <w:right w:val="nil"/>
            </w:tcBorders>
            <w:shd w:val="clear" w:color="CFD4D8" w:fill="CFD4D8"/>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22.7</w:t>
            </w:r>
          </w:p>
        </w:tc>
        <w:tc>
          <w:tcPr>
            <w:tcW w:w="180" w:type="dxa"/>
            <w:tcBorders>
              <w:top w:val="nil"/>
              <w:left w:val="nil"/>
              <w:bottom w:val="single" w:sz="6" w:space="0" w:color="00467E"/>
              <w:right w:val="nil"/>
            </w:tcBorders>
            <w:shd w:val="clear" w:color="CFD4D8" w:fill="CFD4D8"/>
            <w:vAlign w:val="center"/>
          </w:tcPr>
          <w:p w:rsidR="0073298C" w:rsidRDefault="0073298C" w:rsidP="0073298C">
            <w:pPr>
              <w:spacing w:before="22" w:after="22"/>
              <w:ind w:right="22"/>
              <w:rPr>
                <w:rFonts w:ascii="Arial" w:hAnsi="Arial" w:cs="Arial"/>
                <w:color w:val="000000"/>
                <w:sz w:val="18"/>
                <w:szCs w:val="18"/>
              </w:rPr>
            </w:pPr>
            <w:r>
              <w:rPr>
                <w:rFonts w:ascii="Arial" w:hAnsi="Arial" w:cs="Arial"/>
                <w:color w:val="000000"/>
                <w:sz w:val="18"/>
                <w:szCs w:val="18"/>
              </w:rPr>
              <w:t>%</w:t>
            </w:r>
          </w:p>
        </w:tc>
        <w:tc>
          <w:tcPr>
            <w:tcW w:w="102" w:type="dxa"/>
            <w:tcBorders>
              <w:top w:val="nil"/>
              <w:left w:val="nil"/>
              <w:bottom w:val="single" w:sz="6" w:space="0" w:color="00467E"/>
              <w:right w:val="nil"/>
            </w:tcBorders>
            <w:shd w:val="clear" w:color="CFD4D8" w:fill="CFD4D8"/>
            <w:vAlign w:val="bottom"/>
          </w:tcPr>
          <w:p w:rsidR="0073298C" w:rsidRDefault="0073298C" w:rsidP="0073298C">
            <w:pPr>
              <w:spacing w:before="22" w:after="22"/>
              <w:ind w:left="22" w:right="22"/>
              <w:rPr>
                <w:color w:val="000000"/>
              </w:rPr>
            </w:pPr>
            <w:r>
              <w:rPr>
                <w:color w:val="000000"/>
              </w:rPr>
              <w:t> </w:t>
            </w:r>
          </w:p>
        </w:tc>
        <w:tc>
          <w:tcPr>
            <w:tcW w:w="1333" w:type="dxa"/>
            <w:gridSpan w:val="2"/>
            <w:tcBorders>
              <w:top w:val="nil"/>
              <w:left w:val="nil"/>
              <w:bottom w:val="single" w:sz="6" w:space="0" w:color="00467E"/>
              <w:right w:val="nil"/>
            </w:tcBorders>
            <w:shd w:val="clear" w:color="CFD4D8" w:fill="CFD4D8"/>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23.3</w:t>
            </w:r>
          </w:p>
        </w:tc>
        <w:tc>
          <w:tcPr>
            <w:tcW w:w="183" w:type="dxa"/>
            <w:tcBorders>
              <w:top w:val="nil"/>
              <w:left w:val="nil"/>
              <w:bottom w:val="single" w:sz="6" w:space="0" w:color="00467E"/>
              <w:right w:val="nil"/>
            </w:tcBorders>
            <w:shd w:val="clear" w:color="CFD4D8" w:fill="CFD4D8"/>
            <w:vAlign w:val="center"/>
          </w:tcPr>
          <w:p w:rsidR="0073298C" w:rsidRDefault="0073298C" w:rsidP="0073298C">
            <w:pPr>
              <w:spacing w:before="22" w:after="22"/>
              <w:ind w:right="22"/>
              <w:rPr>
                <w:rFonts w:ascii="Arial" w:hAnsi="Arial" w:cs="Arial"/>
                <w:color w:val="000000"/>
                <w:sz w:val="18"/>
                <w:szCs w:val="18"/>
              </w:rPr>
            </w:pPr>
            <w:r>
              <w:rPr>
                <w:rFonts w:ascii="Arial" w:hAnsi="Arial" w:cs="Arial"/>
                <w:color w:val="000000"/>
                <w:sz w:val="18"/>
                <w:szCs w:val="18"/>
              </w:rPr>
              <w:t>%</w:t>
            </w:r>
          </w:p>
        </w:tc>
        <w:tc>
          <w:tcPr>
            <w:tcW w:w="102" w:type="dxa"/>
            <w:tcBorders>
              <w:top w:val="single" w:sz="6" w:space="0" w:color="00467E"/>
              <w:left w:val="nil"/>
              <w:bottom w:val="single" w:sz="6" w:space="0" w:color="00467E"/>
              <w:right w:val="nil"/>
            </w:tcBorders>
            <w:shd w:val="clear" w:color="00467E" w:fill="00467E"/>
            <w:vAlign w:val="bottom"/>
          </w:tcPr>
          <w:p w:rsidR="0073298C" w:rsidRDefault="0073298C" w:rsidP="0073298C">
            <w:pPr>
              <w:spacing w:before="22" w:after="22"/>
              <w:ind w:left="22" w:right="22"/>
              <w:rPr>
                <w:color w:val="000000"/>
              </w:rPr>
            </w:pPr>
            <w:r>
              <w:rPr>
                <w:color w:val="000000"/>
              </w:rPr>
              <w:t> </w:t>
            </w:r>
          </w:p>
        </w:tc>
        <w:tc>
          <w:tcPr>
            <w:tcW w:w="999" w:type="dxa"/>
            <w:tcBorders>
              <w:top w:val="nil"/>
              <w:left w:val="nil"/>
              <w:bottom w:val="single" w:sz="6" w:space="0" w:color="00467E"/>
              <w:right w:val="nil"/>
            </w:tcBorders>
            <w:shd w:val="clear" w:color="CFD4D8" w:fill="CFD4D8"/>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460</w:t>
            </w:r>
          </w:p>
        </w:tc>
        <w:tc>
          <w:tcPr>
            <w:tcW w:w="360" w:type="dxa"/>
            <w:tcBorders>
              <w:top w:val="nil"/>
              <w:left w:val="nil"/>
              <w:bottom w:val="single" w:sz="6" w:space="0" w:color="00467E"/>
              <w:right w:val="nil"/>
            </w:tcBorders>
            <w:shd w:val="clear" w:color="CFD4D8" w:fill="CFD4D8"/>
            <w:vAlign w:val="center"/>
          </w:tcPr>
          <w:p w:rsidR="0073298C" w:rsidRDefault="0073298C" w:rsidP="0073298C">
            <w:pPr>
              <w:spacing w:before="22" w:after="22"/>
              <w:ind w:right="22"/>
              <w:rPr>
                <w:rFonts w:ascii="Arial" w:hAnsi="Arial" w:cs="Arial"/>
                <w:color w:val="000000"/>
                <w:sz w:val="18"/>
                <w:szCs w:val="18"/>
              </w:rPr>
            </w:pPr>
            <w:r>
              <w:rPr>
                <w:rFonts w:ascii="Arial" w:hAnsi="Arial" w:cs="Arial"/>
                <w:color w:val="000000"/>
                <w:sz w:val="18"/>
                <w:szCs w:val="18"/>
              </w:rPr>
              <w:t> bps</w:t>
            </w:r>
          </w:p>
        </w:tc>
        <w:tc>
          <w:tcPr>
            <w:tcW w:w="102" w:type="dxa"/>
            <w:tcBorders>
              <w:top w:val="nil"/>
              <w:left w:val="nil"/>
              <w:bottom w:val="single" w:sz="6" w:space="0" w:color="00467E"/>
              <w:right w:val="nil"/>
            </w:tcBorders>
            <w:shd w:val="clear" w:color="CFD4D8" w:fill="CFD4D8"/>
            <w:vAlign w:val="bottom"/>
          </w:tcPr>
          <w:p w:rsidR="0073298C" w:rsidRDefault="0073298C" w:rsidP="0073298C">
            <w:pPr>
              <w:spacing w:before="22" w:after="22"/>
              <w:ind w:left="22" w:right="22"/>
              <w:rPr>
                <w:color w:val="000000"/>
              </w:rPr>
            </w:pPr>
            <w:r>
              <w:rPr>
                <w:color w:val="000000"/>
              </w:rPr>
              <w:t> </w:t>
            </w:r>
          </w:p>
        </w:tc>
        <w:tc>
          <w:tcPr>
            <w:tcW w:w="1025" w:type="dxa"/>
            <w:tcBorders>
              <w:top w:val="nil"/>
              <w:left w:val="nil"/>
              <w:bottom w:val="single" w:sz="6" w:space="0" w:color="00467E"/>
              <w:right w:val="nil"/>
            </w:tcBorders>
            <w:shd w:val="clear" w:color="CFD4D8" w:fill="CFD4D8"/>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(60 bps)</w:t>
            </w:r>
          </w:p>
        </w:tc>
        <w:tc>
          <w:tcPr>
            <w:tcW w:w="297" w:type="dxa"/>
            <w:gridSpan w:val="2"/>
            <w:tcBorders>
              <w:top w:val="nil"/>
              <w:left w:val="nil"/>
              <w:bottom w:val="single" w:sz="6" w:space="0" w:color="00467E"/>
              <w:right w:val="single" w:sz="6" w:space="0" w:color="00467E"/>
            </w:tcBorders>
            <w:shd w:val="clear" w:color="CFD4D8" w:fill="CFD4D8"/>
            <w:vAlign w:val="bottom"/>
          </w:tcPr>
          <w:p w:rsidR="0073298C" w:rsidRDefault="0073298C" w:rsidP="0073298C">
            <w:pPr>
              <w:spacing w:before="22" w:after="22"/>
              <w:ind w:left="22"/>
              <w:jc w:val="right"/>
              <w:rPr>
                <w:rFonts w:ascii="Arial" w:hAnsi="Arial" w:cs="Arial"/>
                <w:color w:val="000000"/>
                <w:sz w:val="18"/>
                <w:szCs w:val="18"/>
              </w:rPr>
            </w:pPr>
          </w:p>
          <w:p w:rsidR="0073298C" w:rsidRDefault="0073298C" w:rsidP="0073298C">
            <w:pPr>
              <w:rPr>
                <w:sz w:val="16"/>
                <w:szCs w:val="16"/>
              </w:rPr>
            </w:pPr>
            <w:r>
              <w:rPr>
                <w:sz w:val="16"/>
                <w:szCs w:val="16"/>
              </w:rPr>
              <w:t> </w:t>
            </w:r>
          </w:p>
        </w:tc>
      </w:tr>
    </w:tbl>
    <w:p w:rsidR="0073298C" w:rsidRDefault="0073298C" w:rsidP="0073298C">
      <w:pPr>
        <w:spacing w:after="132"/>
        <w:jc w:val="both"/>
        <w:rPr>
          <w:rFonts w:ascii="Arial" w:hAnsi="Arial" w:cs="Arial"/>
          <w:color w:val="000000"/>
          <w:sz w:val="18"/>
          <w:szCs w:val="18"/>
        </w:rPr>
      </w:pPr>
      <w:r>
        <w:rPr>
          <w:rFonts w:ascii="Arial" w:hAnsi="Arial" w:cs="Arial"/>
          <w:color w:val="000000"/>
          <w:sz w:val="18"/>
          <w:szCs w:val="18"/>
        </w:rPr>
        <w:t>Purchased transportation expense is comprised of (1) payments to independent contractors in our trucking operations and (2) payments to third-party capacity providers related to logistics, freight management, and non-trucking services in our logistics and intermodal businesses.  Purchased transportation is generally affected by capacity in the market as well changes in fuel prices. As capacity tightens, our payments to third-party capacity providers and to independent contractors tend to increase. Additionally, as fuel prices increase, payments to third-party capacity providers and independent contractors increase.</w:t>
      </w:r>
    </w:p>
    <w:p w:rsidR="0073298C" w:rsidRDefault="0073298C" w:rsidP="000E3B20">
      <w:pPr>
        <w:spacing w:after="132"/>
        <w:jc w:val="both"/>
        <w:rPr>
          <w:sz w:val="16"/>
          <w:szCs w:val="16"/>
        </w:rPr>
      </w:pPr>
      <w:r>
        <w:rPr>
          <w:rFonts w:ascii="Arial" w:hAnsi="Arial" w:cs="Arial"/>
          <w:i/>
          <w:iCs/>
          <w:color w:val="000000"/>
          <w:sz w:val="18"/>
          <w:szCs w:val="18"/>
        </w:rPr>
        <w:lastRenderedPageBreak/>
        <w:t>2017 Compared to 2016 —</w:t>
      </w:r>
      <w:r>
        <w:rPr>
          <w:rFonts w:ascii="Arial" w:hAnsi="Arial" w:cs="Arial"/>
          <w:color w:val="000000"/>
          <w:sz w:val="18"/>
          <w:szCs w:val="18"/>
        </w:rPr>
        <w:t xml:space="preserve"> The $360.3 million increase in consolidated purchased transportation includes $347.3 million of expense from Swift's results for the September 9, 2017 through December 31, 2017 period. Knight's purchased transportation expense increased by $13.0 million and increased as a percentage of revenue before fuel surcharge by 140 basis points. US diesel fuel prices were higher on average in 2017 at $2.65, compared to 2016 at $2.30, which increased our payments made to independent contractors for fuel reimbursements. Additionally, there was a 2.8% increase in miles driven by independent contractors from 2016 to 2017. In 2017, we also incurred $0.1 million in driver-incentive expenses related to the 2017 Merger. </w:t>
      </w:r>
    </w:p>
    <w:p w:rsidR="0073298C" w:rsidRDefault="0073298C" w:rsidP="0073298C">
      <w:pPr>
        <w:spacing w:after="132"/>
        <w:jc w:val="both"/>
        <w:rPr>
          <w:rFonts w:ascii="Arial" w:hAnsi="Arial" w:cs="Arial"/>
          <w:color w:val="000000"/>
          <w:sz w:val="18"/>
          <w:szCs w:val="18"/>
        </w:rPr>
      </w:pPr>
      <w:r>
        <w:rPr>
          <w:rFonts w:ascii="Arial" w:hAnsi="Arial" w:cs="Arial"/>
          <w:color w:val="000000"/>
          <w:sz w:val="18"/>
          <w:szCs w:val="18"/>
        </w:rPr>
        <w:t>We expect purchased transportation will increase as a percentage of revenue if we are successful in continuing to grow our logistics businesses, as well as Swift Intermodal. The increase could be partially offset if independent contractors exit the market with recent regulatory changes or further increased if we need to pay independent contractors more to stay with us in light of such regulatory changes. Third-party capacity has recently tightened, and we anticipate that this trend will continue into 2018.</w:t>
      </w:r>
    </w:p>
    <w:p w:rsidR="0073298C" w:rsidRDefault="0073298C" w:rsidP="0073298C">
      <w:pPr>
        <w:spacing w:after="264"/>
        <w:jc w:val="both"/>
        <w:rPr>
          <w:rFonts w:ascii="Arial" w:hAnsi="Arial" w:cs="Arial"/>
          <w:color w:val="000000"/>
          <w:sz w:val="18"/>
          <w:szCs w:val="18"/>
        </w:rPr>
      </w:pPr>
      <w:r>
        <w:rPr>
          <w:rFonts w:ascii="Arial" w:hAnsi="Arial" w:cs="Arial"/>
          <w:i/>
          <w:iCs/>
          <w:color w:val="000000"/>
          <w:sz w:val="18"/>
          <w:szCs w:val="18"/>
        </w:rPr>
        <w:t>2016 Compared to 2015 —</w:t>
      </w:r>
      <w:r>
        <w:rPr>
          <w:rFonts w:ascii="Arial" w:hAnsi="Arial" w:cs="Arial"/>
          <w:color w:val="000000"/>
          <w:sz w:val="18"/>
          <w:szCs w:val="18"/>
        </w:rPr>
        <w:t xml:space="preserve"> Purchased transportation expense, as a percentage of total revenue, remained flat at 20.9% for 2016 and 2015. The overall decrease in this category is primarily due to lower fuel surcharge equivalent payments to independent contractors and third-party capacity providers.</w:t>
      </w:r>
    </w:p>
    <w:tbl>
      <w:tblPr>
        <w:tblW w:w="10802" w:type="dxa"/>
        <w:tblInd w:w="8" w:type="dxa"/>
        <w:tblLayout w:type="fixed"/>
        <w:tblCellMar>
          <w:left w:w="0" w:type="dxa"/>
          <w:right w:w="0" w:type="dxa"/>
        </w:tblCellMar>
        <w:tblLook w:val="0000"/>
      </w:tblPr>
      <w:tblGrid>
        <w:gridCol w:w="3192"/>
        <w:gridCol w:w="120"/>
        <w:gridCol w:w="1215"/>
        <w:gridCol w:w="180"/>
        <w:gridCol w:w="103"/>
        <w:gridCol w:w="120"/>
        <w:gridCol w:w="1226"/>
        <w:gridCol w:w="180"/>
        <w:gridCol w:w="103"/>
        <w:gridCol w:w="120"/>
        <w:gridCol w:w="1226"/>
        <w:gridCol w:w="182"/>
        <w:gridCol w:w="103"/>
        <w:gridCol w:w="1034"/>
        <w:gridCol w:w="360"/>
        <w:gridCol w:w="103"/>
        <w:gridCol w:w="1034"/>
        <w:gridCol w:w="201"/>
      </w:tblGrid>
      <w:tr w:rsidR="0073298C" w:rsidTr="000E3B20">
        <w:tblPrEx>
          <w:tblCellMar>
            <w:top w:w="0" w:type="dxa"/>
            <w:left w:w="0" w:type="dxa"/>
            <w:bottom w:w="0" w:type="dxa"/>
            <w:right w:w="0" w:type="dxa"/>
          </w:tblCellMar>
        </w:tblPrEx>
        <w:trPr>
          <w:trHeight w:val="298"/>
        </w:trPr>
        <w:tc>
          <w:tcPr>
            <w:tcW w:w="3192" w:type="dxa"/>
            <w:tcBorders>
              <w:top w:val="single" w:sz="6" w:space="0" w:color="00467E"/>
              <w:left w:val="single" w:sz="6" w:space="0" w:color="00467E"/>
              <w:bottom w:val="nil"/>
              <w:right w:val="nil"/>
            </w:tcBorders>
            <w:vAlign w:val="center"/>
          </w:tcPr>
          <w:p w:rsidR="0073298C" w:rsidRDefault="0073298C" w:rsidP="0073298C">
            <w:pPr>
              <w:spacing w:before="22" w:after="22"/>
              <w:ind w:left="22" w:right="22"/>
              <w:rPr>
                <w:rFonts w:ascii="Arial" w:hAnsi="Arial" w:cs="Arial"/>
                <w:b/>
                <w:bCs w:val="0"/>
                <w:color w:val="000000"/>
                <w:sz w:val="16"/>
                <w:szCs w:val="16"/>
              </w:rPr>
            </w:pPr>
            <w:r>
              <w:rPr>
                <w:rFonts w:ascii="Arial" w:hAnsi="Arial" w:cs="Arial"/>
                <w:b/>
                <w:bCs w:val="0"/>
                <w:color w:val="000000"/>
                <w:sz w:val="16"/>
                <w:szCs w:val="16"/>
              </w:rPr>
              <w:t> </w:t>
            </w:r>
          </w:p>
        </w:tc>
        <w:tc>
          <w:tcPr>
            <w:tcW w:w="1515" w:type="dxa"/>
            <w:gridSpan w:val="3"/>
            <w:tcBorders>
              <w:top w:val="single" w:sz="6" w:space="0" w:color="00467E"/>
              <w:left w:val="nil"/>
              <w:bottom w:val="single" w:sz="6" w:space="0" w:color="000000"/>
              <w:right w:val="nil"/>
            </w:tcBorders>
            <w:vAlign w:val="center"/>
          </w:tcPr>
          <w:p w:rsidR="0073298C" w:rsidRDefault="0073298C" w:rsidP="0073298C">
            <w:pPr>
              <w:spacing w:before="22" w:after="22"/>
              <w:ind w:left="22" w:right="22"/>
              <w:jc w:val="center"/>
              <w:rPr>
                <w:rFonts w:ascii="Arial" w:hAnsi="Arial" w:cs="Arial"/>
                <w:b/>
                <w:bCs w:val="0"/>
                <w:color w:val="000000"/>
                <w:sz w:val="14"/>
                <w:szCs w:val="14"/>
              </w:rPr>
            </w:pPr>
            <w:r>
              <w:rPr>
                <w:rFonts w:ascii="Arial" w:hAnsi="Arial" w:cs="Arial"/>
                <w:b/>
                <w:bCs w:val="0"/>
                <w:color w:val="000000"/>
                <w:sz w:val="14"/>
                <w:szCs w:val="14"/>
              </w:rPr>
              <w:t>2017</w:t>
            </w:r>
          </w:p>
        </w:tc>
        <w:tc>
          <w:tcPr>
            <w:tcW w:w="103" w:type="dxa"/>
            <w:tcBorders>
              <w:top w:val="single" w:sz="6" w:space="0" w:color="00467E"/>
              <w:left w:val="nil"/>
              <w:bottom w:val="nil"/>
              <w:right w:val="nil"/>
            </w:tcBorders>
            <w:vAlign w:val="bottom"/>
          </w:tcPr>
          <w:p w:rsidR="0073298C" w:rsidRDefault="0073298C" w:rsidP="0073298C">
            <w:pPr>
              <w:spacing w:before="22" w:after="22"/>
              <w:ind w:left="22" w:right="22"/>
              <w:rPr>
                <w:color w:val="000000"/>
              </w:rPr>
            </w:pPr>
            <w:r>
              <w:rPr>
                <w:color w:val="000000"/>
              </w:rPr>
              <w:t> </w:t>
            </w:r>
          </w:p>
        </w:tc>
        <w:tc>
          <w:tcPr>
            <w:tcW w:w="1526" w:type="dxa"/>
            <w:gridSpan w:val="3"/>
            <w:tcBorders>
              <w:top w:val="single" w:sz="6" w:space="0" w:color="00467E"/>
              <w:left w:val="nil"/>
              <w:bottom w:val="single" w:sz="6" w:space="0" w:color="000000"/>
              <w:right w:val="nil"/>
            </w:tcBorders>
            <w:vAlign w:val="center"/>
          </w:tcPr>
          <w:p w:rsidR="0073298C" w:rsidRDefault="0073298C" w:rsidP="0073298C">
            <w:pPr>
              <w:spacing w:before="22" w:after="22"/>
              <w:ind w:left="22" w:right="22"/>
              <w:jc w:val="center"/>
              <w:rPr>
                <w:rFonts w:ascii="Arial" w:hAnsi="Arial" w:cs="Arial"/>
                <w:b/>
                <w:bCs w:val="0"/>
                <w:color w:val="000000"/>
                <w:sz w:val="14"/>
                <w:szCs w:val="14"/>
              </w:rPr>
            </w:pPr>
            <w:r>
              <w:rPr>
                <w:rFonts w:ascii="Arial" w:hAnsi="Arial" w:cs="Arial"/>
                <w:b/>
                <w:bCs w:val="0"/>
                <w:color w:val="000000"/>
                <w:sz w:val="14"/>
                <w:szCs w:val="14"/>
              </w:rPr>
              <w:t>2016</w:t>
            </w:r>
          </w:p>
        </w:tc>
        <w:tc>
          <w:tcPr>
            <w:tcW w:w="103" w:type="dxa"/>
            <w:tcBorders>
              <w:top w:val="single" w:sz="6" w:space="0" w:color="00467E"/>
              <w:left w:val="nil"/>
              <w:bottom w:val="nil"/>
              <w:right w:val="nil"/>
            </w:tcBorders>
            <w:vAlign w:val="bottom"/>
          </w:tcPr>
          <w:p w:rsidR="0073298C" w:rsidRDefault="0073298C" w:rsidP="0073298C">
            <w:pPr>
              <w:spacing w:before="22" w:after="22"/>
              <w:ind w:left="22" w:right="22"/>
              <w:rPr>
                <w:color w:val="000000"/>
              </w:rPr>
            </w:pPr>
            <w:r>
              <w:rPr>
                <w:color w:val="000000"/>
              </w:rPr>
              <w:t> </w:t>
            </w:r>
          </w:p>
        </w:tc>
        <w:tc>
          <w:tcPr>
            <w:tcW w:w="1528" w:type="dxa"/>
            <w:gridSpan w:val="3"/>
            <w:tcBorders>
              <w:top w:val="single" w:sz="6" w:space="0" w:color="00467E"/>
              <w:left w:val="nil"/>
              <w:bottom w:val="single" w:sz="6" w:space="0" w:color="000000"/>
              <w:right w:val="nil"/>
            </w:tcBorders>
            <w:vAlign w:val="center"/>
          </w:tcPr>
          <w:p w:rsidR="0073298C" w:rsidRDefault="0073298C" w:rsidP="0073298C">
            <w:pPr>
              <w:spacing w:before="22" w:after="22"/>
              <w:ind w:left="22" w:right="22"/>
              <w:jc w:val="center"/>
              <w:rPr>
                <w:rFonts w:ascii="Arial" w:hAnsi="Arial" w:cs="Arial"/>
                <w:b/>
                <w:bCs w:val="0"/>
                <w:color w:val="000000"/>
                <w:sz w:val="14"/>
                <w:szCs w:val="14"/>
              </w:rPr>
            </w:pPr>
            <w:r>
              <w:rPr>
                <w:rFonts w:ascii="Arial" w:hAnsi="Arial" w:cs="Arial"/>
                <w:b/>
                <w:bCs w:val="0"/>
                <w:color w:val="000000"/>
                <w:sz w:val="14"/>
                <w:szCs w:val="14"/>
              </w:rPr>
              <w:t>2015</w:t>
            </w:r>
          </w:p>
        </w:tc>
        <w:tc>
          <w:tcPr>
            <w:tcW w:w="103" w:type="dxa"/>
            <w:tcBorders>
              <w:top w:val="single" w:sz="6" w:space="0" w:color="00467E"/>
              <w:left w:val="nil"/>
              <w:bottom w:val="nil"/>
              <w:right w:val="nil"/>
            </w:tcBorders>
            <w:shd w:val="clear" w:color="00467E" w:fill="00467E"/>
            <w:vAlign w:val="bottom"/>
          </w:tcPr>
          <w:p w:rsidR="0073298C" w:rsidRDefault="0073298C" w:rsidP="0073298C">
            <w:pPr>
              <w:spacing w:before="22" w:after="22"/>
              <w:ind w:left="22" w:right="22"/>
              <w:rPr>
                <w:color w:val="000000"/>
              </w:rPr>
            </w:pPr>
            <w:r>
              <w:rPr>
                <w:color w:val="000000"/>
              </w:rPr>
              <w:t> </w:t>
            </w:r>
          </w:p>
        </w:tc>
        <w:tc>
          <w:tcPr>
            <w:tcW w:w="1394" w:type="dxa"/>
            <w:gridSpan w:val="2"/>
            <w:tcBorders>
              <w:top w:val="single" w:sz="6" w:space="0" w:color="00467E"/>
              <w:left w:val="nil"/>
              <w:bottom w:val="single" w:sz="6" w:space="0" w:color="000000"/>
              <w:right w:val="nil"/>
            </w:tcBorders>
            <w:vAlign w:val="center"/>
          </w:tcPr>
          <w:p w:rsidR="0073298C" w:rsidRDefault="0073298C" w:rsidP="0073298C">
            <w:pPr>
              <w:spacing w:before="22" w:after="22"/>
              <w:ind w:left="22" w:right="22"/>
              <w:jc w:val="center"/>
              <w:rPr>
                <w:rFonts w:ascii="Arial" w:hAnsi="Arial" w:cs="Arial"/>
                <w:b/>
                <w:bCs w:val="0"/>
                <w:color w:val="000000"/>
                <w:sz w:val="14"/>
                <w:szCs w:val="14"/>
              </w:rPr>
            </w:pPr>
            <w:r>
              <w:rPr>
                <w:rFonts w:ascii="Arial" w:hAnsi="Arial" w:cs="Arial"/>
                <w:b/>
                <w:bCs w:val="0"/>
                <w:color w:val="000000"/>
                <w:sz w:val="14"/>
                <w:szCs w:val="14"/>
              </w:rPr>
              <w:t>2017 vs. 2016</w:t>
            </w:r>
          </w:p>
        </w:tc>
        <w:tc>
          <w:tcPr>
            <w:tcW w:w="103" w:type="dxa"/>
            <w:tcBorders>
              <w:top w:val="single" w:sz="6" w:space="0" w:color="00467E"/>
              <w:left w:val="nil"/>
              <w:bottom w:val="nil"/>
              <w:right w:val="nil"/>
            </w:tcBorders>
            <w:vAlign w:val="bottom"/>
          </w:tcPr>
          <w:p w:rsidR="0073298C" w:rsidRDefault="0073298C" w:rsidP="0073298C">
            <w:pPr>
              <w:spacing w:before="22" w:after="22"/>
              <w:ind w:left="22" w:right="22"/>
              <w:rPr>
                <w:color w:val="000000"/>
              </w:rPr>
            </w:pPr>
            <w:r>
              <w:rPr>
                <w:color w:val="000000"/>
              </w:rPr>
              <w:t> </w:t>
            </w:r>
          </w:p>
        </w:tc>
        <w:tc>
          <w:tcPr>
            <w:tcW w:w="1235" w:type="dxa"/>
            <w:gridSpan w:val="2"/>
            <w:tcBorders>
              <w:top w:val="single" w:sz="6" w:space="0" w:color="00467E"/>
              <w:left w:val="nil"/>
              <w:bottom w:val="single" w:sz="6" w:space="0" w:color="000000"/>
              <w:right w:val="single" w:sz="6" w:space="0" w:color="00467E"/>
            </w:tcBorders>
            <w:vAlign w:val="center"/>
          </w:tcPr>
          <w:p w:rsidR="0073298C" w:rsidRDefault="0073298C" w:rsidP="0073298C">
            <w:pPr>
              <w:spacing w:before="22" w:after="22"/>
              <w:ind w:left="22" w:right="22"/>
              <w:jc w:val="center"/>
              <w:rPr>
                <w:rFonts w:ascii="Arial" w:hAnsi="Arial" w:cs="Arial"/>
                <w:b/>
                <w:bCs w:val="0"/>
                <w:color w:val="000000"/>
                <w:sz w:val="14"/>
                <w:szCs w:val="14"/>
              </w:rPr>
            </w:pPr>
            <w:r>
              <w:rPr>
                <w:rFonts w:ascii="Arial" w:hAnsi="Arial" w:cs="Arial"/>
                <w:b/>
                <w:bCs w:val="0"/>
                <w:color w:val="000000"/>
                <w:sz w:val="14"/>
                <w:szCs w:val="14"/>
              </w:rPr>
              <w:t>2016 vs. 2015</w:t>
            </w:r>
          </w:p>
        </w:tc>
      </w:tr>
      <w:tr w:rsidR="0073298C" w:rsidTr="000E3B20">
        <w:tblPrEx>
          <w:tblCellMar>
            <w:top w:w="0" w:type="dxa"/>
            <w:left w:w="0" w:type="dxa"/>
            <w:bottom w:w="0" w:type="dxa"/>
            <w:right w:w="0" w:type="dxa"/>
          </w:tblCellMar>
        </w:tblPrEx>
        <w:trPr>
          <w:trHeight w:val="298"/>
        </w:trPr>
        <w:tc>
          <w:tcPr>
            <w:tcW w:w="3192" w:type="dxa"/>
            <w:tcBorders>
              <w:top w:val="nil"/>
              <w:left w:val="single" w:sz="6" w:space="0" w:color="00467E"/>
              <w:bottom w:val="nil"/>
              <w:right w:val="nil"/>
            </w:tcBorders>
            <w:vAlign w:val="bottom"/>
          </w:tcPr>
          <w:p w:rsidR="0073298C" w:rsidRDefault="0073298C" w:rsidP="0073298C">
            <w:pPr>
              <w:spacing w:before="22" w:after="22"/>
              <w:ind w:left="22" w:right="22"/>
              <w:rPr>
                <w:color w:val="000000"/>
              </w:rPr>
            </w:pPr>
            <w:r>
              <w:rPr>
                <w:color w:val="000000"/>
              </w:rPr>
              <w:t> </w:t>
            </w:r>
          </w:p>
        </w:tc>
        <w:tc>
          <w:tcPr>
            <w:tcW w:w="4775" w:type="dxa"/>
            <w:gridSpan w:val="11"/>
            <w:tcBorders>
              <w:top w:val="nil"/>
              <w:left w:val="nil"/>
              <w:bottom w:val="single" w:sz="6" w:space="0" w:color="000000"/>
              <w:right w:val="nil"/>
            </w:tcBorders>
            <w:vAlign w:val="center"/>
          </w:tcPr>
          <w:p w:rsidR="0073298C" w:rsidRDefault="0073298C" w:rsidP="0073298C">
            <w:pPr>
              <w:spacing w:before="22" w:after="22"/>
              <w:ind w:left="22"/>
              <w:jc w:val="center"/>
              <w:rPr>
                <w:rFonts w:ascii="Arial" w:hAnsi="Arial" w:cs="Arial"/>
                <w:b/>
                <w:bCs w:val="0"/>
                <w:color w:val="000000"/>
                <w:sz w:val="14"/>
                <w:szCs w:val="14"/>
              </w:rPr>
            </w:pPr>
            <w:r>
              <w:rPr>
                <w:rFonts w:ascii="Arial" w:hAnsi="Arial" w:cs="Arial"/>
                <w:b/>
                <w:bCs w:val="0"/>
                <w:color w:val="000000"/>
                <w:sz w:val="14"/>
                <w:szCs w:val="14"/>
              </w:rPr>
              <w:t>(Dollars in thousands)</w:t>
            </w:r>
          </w:p>
        </w:tc>
        <w:tc>
          <w:tcPr>
            <w:tcW w:w="103" w:type="dxa"/>
            <w:tcBorders>
              <w:top w:val="single" w:sz="6" w:space="0" w:color="00467E"/>
              <w:left w:val="nil"/>
              <w:bottom w:val="nil"/>
              <w:right w:val="nil"/>
            </w:tcBorders>
            <w:shd w:val="clear" w:color="00467E" w:fill="00467E"/>
            <w:vAlign w:val="bottom"/>
          </w:tcPr>
          <w:p w:rsidR="0073298C" w:rsidRDefault="0073298C" w:rsidP="0073298C">
            <w:pPr>
              <w:spacing w:before="22" w:after="22"/>
              <w:ind w:left="22" w:right="22"/>
              <w:rPr>
                <w:color w:val="000000"/>
              </w:rPr>
            </w:pPr>
            <w:r>
              <w:rPr>
                <w:color w:val="000000"/>
              </w:rPr>
              <w:t> </w:t>
            </w:r>
          </w:p>
        </w:tc>
        <w:tc>
          <w:tcPr>
            <w:tcW w:w="2732" w:type="dxa"/>
            <w:gridSpan w:val="5"/>
            <w:tcBorders>
              <w:top w:val="nil"/>
              <w:left w:val="nil"/>
              <w:bottom w:val="single" w:sz="6" w:space="0" w:color="000000"/>
              <w:right w:val="single" w:sz="6" w:space="0" w:color="00467E"/>
            </w:tcBorders>
            <w:vAlign w:val="center"/>
          </w:tcPr>
          <w:p w:rsidR="0073298C" w:rsidRDefault="0073298C" w:rsidP="0073298C">
            <w:pPr>
              <w:spacing w:before="22" w:after="22"/>
              <w:ind w:left="22"/>
              <w:jc w:val="center"/>
              <w:rPr>
                <w:rFonts w:ascii="Arial" w:hAnsi="Arial" w:cs="Arial"/>
                <w:b/>
                <w:bCs w:val="0"/>
                <w:color w:val="000000"/>
                <w:sz w:val="14"/>
                <w:szCs w:val="14"/>
              </w:rPr>
            </w:pPr>
            <w:r>
              <w:rPr>
                <w:rFonts w:ascii="Arial" w:hAnsi="Arial" w:cs="Arial"/>
                <w:b/>
                <w:bCs w:val="0"/>
                <w:color w:val="000000"/>
                <w:sz w:val="14"/>
                <w:szCs w:val="14"/>
              </w:rPr>
              <w:t>Increase (decrease)</w:t>
            </w:r>
          </w:p>
        </w:tc>
      </w:tr>
      <w:tr w:rsidR="0073298C" w:rsidTr="000E3B20">
        <w:tblPrEx>
          <w:tblCellMar>
            <w:top w:w="0" w:type="dxa"/>
            <w:left w:w="0" w:type="dxa"/>
            <w:bottom w:w="0" w:type="dxa"/>
            <w:right w:w="0" w:type="dxa"/>
          </w:tblCellMar>
        </w:tblPrEx>
        <w:trPr>
          <w:trHeight w:val="298"/>
        </w:trPr>
        <w:tc>
          <w:tcPr>
            <w:tcW w:w="3192" w:type="dxa"/>
            <w:tcBorders>
              <w:top w:val="nil"/>
              <w:left w:val="single" w:sz="6" w:space="0" w:color="00467E"/>
              <w:bottom w:val="nil"/>
              <w:right w:val="nil"/>
            </w:tcBorders>
            <w:shd w:val="clear" w:color="CFD4D8" w:fill="CFD4D8"/>
            <w:vAlign w:val="center"/>
          </w:tcPr>
          <w:p w:rsidR="0073298C" w:rsidRDefault="0073298C" w:rsidP="0073298C">
            <w:pPr>
              <w:spacing w:before="22" w:after="22"/>
              <w:ind w:left="22" w:right="22"/>
              <w:rPr>
                <w:rFonts w:ascii="Arial" w:hAnsi="Arial" w:cs="Arial"/>
                <w:b/>
                <w:bCs w:val="0"/>
                <w:i/>
                <w:iCs/>
                <w:color w:val="9D1B11"/>
                <w:sz w:val="18"/>
                <w:szCs w:val="18"/>
              </w:rPr>
            </w:pPr>
            <w:r>
              <w:rPr>
                <w:rFonts w:ascii="Arial" w:hAnsi="Arial" w:cs="Arial"/>
                <w:b/>
                <w:bCs w:val="0"/>
                <w:i/>
                <w:iCs/>
                <w:color w:val="9D1B11"/>
                <w:sz w:val="18"/>
                <w:szCs w:val="18"/>
              </w:rPr>
              <w:t>Impairments</w:t>
            </w:r>
          </w:p>
        </w:tc>
        <w:tc>
          <w:tcPr>
            <w:tcW w:w="120" w:type="dxa"/>
            <w:tcBorders>
              <w:top w:val="nil"/>
              <w:left w:val="nil"/>
              <w:bottom w:val="nil"/>
              <w:right w:val="nil"/>
            </w:tcBorders>
            <w:shd w:val="clear" w:color="CFD4D8" w:fill="CFD4D8"/>
            <w:vAlign w:val="center"/>
          </w:tcPr>
          <w:p w:rsidR="0073298C" w:rsidRDefault="0073298C" w:rsidP="0073298C">
            <w:pPr>
              <w:spacing w:before="22" w:after="22"/>
              <w:ind w:left="22"/>
              <w:rPr>
                <w:rFonts w:ascii="Arial" w:hAnsi="Arial" w:cs="Arial"/>
                <w:color w:val="000000"/>
                <w:sz w:val="18"/>
                <w:szCs w:val="18"/>
              </w:rPr>
            </w:pPr>
            <w:r>
              <w:rPr>
                <w:rFonts w:ascii="Arial" w:hAnsi="Arial" w:cs="Arial"/>
                <w:color w:val="000000"/>
                <w:sz w:val="18"/>
                <w:szCs w:val="18"/>
              </w:rPr>
              <w:t>$</w:t>
            </w:r>
          </w:p>
        </w:tc>
        <w:tc>
          <w:tcPr>
            <w:tcW w:w="1215" w:type="dxa"/>
            <w:tcBorders>
              <w:top w:val="nil"/>
              <w:left w:val="nil"/>
              <w:bottom w:val="nil"/>
              <w:right w:val="nil"/>
            </w:tcBorders>
            <w:shd w:val="clear" w:color="CFD4D8" w:fill="CFD4D8"/>
            <w:vAlign w:val="center"/>
          </w:tcPr>
          <w:p w:rsidR="0073298C" w:rsidRDefault="0073298C" w:rsidP="0073298C">
            <w:pPr>
              <w:spacing w:before="22" w:after="22"/>
              <w:jc w:val="right"/>
              <w:rPr>
                <w:rFonts w:ascii="Arial" w:hAnsi="Arial" w:cs="Arial"/>
                <w:color w:val="000000"/>
                <w:sz w:val="18"/>
                <w:szCs w:val="18"/>
              </w:rPr>
            </w:pPr>
            <w:r>
              <w:rPr>
                <w:rFonts w:ascii="Arial" w:hAnsi="Arial" w:cs="Arial"/>
                <w:color w:val="000000"/>
                <w:sz w:val="18"/>
                <w:szCs w:val="18"/>
              </w:rPr>
              <w:t>16,844</w:t>
            </w:r>
          </w:p>
        </w:tc>
        <w:tc>
          <w:tcPr>
            <w:tcW w:w="180" w:type="dxa"/>
            <w:tcBorders>
              <w:top w:val="nil"/>
              <w:left w:val="nil"/>
              <w:bottom w:val="nil"/>
              <w:right w:val="nil"/>
            </w:tcBorders>
            <w:shd w:val="clear" w:color="CFD4D8" w:fill="CFD4D8"/>
            <w:vAlign w:val="bottom"/>
          </w:tcPr>
          <w:p w:rsidR="0073298C" w:rsidRDefault="0073298C" w:rsidP="0073298C">
            <w:pPr>
              <w:spacing w:before="22" w:after="22"/>
              <w:jc w:val="right"/>
              <w:rPr>
                <w:rFonts w:ascii="Arial" w:hAnsi="Arial" w:cs="Arial"/>
                <w:color w:val="000000"/>
                <w:sz w:val="18"/>
                <w:szCs w:val="18"/>
              </w:rPr>
            </w:pPr>
          </w:p>
          <w:p w:rsidR="0073298C" w:rsidRDefault="0073298C" w:rsidP="0073298C">
            <w:pPr>
              <w:rPr>
                <w:sz w:val="16"/>
                <w:szCs w:val="16"/>
              </w:rPr>
            </w:pPr>
            <w:r>
              <w:rPr>
                <w:sz w:val="16"/>
                <w:szCs w:val="16"/>
              </w:rPr>
              <w:t> </w:t>
            </w:r>
          </w:p>
        </w:tc>
        <w:tc>
          <w:tcPr>
            <w:tcW w:w="103" w:type="dxa"/>
            <w:tcBorders>
              <w:top w:val="nil"/>
              <w:left w:val="nil"/>
              <w:bottom w:val="nil"/>
              <w:right w:val="nil"/>
            </w:tcBorders>
            <w:shd w:val="clear" w:color="CFD4D8" w:fill="CFD4D8"/>
            <w:vAlign w:val="bottom"/>
          </w:tcPr>
          <w:p w:rsidR="0073298C" w:rsidRDefault="0073298C" w:rsidP="0073298C">
            <w:pPr>
              <w:spacing w:before="22" w:after="22"/>
              <w:ind w:left="22" w:right="22"/>
              <w:rPr>
                <w:color w:val="000000"/>
              </w:rPr>
            </w:pPr>
            <w:r>
              <w:rPr>
                <w:color w:val="000000"/>
              </w:rPr>
              <w:t> </w:t>
            </w:r>
          </w:p>
        </w:tc>
        <w:tc>
          <w:tcPr>
            <w:tcW w:w="120" w:type="dxa"/>
            <w:tcBorders>
              <w:top w:val="nil"/>
              <w:left w:val="nil"/>
              <w:bottom w:val="nil"/>
              <w:right w:val="nil"/>
            </w:tcBorders>
            <w:shd w:val="clear" w:color="CFD4D8" w:fill="CFD4D8"/>
            <w:vAlign w:val="center"/>
          </w:tcPr>
          <w:p w:rsidR="0073298C" w:rsidRDefault="0073298C" w:rsidP="0073298C">
            <w:pPr>
              <w:spacing w:before="22" w:after="22"/>
              <w:ind w:left="22"/>
              <w:rPr>
                <w:rFonts w:ascii="Arial" w:hAnsi="Arial" w:cs="Arial"/>
                <w:color w:val="000000"/>
                <w:sz w:val="18"/>
                <w:szCs w:val="18"/>
              </w:rPr>
            </w:pPr>
            <w:r>
              <w:rPr>
                <w:rFonts w:ascii="Arial" w:hAnsi="Arial" w:cs="Arial"/>
                <w:color w:val="000000"/>
                <w:sz w:val="18"/>
                <w:szCs w:val="18"/>
              </w:rPr>
              <w:t>$</w:t>
            </w:r>
          </w:p>
        </w:tc>
        <w:tc>
          <w:tcPr>
            <w:tcW w:w="1226" w:type="dxa"/>
            <w:tcBorders>
              <w:top w:val="nil"/>
              <w:left w:val="nil"/>
              <w:bottom w:val="nil"/>
              <w:right w:val="nil"/>
            </w:tcBorders>
            <w:shd w:val="clear" w:color="CFD4D8" w:fill="CFD4D8"/>
            <w:vAlign w:val="center"/>
          </w:tcPr>
          <w:p w:rsidR="0073298C" w:rsidRDefault="0073298C" w:rsidP="0073298C">
            <w:pPr>
              <w:spacing w:before="22" w:after="22"/>
              <w:jc w:val="right"/>
              <w:rPr>
                <w:rFonts w:ascii="Arial" w:hAnsi="Arial" w:cs="Arial"/>
                <w:color w:val="000000"/>
                <w:sz w:val="18"/>
                <w:szCs w:val="18"/>
              </w:rPr>
            </w:pPr>
            <w:r>
              <w:rPr>
                <w:rFonts w:ascii="Arial" w:hAnsi="Arial" w:cs="Arial"/>
                <w:color w:val="000000"/>
                <w:sz w:val="18"/>
                <w:szCs w:val="18"/>
              </w:rPr>
              <w:t>—</w:t>
            </w:r>
          </w:p>
        </w:tc>
        <w:tc>
          <w:tcPr>
            <w:tcW w:w="180" w:type="dxa"/>
            <w:tcBorders>
              <w:top w:val="nil"/>
              <w:left w:val="nil"/>
              <w:bottom w:val="nil"/>
              <w:right w:val="nil"/>
            </w:tcBorders>
            <w:shd w:val="clear" w:color="CFD4D8" w:fill="CFD4D8"/>
            <w:vAlign w:val="bottom"/>
          </w:tcPr>
          <w:p w:rsidR="0073298C" w:rsidRDefault="0073298C" w:rsidP="0073298C">
            <w:pPr>
              <w:spacing w:before="22" w:after="22"/>
              <w:jc w:val="right"/>
              <w:rPr>
                <w:rFonts w:ascii="Arial" w:hAnsi="Arial" w:cs="Arial"/>
                <w:color w:val="000000"/>
                <w:sz w:val="18"/>
                <w:szCs w:val="18"/>
              </w:rPr>
            </w:pPr>
          </w:p>
          <w:p w:rsidR="0073298C" w:rsidRDefault="0073298C" w:rsidP="0073298C">
            <w:pPr>
              <w:rPr>
                <w:sz w:val="16"/>
                <w:szCs w:val="16"/>
              </w:rPr>
            </w:pPr>
            <w:r>
              <w:rPr>
                <w:sz w:val="16"/>
                <w:szCs w:val="16"/>
              </w:rPr>
              <w:t> </w:t>
            </w:r>
          </w:p>
        </w:tc>
        <w:tc>
          <w:tcPr>
            <w:tcW w:w="103" w:type="dxa"/>
            <w:tcBorders>
              <w:top w:val="nil"/>
              <w:left w:val="nil"/>
              <w:bottom w:val="nil"/>
              <w:right w:val="nil"/>
            </w:tcBorders>
            <w:shd w:val="clear" w:color="CFD4D8" w:fill="CFD4D8"/>
            <w:vAlign w:val="bottom"/>
          </w:tcPr>
          <w:p w:rsidR="0073298C" w:rsidRDefault="0073298C" w:rsidP="0073298C">
            <w:pPr>
              <w:spacing w:before="22" w:after="22"/>
              <w:ind w:left="22" w:right="22"/>
              <w:rPr>
                <w:color w:val="000000"/>
              </w:rPr>
            </w:pPr>
            <w:r>
              <w:rPr>
                <w:color w:val="000000"/>
              </w:rPr>
              <w:t> </w:t>
            </w:r>
          </w:p>
        </w:tc>
        <w:tc>
          <w:tcPr>
            <w:tcW w:w="120" w:type="dxa"/>
            <w:tcBorders>
              <w:top w:val="nil"/>
              <w:left w:val="nil"/>
              <w:bottom w:val="nil"/>
              <w:right w:val="nil"/>
            </w:tcBorders>
            <w:shd w:val="clear" w:color="CFD4D8" w:fill="CFD4D8"/>
            <w:vAlign w:val="center"/>
          </w:tcPr>
          <w:p w:rsidR="0073298C" w:rsidRDefault="0073298C" w:rsidP="0073298C">
            <w:pPr>
              <w:spacing w:before="22" w:after="22"/>
              <w:ind w:left="22"/>
              <w:rPr>
                <w:rFonts w:ascii="Arial" w:hAnsi="Arial" w:cs="Arial"/>
                <w:color w:val="000000"/>
                <w:sz w:val="18"/>
                <w:szCs w:val="18"/>
              </w:rPr>
            </w:pPr>
            <w:r>
              <w:rPr>
                <w:rFonts w:ascii="Arial" w:hAnsi="Arial" w:cs="Arial"/>
                <w:color w:val="000000"/>
                <w:sz w:val="18"/>
                <w:szCs w:val="18"/>
              </w:rPr>
              <w:t>$</w:t>
            </w:r>
          </w:p>
        </w:tc>
        <w:tc>
          <w:tcPr>
            <w:tcW w:w="1226" w:type="dxa"/>
            <w:tcBorders>
              <w:top w:val="nil"/>
              <w:left w:val="nil"/>
              <w:bottom w:val="nil"/>
              <w:right w:val="nil"/>
            </w:tcBorders>
            <w:shd w:val="clear" w:color="CFD4D8" w:fill="CFD4D8"/>
            <w:vAlign w:val="center"/>
          </w:tcPr>
          <w:p w:rsidR="0073298C" w:rsidRDefault="0073298C" w:rsidP="0073298C">
            <w:pPr>
              <w:spacing w:before="22" w:after="22"/>
              <w:jc w:val="right"/>
              <w:rPr>
                <w:rFonts w:ascii="Arial" w:hAnsi="Arial" w:cs="Arial"/>
                <w:color w:val="000000"/>
                <w:sz w:val="18"/>
                <w:szCs w:val="18"/>
              </w:rPr>
            </w:pPr>
            <w:r>
              <w:rPr>
                <w:rFonts w:ascii="Arial" w:hAnsi="Arial" w:cs="Arial"/>
                <w:color w:val="000000"/>
                <w:sz w:val="18"/>
                <w:szCs w:val="18"/>
              </w:rPr>
              <w:t>—</w:t>
            </w:r>
          </w:p>
        </w:tc>
        <w:tc>
          <w:tcPr>
            <w:tcW w:w="182" w:type="dxa"/>
            <w:tcBorders>
              <w:top w:val="nil"/>
              <w:left w:val="nil"/>
              <w:bottom w:val="nil"/>
              <w:right w:val="nil"/>
            </w:tcBorders>
            <w:shd w:val="clear" w:color="CFD4D8" w:fill="CFD4D8"/>
            <w:vAlign w:val="bottom"/>
          </w:tcPr>
          <w:p w:rsidR="0073298C" w:rsidRDefault="0073298C" w:rsidP="0073298C">
            <w:pPr>
              <w:spacing w:before="22" w:after="22"/>
              <w:jc w:val="right"/>
              <w:rPr>
                <w:rFonts w:ascii="Arial" w:hAnsi="Arial" w:cs="Arial"/>
                <w:color w:val="000000"/>
                <w:sz w:val="18"/>
                <w:szCs w:val="18"/>
              </w:rPr>
            </w:pPr>
          </w:p>
          <w:p w:rsidR="0073298C" w:rsidRDefault="0073298C" w:rsidP="0073298C">
            <w:pPr>
              <w:rPr>
                <w:sz w:val="16"/>
                <w:szCs w:val="16"/>
              </w:rPr>
            </w:pPr>
            <w:r>
              <w:rPr>
                <w:sz w:val="16"/>
                <w:szCs w:val="16"/>
              </w:rPr>
              <w:t> </w:t>
            </w:r>
          </w:p>
        </w:tc>
        <w:tc>
          <w:tcPr>
            <w:tcW w:w="103" w:type="dxa"/>
            <w:tcBorders>
              <w:top w:val="single" w:sz="6" w:space="0" w:color="00467E"/>
              <w:left w:val="nil"/>
              <w:bottom w:val="nil"/>
              <w:right w:val="nil"/>
            </w:tcBorders>
            <w:shd w:val="clear" w:color="00467E" w:fill="00467E"/>
            <w:vAlign w:val="bottom"/>
          </w:tcPr>
          <w:p w:rsidR="0073298C" w:rsidRDefault="0073298C" w:rsidP="0073298C">
            <w:pPr>
              <w:spacing w:before="22" w:after="22"/>
              <w:ind w:left="22" w:right="22"/>
              <w:rPr>
                <w:color w:val="000000"/>
              </w:rPr>
            </w:pPr>
            <w:r>
              <w:rPr>
                <w:color w:val="000000"/>
              </w:rPr>
              <w:t> </w:t>
            </w:r>
          </w:p>
        </w:tc>
        <w:tc>
          <w:tcPr>
            <w:tcW w:w="1034" w:type="dxa"/>
            <w:tcBorders>
              <w:top w:val="single" w:sz="6" w:space="0" w:color="000000"/>
              <w:left w:val="nil"/>
              <w:bottom w:val="nil"/>
              <w:right w:val="nil"/>
            </w:tcBorders>
            <w:shd w:val="clear" w:color="CFD4D8" w:fill="CFD4D8"/>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w:t>
            </w:r>
          </w:p>
        </w:tc>
        <w:tc>
          <w:tcPr>
            <w:tcW w:w="360" w:type="dxa"/>
            <w:tcBorders>
              <w:top w:val="single" w:sz="6" w:space="0" w:color="000000"/>
              <w:left w:val="nil"/>
              <w:bottom w:val="nil"/>
              <w:right w:val="nil"/>
            </w:tcBorders>
            <w:shd w:val="clear" w:color="CFD4D8" w:fill="CFD4D8"/>
            <w:vAlign w:val="bottom"/>
          </w:tcPr>
          <w:p w:rsidR="0073298C" w:rsidRDefault="0073298C" w:rsidP="0073298C">
            <w:pPr>
              <w:spacing w:before="22" w:after="22"/>
              <w:ind w:left="22"/>
              <w:jc w:val="right"/>
              <w:rPr>
                <w:rFonts w:ascii="Arial" w:hAnsi="Arial" w:cs="Arial"/>
                <w:color w:val="000000"/>
                <w:sz w:val="18"/>
                <w:szCs w:val="18"/>
              </w:rPr>
            </w:pPr>
          </w:p>
          <w:p w:rsidR="0073298C" w:rsidRDefault="0073298C" w:rsidP="0073298C">
            <w:pPr>
              <w:rPr>
                <w:sz w:val="16"/>
                <w:szCs w:val="16"/>
              </w:rPr>
            </w:pPr>
            <w:r>
              <w:rPr>
                <w:sz w:val="16"/>
                <w:szCs w:val="16"/>
              </w:rPr>
              <w:t> </w:t>
            </w:r>
          </w:p>
        </w:tc>
        <w:tc>
          <w:tcPr>
            <w:tcW w:w="103" w:type="dxa"/>
            <w:tcBorders>
              <w:top w:val="single" w:sz="6" w:space="0" w:color="000000"/>
              <w:left w:val="nil"/>
              <w:bottom w:val="nil"/>
              <w:right w:val="nil"/>
            </w:tcBorders>
            <w:shd w:val="clear" w:color="CFD4D8" w:fill="CFD4D8"/>
            <w:vAlign w:val="bottom"/>
          </w:tcPr>
          <w:p w:rsidR="0073298C" w:rsidRDefault="0073298C" w:rsidP="0073298C">
            <w:pPr>
              <w:spacing w:before="22" w:after="22"/>
              <w:ind w:left="22" w:right="22"/>
              <w:rPr>
                <w:color w:val="000000"/>
              </w:rPr>
            </w:pPr>
            <w:r>
              <w:rPr>
                <w:color w:val="000000"/>
              </w:rPr>
              <w:t> </w:t>
            </w:r>
          </w:p>
        </w:tc>
        <w:tc>
          <w:tcPr>
            <w:tcW w:w="1034" w:type="dxa"/>
            <w:tcBorders>
              <w:top w:val="single" w:sz="6" w:space="0" w:color="000000"/>
              <w:left w:val="nil"/>
              <w:bottom w:val="nil"/>
              <w:right w:val="nil"/>
            </w:tcBorders>
            <w:shd w:val="clear" w:color="CFD4D8" w:fill="CFD4D8"/>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w:t>
            </w:r>
          </w:p>
        </w:tc>
        <w:tc>
          <w:tcPr>
            <w:tcW w:w="201" w:type="dxa"/>
            <w:tcBorders>
              <w:top w:val="single" w:sz="6" w:space="0" w:color="000000"/>
              <w:left w:val="nil"/>
              <w:bottom w:val="nil"/>
              <w:right w:val="single" w:sz="6" w:space="0" w:color="00467E"/>
            </w:tcBorders>
            <w:shd w:val="clear" w:color="CFD4D8" w:fill="CFD4D8"/>
            <w:vAlign w:val="bottom"/>
          </w:tcPr>
          <w:p w:rsidR="0073298C" w:rsidRDefault="0073298C" w:rsidP="0073298C">
            <w:pPr>
              <w:spacing w:before="22" w:after="22"/>
              <w:ind w:left="22"/>
              <w:jc w:val="right"/>
              <w:rPr>
                <w:rFonts w:ascii="Arial" w:hAnsi="Arial" w:cs="Arial"/>
                <w:color w:val="000000"/>
                <w:sz w:val="18"/>
                <w:szCs w:val="18"/>
              </w:rPr>
            </w:pPr>
          </w:p>
          <w:p w:rsidR="0073298C" w:rsidRDefault="0073298C" w:rsidP="0073298C">
            <w:pPr>
              <w:rPr>
                <w:sz w:val="16"/>
                <w:szCs w:val="16"/>
              </w:rPr>
            </w:pPr>
            <w:r>
              <w:rPr>
                <w:sz w:val="16"/>
                <w:szCs w:val="16"/>
              </w:rPr>
              <w:t> </w:t>
            </w:r>
          </w:p>
        </w:tc>
      </w:tr>
      <w:tr w:rsidR="0073298C" w:rsidTr="000E3B20">
        <w:tblPrEx>
          <w:tblCellMar>
            <w:top w:w="0" w:type="dxa"/>
            <w:left w:w="0" w:type="dxa"/>
            <w:bottom w:w="0" w:type="dxa"/>
            <w:right w:w="0" w:type="dxa"/>
          </w:tblCellMar>
        </w:tblPrEx>
        <w:trPr>
          <w:trHeight w:val="298"/>
        </w:trPr>
        <w:tc>
          <w:tcPr>
            <w:tcW w:w="3192" w:type="dxa"/>
            <w:tcBorders>
              <w:top w:val="nil"/>
              <w:left w:val="single" w:sz="6" w:space="0" w:color="00467E"/>
              <w:bottom w:val="nil"/>
              <w:right w:val="nil"/>
            </w:tcBorders>
            <w:vAlign w:val="center"/>
          </w:tcPr>
          <w:p w:rsidR="0073298C" w:rsidRDefault="0073298C" w:rsidP="0073298C">
            <w:pPr>
              <w:spacing w:before="22" w:after="22"/>
              <w:ind w:left="330" w:right="22"/>
              <w:rPr>
                <w:rFonts w:ascii="Arial" w:hAnsi="Arial" w:cs="Arial"/>
                <w:color w:val="000000"/>
                <w:sz w:val="18"/>
                <w:szCs w:val="18"/>
              </w:rPr>
            </w:pPr>
            <w:r>
              <w:rPr>
                <w:rFonts w:ascii="Arial" w:hAnsi="Arial" w:cs="Arial"/>
                <w:color w:val="000000"/>
                <w:sz w:val="18"/>
                <w:szCs w:val="18"/>
              </w:rPr>
              <w:t>% of total revenue</w:t>
            </w:r>
          </w:p>
        </w:tc>
        <w:tc>
          <w:tcPr>
            <w:tcW w:w="1335" w:type="dxa"/>
            <w:gridSpan w:val="2"/>
            <w:tcBorders>
              <w:top w:val="nil"/>
              <w:left w:val="nil"/>
              <w:bottom w:val="nil"/>
              <w:right w:val="nil"/>
            </w:tcBorders>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0.7</w:t>
            </w:r>
          </w:p>
        </w:tc>
        <w:tc>
          <w:tcPr>
            <w:tcW w:w="180" w:type="dxa"/>
            <w:tcBorders>
              <w:top w:val="nil"/>
              <w:left w:val="nil"/>
              <w:bottom w:val="nil"/>
              <w:right w:val="nil"/>
            </w:tcBorders>
            <w:vAlign w:val="center"/>
          </w:tcPr>
          <w:p w:rsidR="0073298C" w:rsidRDefault="0073298C" w:rsidP="0073298C">
            <w:pPr>
              <w:spacing w:before="22" w:after="22"/>
              <w:ind w:right="22"/>
              <w:rPr>
                <w:rFonts w:ascii="Arial" w:hAnsi="Arial" w:cs="Arial"/>
                <w:color w:val="000000"/>
                <w:sz w:val="18"/>
                <w:szCs w:val="18"/>
              </w:rPr>
            </w:pPr>
            <w:r>
              <w:rPr>
                <w:rFonts w:ascii="Arial" w:hAnsi="Arial" w:cs="Arial"/>
                <w:color w:val="000000"/>
                <w:sz w:val="18"/>
                <w:szCs w:val="18"/>
              </w:rPr>
              <w:t>%</w:t>
            </w:r>
          </w:p>
        </w:tc>
        <w:tc>
          <w:tcPr>
            <w:tcW w:w="103" w:type="dxa"/>
            <w:tcBorders>
              <w:top w:val="nil"/>
              <w:left w:val="nil"/>
              <w:bottom w:val="nil"/>
              <w:right w:val="nil"/>
            </w:tcBorders>
            <w:vAlign w:val="bottom"/>
          </w:tcPr>
          <w:p w:rsidR="0073298C" w:rsidRDefault="0073298C" w:rsidP="0073298C">
            <w:pPr>
              <w:spacing w:before="22" w:after="22"/>
              <w:ind w:left="22" w:right="22"/>
              <w:rPr>
                <w:color w:val="000000"/>
              </w:rPr>
            </w:pPr>
            <w:r>
              <w:rPr>
                <w:color w:val="000000"/>
              </w:rPr>
              <w:t> </w:t>
            </w:r>
          </w:p>
        </w:tc>
        <w:tc>
          <w:tcPr>
            <w:tcW w:w="1346" w:type="dxa"/>
            <w:gridSpan w:val="2"/>
            <w:tcBorders>
              <w:top w:val="nil"/>
              <w:left w:val="nil"/>
              <w:bottom w:val="nil"/>
              <w:right w:val="nil"/>
            </w:tcBorders>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w:t>
            </w:r>
          </w:p>
        </w:tc>
        <w:tc>
          <w:tcPr>
            <w:tcW w:w="180" w:type="dxa"/>
            <w:tcBorders>
              <w:top w:val="nil"/>
              <w:left w:val="nil"/>
              <w:bottom w:val="nil"/>
              <w:right w:val="nil"/>
            </w:tcBorders>
            <w:vAlign w:val="center"/>
          </w:tcPr>
          <w:p w:rsidR="0073298C" w:rsidRDefault="0073298C" w:rsidP="0073298C">
            <w:pPr>
              <w:spacing w:before="22" w:after="22"/>
              <w:ind w:right="22"/>
              <w:rPr>
                <w:rFonts w:ascii="Arial" w:hAnsi="Arial" w:cs="Arial"/>
                <w:color w:val="000000"/>
                <w:sz w:val="18"/>
                <w:szCs w:val="18"/>
              </w:rPr>
            </w:pPr>
            <w:r>
              <w:rPr>
                <w:rFonts w:ascii="Arial" w:hAnsi="Arial" w:cs="Arial"/>
                <w:color w:val="000000"/>
                <w:sz w:val="18"/>
                <w:szCs w:val="18"/>
              </w:rPr>
              <w:t>%</w:t>
            </w:r>
          </w:p>
        </w:tc>
        <w:tc>
          <w:tcPr>
            <w:tcW w:w="103" w:type="dxa"/>
            <w:tcBorders>
              <w:top w:val="nil"/>
              <w:left w:val="nil"/>
              <w:bottom w:val="nil"/>
              <w:right w:val="nil"/>
            </w:tcBorders>
            <w:vAlign w:val="bottom"/>
          </w:tcPr>
          <w:p w:rsidR="0073298C" w:rsidRDefault="0073298C" w:rsidP="0073298C">
            <w:pPr>
              <w:spacing w:before="22" w:after="22"/>
              <w:ind w:left="22" w:right="22"/>
              <w:rPr>
                <w:color w:val="000000"/>
              </w:rPr>
            </w:pPr>
            <w:r>
              <w:rPr>
                <w:color w:val="000000"/>
              </w:rPr>
              <w:t> </w:t>
            </w:r>
          </w:p>
        </w:tc>
        <w:tc>
          <w:tcPr>
            <w:tcW w:w="1346" w:type="dxa"/>
            <w:gridSpan w:val="2"/>
            <w:tcBorders>
              <w:top w:val="nil"/>
              <w:left w:val="nil"/>
              <w:bottom w:val="nil"/>
              <w:right w:val="nil"/>
            </w:tcBorders>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w:t>
            </w:r>
          </w:p>
        </w:tc>
        <w:tc>
          <w:tcPr>
            <w:tcW w:w="182" w:type="dxa"/>
            <w:tcBorders>
              <w:top w:val="nil"/>
              <w:left w:val="nil"/>
              <w:bottom w:val="nil"/>
              <w:right w:val="nil"/>
            </w:tcBorders>
            <w:vAlign w:val="center"/>
          </w:tcPr>
          <w:p w:rsidR="0073298C" w:rsidRDefault="0073298C" w:rsidP="0073298C">
            <w:pPr>
              <w:spacing w:before="22" w:after="22"/>
              <w:ind w:right="22"/>
              <w:rPr>
                <w:rFonts w:ascii="Arial" w:hAnsi="Arial" w:cs="Arial"/>
                <w:color w:val="000000"/>
                <w:sz w:val="18"/>
                <w:szCs w:val="18"/>
              </w:rPr>
            </w:pPr>
            <w:r>
              <w:rPr>
                <w:rFonts w:ascii="Arial" w:hAnsi="Arial" w:cs="Arial"/>
                <w:color w:val="000000"/>
                <w:sz w:val="18"/>
                <w:szCs w:val="18"/>
              </w:rPr>
              <w:t>%</w:t>
            </w:r>
          </w:p>
        </w:tc>
        <w:tc>
          <w:tcPr>
            <w:tcW w:w="103" w:type="dxa"/>
            <w:tcBorders>
              <w:top w:val="single" w:sz="6" w:space="0" w:color="00467E"/>
              <w:left w:val="nil"/>
              <w:bottom w:val="nil"/>
              <w:right w:val="nil"/>
            </w:tcBorders>
            <w:shd w:val="clear" w:color="00467E" w:fill="00467E"/>
            <w:vAlign w:val="bottom"/>
          </w:tcPr>
          <w:p w:rsidR="0073298C" w:rsidRDefault="0073298C" w:rsidP="0073298C">
            <w:pPr>
              <w:spacing w:before="22" w:after="22"/>
              <w:ind w:left="22" w:right="22"/>
              <w:rPr>
                <w:color w:val="000000"/>
              </w:rPr>
            </w:pPr>
            <w:r>
              <w:rPr>
                <w:color w:val="000000"/>
              </w:rPr>
              <w:t> </w:t>
            </w:r>
          </w:p>
        </w:tc>
        <w:tc>
          <w:tcPr>
            <w:tcW w:w="1034" w:type="dxa"/>
            <w:tcBorders>
              <w:top w:val="nil"/>
              <w:left w:val="nil"/>
              <w:bottom w:val="nil"/>
              <w:right w:val="nil"/>
            </w:tcBorders>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70</w:t>
            </w:r>
          </w:p>
        </w:tc>
        <w:tc>
          <w:tcPr>
            <w:tcW w:w="360" w:type="dxa"/>
            <w:tcBorders>
              <w:top w:val="nil"/>
              <w:left w:val="nil"/>
              <w:bottom w:val="nil"/>
              <w:right w:val="nil"/>
            </w:tcBorders>
            <w:vAlign w:val="center"/>
          </w:tcPr>
          <w:p w:rsidR="0073298C" w:rsidRDefault="0073298C" w:rsidP="0073298C">
            <w:pPr>
              <w:spacing w:before="22" w:after="22"/>
              <w:ind w:right="22"/>
              <w:rPr>
                <w:rFonts w:ascii="Arial" w:hAnsi="Arial" w:cs="Arial"/>
                <w:color w:val="000000"/>
                <w:sz w:val="18"/>
                <w:szCs w:val="18"/>
              </w:rPr>
            </w:pPr>
            <w:r>
              <w:rPr>
                <w:rFonts w:ascii="Arial" w:hAnsi="Arial" w:cs="Arial"/>
                <w:color w:val="000000"/>
                <w:sz w:val="18"/>
                <w:szCs w:val="18"/>
              </w:rPr>
              <w:t> bps</w:t>
            </w:r>
          </w:p>
        </w:tc>
        <w:tc>
          <w:tcPr>
            <w:tcW w:w="103" w:type="dxa"/>
            <w:tcBorders>
              <w:top w:val="nil"/>
              <w:left w:val="nil"/>
              <w:bottom w:val="nil"/>
              <w:right w:val="nil"/>
            </w:tcBorders>
            <w:vAlign w:val="bottom"/>
          </w:tcPr>
          <w:p w:rsidR="0073298C" w:rsidRDefault="0073298C" w:rsidP="0073298C">
            <w:pPr>
              <w:spacing w:before="22" w:after="22"/>
              <w:ind w:left="22" w:right="22"/>
              <w:rPr>
                <w:color w:val="000000"/>
              </w:rPr>
            </w:pPr>
            <w:r>
              <w:rPr>
                <w:color w:val="000000"/>
              </w:rPr>
              <w:t> </w:t>
            </w:r>
          </w:p>
        </w:tc>
        <w:tc>
          <w:tcPr>
            <w:tcW w:w="1034" w:type="dxa"/>
            <w:tcBorders>
              <w:top w:val="nil"/>
              <w:left w:val="nil"/>
              <w:bottom w:val="nil"/>
              <w:right w:val="nil"/>
            </w:tcBorders>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w:t>
            </w:r>
          </w:p>
        </w:tc>
        <w:tc>
          <w:tcPr>
            <w:tcW w:w="201" w:type="dxa"/>
            <w:tcBorders>
              <w:top w:val="nil"/>
              <w:left w:val="nil"/>
              <w:bottom w:val="nil"/>
              <w:right w:val="single" w:sz="6" w:space="0" w:color="00467E"/>
            </w:tcBorders>
            <w:vAlign w:val="bottom"/>
          </w:tcPr>
          <w:p w:rsidR="0073298C" w:rsidRDefault="0073298C" w:rsidP="0073298C">
            <w:pPr>
              <w:spacing w:before="22" w:after="22"/>
              <w:ind w:left="22"/>
              <w:jc w:val="right"/>
              <w:rPr>
                <w:rFonts w:ascii="Arial" w:hAnsi="Arial" w:cs="Arial"/>
                <w:color w:val="000000"/>
                <w:sz w:val="18"/>
                <w:szCs w:val="18"/>
              </w:rPr>
            </w:pPr>
          </w:p>
          <w:p w:rsidR="0073298C" w:rsidRDefault="0073298C" w:rsidP="0073298C">
            <w:pPr>
              <w:rPr>
                <w:sz w:val="16"/>
                <w:szCs w:val="16"/>
              </w:rPr>
            </w:pPr>
            <w:r>
              <w:rPr>
                <w:sz w:val="16"/>
                <w:szCs w:val="16"/>
              </w:rPr>
              <w:t> </w:t>
            </w:r>
          </w:p>
        </w:tc>
      </w:tr>
      <w:tr w:rsidR="0073298C" w:rsidTr="000E3B20">
        <w:tblPrEx>
          <w:tblCellMar>
            <w:top w:w="0" w:type="dxa"/>
            <w:left w:w="0" w:type="dxa"/>
            <w:bottom w:w="0" w:type="dxa"/>
            <w:right w:w="0" w:type="dxa"/>
          </w:tblCellMar>
        </w:tblPrEx>
        <w:trPr>
          <w:trHeight w:val="479"/>
        </w:trPr>
        <w:tc>
          <w:tcPr>
            <w:tcW w:w="3192" w:type="dxa"/>
            <w:tcBorders>
              <w:top w:val="nil"/>
              <w:left w:val="single" w:sz="6" w:space="0" w:color="00467E"/>
              <w:bottom w:val="single" w:sz="6" w:space="0" w:color="00467E"/>
              <w:right w:val="nil"/>
            </w:tcBorders>
            <w:shd w:val="clear" w:color="CFD4D8" w:fill="CFD4D8"/>
            <w:vAlign w:val="center"/>
          </w:tcPr>
          <w:p w:rsidR="0073298C" w:rsidRDefault="0073298C" w:rsidP="0073298C">
            <w:pPr>
              <w:spacing w:before="22" w:after="22"/>
              <w:ind w:left="330" w:right="22"/>
              <w:rPr>
                <w:rFonts w:ascii="Arial" w:hAnsi="Arial" w:cs="Arial"/>
                <w:color w:val="000000"/>
                <w:sz w:val="18"/>
                <w:szCs w:val="18"/>
              </w:rPr>
            </w:pPr>
            <w:r>
              <w:rPr>
                <w:rFonts w:ascii="Arial" w:hAnsi="Arial" w:cs="Arial"/>
                <w:color w:val="000000"/>
                <w:sz w:val="18"/>
                <w:szCs w:val="18"/>
              </w:rPr>
              <w:t>% of revenue before fuel surcharge</w:t>
            </w:r>
          </w:p>
        </w:tc>
        <w:tc>
          <w:tcPr>
            <w:tcW w:w="1335" w:type="dxa"/>
            <w:gridSpan w:val="2"/>
            <w:tcBorders>
              <w:top w:val="nil"/>
              <w:left w:val="nil"/>
              <w:bottom w:val="single" w:sz="6" w:space="0" w:color="00467E"/>
              <w:right w:val="nil"/>
            </w:tcBorders>
            <w:shd w:val="clear" w:color="CFD4D8" w:fill="CFD4D8"/>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0.8</w:t>
            </w:r>
          </w:p>
        </w:tc>
        <w:tc>
          <w:tcPr>
            <w:tcW w:w="180" w:type="dxa"/>
            <w:tcBorders>
              <w:top w:val="nil"/>
              <w:left w:val="nil"/>
              <w:bottom w:val="single" w:sz="6" w:space="0" w:color="00467E"/>
              <w:right w:val="nil"/>
            </w:tcBorders>
            <w:shd w:val="clear" w:color="CFD4D8" w:fill="CFD4D8"/>
            <w:vAlign w:val="center"/>
          </w:tcPr>
          <w:p w:rsidR="0073298C" w:rsidRDefault="0073298C" w:rsidP="0073298C">
            <w:pPr>
              <w:spacing w:before="22" w:after="22"/>
              <w:ind w:right="22"/>
              <w:rPr>
                <w:rFonts w:ascii="Arial" w:hAnsi="Arial" w:cs="Arial"/>
                <w:color w:val="000000"/>
                <w:sz w:val="18"/>
                <w:szCs w:val="18"/>
              </w:rPr>
            </w:pPr>
            <w:r>
              <w:rPr>
                <w:rFonts w:ascii="Arial" w:hAnsi="Arial" w:cs="Arial"/>
                <w:color w:val="000000"/>
                <w:sz w:val="18"/>
                <w:szCs w:val="18"/>
              </w:rPr>
              <w:t>%</w:t>
            </w:r>
          </w:p>
        </w:tc>
        <w:tc>
          <w:tcPr>
            <w:tcW w:w="103" w:type="dxa"/>
            <w:tcBorders>
              <w:top w:val="nil"/>
              <w:left w:val="nil"/>
              <w:bottom w:val="single" w:sz="6" w:space="0" w:color="00467E"/>
              <w:right w:val="nil"/>
            </w:tcBorders>
            <w:shd w:val="clear" w:color="CFD4D8" w:fill="CFD4D8"/>
            <w:vAlign w:val="bottom"/>
          </w:tcPr>
          <w:p w:rsidR="0073298C" w:rsidRDefault="0073298C" w:rsidP="0073298C">
            <w:pPr>
              <w:spacing w:before="22" w:after="22"/>
              <w:ind w:left="22" w:right="22"/>
              <w:rPr>
                <w:color w:val="000000"/>
              </w:rPr>
            </w:pPr>
            <w:r>
              <w:rPr>
                <w:color w:val="000000"/>
              </w:rPr>
              <w:t> </w:t>
            </w:r>
          </w:p>
        </w:tc>
        <w:tc>
          <w:tcPr>
            <w:tcW w:w="1346" w:type="dxa"/>
            <w:gridSpan w:val="2"/>
            <w:tcBorders>
              <w:top w:val="nil"/>
              <w:left w:val="nil"/>
              <w:bottom w:val="single" w:sz="6" w:space="0" w:color="00467E"/>
              <w:right w:val="nil"/>
            </w:tcBorders>
            <w:shd w:val="clear" w:color="CFD4D8" w:fill="CFD4D8"/>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w:t>
            </w:r>
          </w:p>
        </w:tc>
        <w:tc>
          <w:tcPr>
            <w:tcW w:w="180" w:type="dxa"/>
            <w:tcBorders>
              <w:top w:val="nil"/>
              <w:left w:val="nil"/>
              <w:bottom w:val="single" w:sz="6" w:space="0" w:color="00467E"/>
              <w:right w:val="nil"/>
            </w:tcBorders>
            <w:shd w:val="clear" w:color="CFD4D8" w:fill="CFD4D8"/>
            <w:vAlign w:val="center"/>
          </w:tcPr>
          <w:p w:rsidR="0073298C" w:rsidRDefault="0073298C" w:rsidP="0073298C">
            <w:pPr>
              <w:spacing w:before="22" w:after="22"/>
              <w:ind w:right="22"/>
              <w:rPr>
                <w:rFonts w:ascii="Arial" w:hAnsi="Arial" w:cs="Arial"/>
                <w:color w:val="000000"/>
                <w:sz w:val="18"/>
                <w:szCs w:val="18"/>
              </w:rPr>
            </w:pPr>
            <w:r>
              <w:rPr>
                <w:rFonts w:ascii="Arial" w:hAnsi="Arial" w:cs="Arial"/>
                <w:color w:val="000000"/>
                <w:sz w:val="18"/>
                <w:szCs w:val="18"/>
              </w:rPr>
              <w:t>%</w:t>
            </w:r>
          </w:p>
        </w:tc>
        <w:tc>
          <w:tcPr>
            <w:tcW w:w="103" w:type="dxa"/>
            <w:tcBorders>
              <w:top w:val="nil"/>
              <w:left w:val="nil"/>
              <w:bottom w:val="single" w:sz="6" w:space="0" w:color="00467E"/>
              <w:right w:val="nil"/>
            </w:tcBorders>
            <w:shd w:val="clear" w:color="CFD4D8" w:fill="CFD4D8"/>
            <w:vAlign w:val="bottom"/>
          </w:tcPr>
          <w:p w:rsidR="0073298C" w:rsidRDefault="0073298C" w:rsidP="0073298C">
            <w:pPr>
              <w:spacing w:before="22" w:after="22"/>
              <w:ind w:left="22" w:right="22"/>
              <w:rPr>
                <w:color w:val="000000"/>
              </w:rPr>
            </w:pPr>
            <w:r>
              <w:rPr>
                <w:color w:val="000000"/>
              </w:rPr>
              <w:t> </w:t>
            </w:r>
          </w:p>
        </w:tc>
        <w:tc>
          <w:tcPr>
            <w:tcW w:w="1346" w:type="dxa"/>
            <w:gridSpan w:val="2"/>
            <w:tcBorders>
              <w:top w:val="nil"/>
              <w:left w:val="nil"/>
              <w:bottom w:val="single" w:sz="6" w:space="0" w:color="00467E"/>
              <w:right w:val="nil"/>
            </w:tcBorders>
            <w:shd w:val="clear" w:color="CFD4D8" w:fill="CFD4D8"/>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w:t>
            </w:r>
          </w:p>
        </w:tc>
        <w:tc>
          <w:tcPr>
            <w:tcW w:w="182" w:type="dxa"/>
            <w:tcBorders>
              <w:top w:val="nil"/>
              <w:left w:val="nil"/>
              <w:bottom w:val="single" w:sz="6" w:space="0" w:color="00467E"/>
              <w:right w:val="nil"/>
            </w:tcBorders>
            <w:shd w:val="clear" w:color="CFD4D8" w:fill="CFD4D8"/>
            <w:vAlign w:val="center"/>
          </w:tcPr>
          <w:p w:rsidR="0073298C" w:rsidRDefault="0073298C" w:rsidP="0073298C">
            <w:pPr>
              <w:spacing w:before="22" w:after="22"/>
              <w:ind w:right="22"/>
              <w:rPr>
                <w:rFonts w:ascii="Arial" w:hAnsi="Arial" w:cs="Arial"/>
                <w:color w:val="000000"/>
                <w:sz w:val="18"/>
                <w:szCs w:val="18"/>
              </w:rPr>
            </w:pPr>
            <w:r>
              <w:rPr>
                <w:rFonts w:ascii="Arial" w:hAnsi="Arial" w:cs="Arial"/>
                <w:color w:val="000000"/>
                <w:sz w:val="18"/>
                <w:szCs w:val="18"/>
              </w:rPr>
              <w:t>%</w:t>
            </w:r>
          </w:p>
        </w:tc>
        <w:tc>
          <w:tcPr>
            <w:tcW w:w="103" w:type="dxa"/>
            <w:tcBorders>
              <w:top w:val="single" w:sz="6" w:space="0" w:color="00467E"/>
              <w:left w:val="nil"/>
              <w:bottom w:val="single" w:sz="6" w:space="0" w:color="00467E"/>
              <w:right w:val="nil"/>
            </w:tcBorders>
            <w:shd w:val="clear" w:color="00467E" w:fill="00467E"/>
            <w:vAlign w:val="bottom"/>
          </w:tcPr>
          <w:p w:rsidR="0073298C" w:rsidRDefault="0073298C" w:rsidP="0073298C">
            <w:pPr>
              <w:spacing w:before="22" w:after="22"/>
              <w:ind w:left="22" w:right="22"/>
              <w:rPr>
                <w:color w:val="000000"/>
              </w:rPr>
            </w:pPr>
            <w:r>
              <w:rPr>
                <w:color w:val="000000"/>
              </w:rPr>
              <w:t> </w:t>
            </w:r>
          </w:p>
        </w:tc>
        <w:tc>
          <w:tcPr>
            <w:tcW w:w="1034" w:type="dxa"/>
            <w:tcBorders>
              <w:top w:val="nil"/>
              <w:left w:val="nil"/>
              <w:bottom w:val="single" w:sz="6" w:space="0" w:color="00467E"/>
              <w:right w:val="nil"/>
            </w:tcBorders>
            <w:shd w:val="clear" w:color="CFD4D8" w:fill="CFD4D8"/>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80</w:t>
            </w:r>
          </w:p>
        </w:tc>
        <w:tc>
          <w:tcPr>
            <w:tcW w:w="360" w:type="dxa"/>
            <w:tcBorders>
              <w:top w:val="nil"/>
              <w:left w:val="nil"/>
              <w:bottom w:val="single" w:sz="6" w:space="0" w:color="00467E"/>
              <w:right w:val="nil"/>
            </w:tcBorders>
            <w:shd w:val="clear" w:color="CFD4D8" w:fill="CFD4D8"/>
            <w:vAlign w:val="center"/>
          </w:tcPr>
          <w:p w:rsidR="0073298C" w:rsidRDefault="0073298C" w:rsidP="0073298C">
            <w:pPr>
              <w:spacing w:before="22" w:after="22"/>
              <w:ind w:right="22"/>
              <w:rPr>
                <w:rFonts w:ascii="Arial" w:hAnsi="Arial" w:cs="Arial"/>
                <w:color w:val="000000"/>
                <w:sz w:val="18"/>
                <w:szCs w:val="18"/>
              </w:rPr>
            </w:pPr>
            <w:r>
              <w:rPr>
                <w:rFonts w:ascii="Arial" w:hAnsi="Arial" w:cs="Arial"/>
                <w:color w:val="000000"/>
                <w:sz w:val="18"/>
                <w:szCs w:val="18"/>
              </w:rPr>
              <w:t> bps</w:t>
            </w:r>
          </w:p>
        </w:tc>
        <w:tc>
          <w:tcPr>
            <w:tcW w:w="103" w:type="dxa"/>
            <w:tcBorders>
              <w:top w:val="nil"/>
              <w:left w:val="nil"/>
              <w:bottom w:val="single" w:sz="6" w:space="0" w:color="00467E"/>
              <w:right w:val="nil"/>
            </w:tcBorders>
            <w:shd w:val="clear" w:color="CFD4D8" w:fill="CFD4D8"/>
            <w:vAlign w:val="bottom"/>
          </w:tcPr>
          <w:p w:rsidR="0073298C" w:rsidRDefault="0073298C" w:rsidP="0073298C">
            <w:pPr>
              <w:spacing w:before="22" w:after="22"/>
              <w:ind w:left="22" w:right="22"/>
              <w:rPr>
                <w:color w:val="000000"/>
              </w:rPr>
            </w:pPr>
            <w:r>
              <w:rPr>
                <w:color w:val="000000"/>
              </w:rPr>
              <w:t> </w:t>
            </w:r>
          </w:p>
        </w:tc>
        <w:tc>
          <w:tcPr>
            <w:tcW w:w="1034" w:type="dxa"/>
            <w:tcBorders>
              <w:top w:val="nil"/>
              <w:left w:val="nil"/>
              <w:bottom w:val="single" w:sz="6" w:space="0" w:color="00467E"/>
              <w:right w:val="nil"/>
            </w:tcBorders>
            <w:shd w:val="clear" w:color="CFD4D8" w:fill="CFD4D8"/>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w:t>
            </w:r>
          </w:p>
        </w:tc>
        <w:tc>
          <w:tcPr>
            <w:tcW w:w="201" w:type="dxa"/>
            <w:tcBorders>
              <w:top w:val="nil"/>
              <w:left w:val="nil"/>
              <w:bottom w:val="single" w:sz="6" w:space="0" w:color="00467E"/>
              <w:right w:val="single" w:sz="6" w:space="0" w:color="00467E"/>
            </w:tcBorders>
            <w:shd w:val="clear" w:color="CFD4D8" w:fill="CFD4D8"/>
            <w:vAlign w:val="bottom"/>
          </w:tcPr>
          <w:p w:rsidR="0073298C" w:rsidRDefault="0073298C" w:rsidP="0073298C">
            <w:pPr>
              <w:spacing w:before="22" w:after="22"/>
              <w:ind w:left="22"/>
              <w:jc w:val="right"/>
              <w:rPr>
                <w:rFonts w:ascii="Arial" w:hAnsi="Arial" w:cs="Arial"/>
                <w:color w:val="000000"/>
                <w:sz w:val="18"/>
                <w:szCs w:val="18"/>
              </w:rPr>
            </w:pPr>
          </w:p>
          <w:p w:rsidR="0073298C" w:rsidRDefault="0073298C" w:rsidP="0073298C">
            <w:pPr>
              <w:rPr>
                <w:sz w:val="16"/>
                <w:szCs w:val="16"/>
              </w:rPr>
            </w:pPr>
            <w:r>
              <w:rPr>
                <w:sz w:val="16"/>
                <w:szCs w:val="16"/>
              </w:rPr>
              <w:t> </w:t>
            </w:r>
          </w:p>
        </w:tc>
      </w:tr>
    </w:tbl>
    <w:p w:rsidR="0073298C" w:rsidRDefault="0073298C" w:rsidP="0073298C">
      <w:pPr>
        <w:spacing w:after="264"/>
        <w:jc w:val="both"/>
        <w:rPr>
          <w:rFonts w:ascii="Arial" w:hAnsi="Arial" w:cs="Arial"/>
          <w:color w:val="000000"/>
          <w:sz w:val="18"/>
          <w:szCs w:val="18"/>
        </w:rPr>
      </w:pPr>
      <w:r>
        <w:rPr>
          <w:rFonts w:ascii="Arial" w:hAnsi="Arial" w:cs="Arial"/>
          <w:i/>
          <w:iCs/>
          <w:color w:val="000000"/>
          <w:sz w:val="18"/>
          <w:szCs w:val="18"/>
        </w:rPr>
        <w:t>2017 Compared to 2016 —</w:t>
      </w:r>
      <w:r>
        <w:rPr>
          <w:rFonts w:ascii="Arial" w:hAnsi="Arial" w:cs="Arial"/>
          <w:color w:val="000000"/>
          <w:sz w:val="18"/>
          <w:szCs w:val="18"/>
        </w:rPr>
        <w:t xml:space="preserve"> During the third quarter of 2017, we terminated the implementation of Swift's ERP system, resulting in a pre-tax impairment loss of $16.7 million. During the fourth quarter of 2017, management reassessed the fair value of certain tractors within one of the Company's leasing subsidiaries, determining that there was a pre-tax impairment loss of $0.1 million.</w:t>
      </w:r>
    </w:p>
    <w:p w:rsidR="0073298C" w:rsidRDefault="0073298C" w:rsidP="0073298C">
      <w:pPr>
        <w:spacing w:after="264"/>
        <w:jc w:val="both"/>
        <w:rPr>
          <w:rFonts w:ascii="Arial" w:hAnsi="Arial" w:cs="Arial"/>
          <w:color w:val="000000"/>
          <w:sz w:val="18"/>
          <w:szCs w:val="18"/>
        </w:rPr>
      </w:pPr>
      <w:r>
        <w:rPr>
          <w:rFonts w:ascii="Arial" w:hAnsi="Arial" w:cs="Arial"/>
          <w:i/>
          <w:iCs/>
          <w:color w:val="000000"/>
          <w:sz w:val="18"/>
          <w:szCs w:val="18"/>
        </w:rPr>
        <w:t>2016 Compared to 2015 —</w:t>
      </w:r>
      <w:r>
        <w:rPr>
          <w:rFonts w:ascii="Arial" w:hAnsi="Arial" w:cs="Arial"/>
          <w:color w:val="000000"/>
          <w:sz w:val="18"/>
          <w:szCs w:val="18"/>
        </w:rPr>
        <w:t xml:space="preserve"> There were no impairments in 2016 or 2015.</w:t>
      </w:r>
    </w:p>
    <w:tbl>
      <w:tblPr>
        <w:tblW w:w="10801" w:type="dxa"/>
        <w:tblInd w:w="8" w:type="dxa"/>
        <w:tblLayout w:type="fixed"/>
        <w:tblCellMar>
          <w:left w:w="0" w:type="dxa"/>
          <w:right w:w="0" w:type="dxa"/>
        </w:tblCellMar>
        <w:tblLook w:val="0000"/>
      </w:tblPr>
      <w:tblGrid>
        <w:gridCol w:w="3183"/>
        <w:gridCol w:w="120"/>
        <w:gridCol w:w="1206"/>
        <w:gridCol w:w="180"/>
        <w:gridCol w:w="103"/>
        <w:gridCol w:w="120"/>
        <w:gridCol w:w="1206"/>
        <w:gridCol w:w="180"/>
        <w:gridCol w:w="103"/>
        <w:gridCol w:w="120"/>
        <w:gridCol w:w="1206"/>
        <w:gridCol w:w="181"/>
        <w:gridCol w:w="103"/>
        <w:gridCol w:w="1004"/>
        <w:gridCol w:w="360"/>
        <w:gridCol w:w="103"/>
        <w:gridCol w:w="1029"/>
        <w:gridCol w:w="294"/>
      </w:tblGrid>
      <w:tr w:rsidR="0073298C" w:rsidTr="000E3B20">
        <w:tblPrEx>
          <w:tblCellMar>
            <w:top w:w="0" w:type="dxa"/>
            <w:left w:w="0" w:type="dxa"/>
            <w:bottom w:w="0" w:type="dxa"/>
            <w:right w:w="0" w:type="dxa"/>
          </w:tblCellMar>
        </w:tblPrEx>
        <w:trPr>
          <w:trHeight w:val="298"/>
        </w:trPr>
        <w:tc>
          <w:tcPr>
            <w:tcW w:w="3183" w:type="dxa"/>
            <w:tcBorders>
              <w:top w:val="single" w:sz="6" w:space="0" w:color="00467E"/>
              <w:left w:val="single" w:sz="6" w:space="0" w:color="00467E"/>
              <w:bottom w:val="nil"/>
              <w:right w:val="nil"/>
            </w:tcBorders>
            <w:vAlign w:val="center"/>
          </w:tcPr>
          <w:p w:rsidR="0073298C" w:rsidRDefault="0073298C" w:rsidP="0073298C">
            <w:pPr>
              <w:spacing w:before="22" w:after="22"/>
              <w:ind w:left="22" w:right="22"/>
              <w:rPr>
                <w:rFonts w:ascii="Arial" w:hAnsi="Arial" w:cs="Arial"/>
                <w:b/>
                <w:bCs w:val="0"/>
                <w:color w:val="000000"/>
                <w:sz w:val="16"/>
                <w:szCs w:val="16"/>
              </w:rPr>
            </w:pPr>
            <w:r>
              <w:rPr>
                <w:rFonts w:ascii="Arial" w:hAnsi="Arial" w:cs="Arial"/>
                <w:b/>
                <w:bCs w:val="0"/>
                <w:color w:val="000000"/>
                <w:sz w:val="16"/>
                <w:szCs w:val="16"/>
              </w:rPr>
              <w:t> </w:t>
            </w:r>
          </w:p>
        </w:tc>
        <w:tc>
          <w:tcPr>
            <w:tcW w:w="1506" w:type="dxa"/>
            <w:gridSpan w:val="3"/>
            <w:tcBorders>
              <w:top w:val="single" w:sz="6" w:space="0" w:color="00467E"/>
              <w:left w:val="nil"/>
              <w:bottom w:val="single" w:sz="6" w:space="0" w:color="000000"/>
              <w:right w:val="nil"/>
            </w:tcBorders>
            <w:vAlign w:val="center"/>
          </w:tcPr>
          <w:p w:rsidR="0073298C" w:rsidRDefault="0073298C" w:rsidP="0073298C">
            <w:pPr>
              <w:spacing w:before="22" w:after="22"/>
              <w:ind w:left="22" w:right="22"/>
              <w:jc w:val="center"/>
              <w:rPr>
                <w:rFonts w:ascii="Arial" w:hAnsi="Arial" w:cs="Arial"/>
                <w:b/>
                <w:bCs w:val="0"/>
                <w:color w:val="000000"/>
                <w:sz w:val="14"/>
                <w:szCs w:val="14"/>
              </w:rPr>
            </w:pPr>
            <w:r>
              <w:rPr>
                <w:rFonts w:ascii="Arial" w:hAnsi="Arial" w:cs="Arial"/>
                <w:b/>
                <w:bCs w:val="0"/>
                <w:color w:val="000000"/>
                <w:sz w:val="14"/>
                <w:szCs w:val="14"/>
              </w:rPr>
              <w:t>2017</w:t>
            </w:r>
          </w:p>
        </w:tc>
        <w:tc>
          <w:tcPr>
            <w:tcW w:w="103" w:type="dxa"/>
            <w:tcBorders>
              <w:top w:val="single" w:sz="6" w:space="0" w:color="00467E"/>
              <w:left w:val="nil"/>
              <w:bottom w:val="nil"/>
              <w:right w:val="nil"/>
            </w:tcBorders>
            <w:vAlign w:val="bottom"/>
          </w:tcPr>
          <w:p w:rsidR="0073298C" w:rsidRDefault="0073298C" w:rsidP="0073298C">
            <w:pPr>
              <w:spacing w:before="22" w:after="22"/>
              <w:ind w:left="22" w:right="22"/>
              <w:rPr>
                <w:color w:val="000000"/>
              </w:rPr>
            </w:pPr>
            <w:r>
              <w:rPr>
                <w:color w:val="000000"/>
              </w:rPr>
              <w:t> </w:t>
            </w:r>
          </w:p>
        </w:tc>
        <w:tc>
          <w:tcPr>
            <w:tcW w:w="1506" w:type="dxa"/>
            <w:gridSpan w:val="3"/>
            <w:tcBorders>
              <w:top w:val="single" w:sz="6" w:space="0" w:color="00467E"/>
              <w:left w:val="nil"/>
              <w:bottom w:val="single" w:sz="6" w:space="0" w:color="000000"/>
              <w:right w:val="nil"/>
            </w:tcBorders>
            <w:vAlign w:val="center"/>
          </w:tcPr>
          <w:p w:rsidR="0073298C" w:rsidRDefault="0073298C" w:rsidP="0073298C">
            <w:pPr>
              <w:spacing w:before="22" w:after="22"/>
              <w:ind w:left="22" w:right="22"/>
              <w:jc w:val="center"/>
              <w:rPr>
                <w:rFonts w:ascii="Arial" w:hAnsi="Arial" w:cs="Arial"/>
                <w:b/>
                <w:bCs w:val="0"/>
                <w:color w:val="000000"/>
                <w:sz w:val="14"/>
                <w:szCs w:val="14"/>
              </w:rPr>
            </w:pPr>
            <w:r>
              <w:rPr>
                <w:rFonts w:ascii="Arial" w:hAnsi="Arial" w:cs="Arial"/>
                <w:b/>
                <w:bCs w:val="0"/>
                <w:color w:val="000000"/>
                <w:sz w:val="14"/>
                <w:szCs w:val="14"/>
              </w:rPr>
              <w:t>2016</w:t>
            </w:r>
          </w:p>
        </w:tc>
        <w:tc>
          <w:tcPr>
            <w:tcW w:w="103" w:type="dxa"/>
            <w:tcBorders>
              <w:top w:val="single" w:sz="6" w:space="0" w:color="00467E"/>
              <w:left w:val="nil"/>
              <w:bottom w:val="nil"/>
              <w:right w:val="nil"/>
            </w:tcBorders>
            <w:vAlign w:val="bottom"/>
          </w:tcPr>
          <w:p w:rsidR="0073298C" w:rsidRDefault="0073298C" w:rsidP="0073298C">
            <w:pPr>
              <w:spacing w:before="22" w:after="22"/>
              <w:ind w:left="22" w:right="22"/>
              <w:rPr>
                <w:color w:val="000000"/>
              </w:rPr>
            </w:pPr>
            <w:r>
              <w:rPr>
                <w:color w:val="000000"/>
              </w:rPr>
              <w:t> </w:t>
            </w:r>
          </w:p>
        </w:tc>
        <w:tc>
          <w:tcPr>
            <w:tcW w:w="1507" w:type="dxa"/>
            <w:gridSpan w:val="3"/>
            <w:tcBorders>
              <w:top w:val="single" w:sz="6" w:space="0" w:color="00467E"/>
              <w:left w:val="nil"/>
              <w:bottom w:val="single" w:sz="6" w:space="0" w:color="000000"/>
              <w:right w:val="nil"/>
            </w:tcBorders>
            <w:vAlign w:val="center"/>
          </w:tcPr>
          <w:p w:rsidR="0073298C" w:rsidRDefault="0073298C" w:rsidP="0073298C">
            <w:pPr>
              <w:spacing w:before="22" w:after="22"/>
              <w:ind w:left="22" w:right="22"/>
              <w:jc w:val="center"/>
              <w:rPr>
                <w:rFonts w:ascii="Arial" w:hAnsi="Arial" w:cs="Arial"/>
                <w:b/>
                <w:bCs w:val="0"/>
                <w:color w:val="000000"/>
                <w:sz w:val="14"/>
                <w:szCs w:val="14"/>
              </w:rPr>
            </w:pPr>
            <w:r>
              <w:rPr>
                <w:rFonts w:ascii="Arial" w:hAnsi="Arial" w:cs="Arial"/>
                <w:b/>
                <w:bCs w:val="0"/>
                <w:color w:val="000000"/>
                <w:sz w:val="14"/>
                <w:szCs w:val="14"/>
              </w:rPr>
              <w:t>2015</w:t>
            </w:r>
          </w:p>
        </w:tc>
        <w:tc>
          <w:tcPr>
            <w:tcW w:w="103" w:type="dxa"/>
            <w:tcBorders>
              <w:top w:val="single" w:sz="6" w:space="0" w:color="00467E"/>
              <w:left w:val="nil"/>
              <w:bottom w:val="nil"/>
              <w:right w:val="nil"/>
            </w:tcBorders>
            <w:shd w:val="clear" w:color="00467E" w:fill="00467E"/>
            <w:vAlign w:val="bottom"/>
          </w:tcPr>
          <w:p w:rsidR="0073298C" w:rsidRDefault="0073298C" w:rsidP="0073298C">
            <w:pPr>
              <w:spacing w:before="22" w:after="22"/>
              <w:ind w:left="22" w:right="22"/>
              <w:rPr>
                <w:color w:val="000000"/>
              </w:rPr>
            </w:pPr>
            <w:r>
              <w:rPr>
                <w:color w:val="000000"/>
              </w:rPr>
              <w:t> </w:t>
            </w:r>
          </w:p>
        </w:tc>
        <w:tc>
          <w:tcPr>
            <w:tcW w:w="1364" w:type="dxa"/>
            <w:gridSpan w:val="2"/>
            <w:tcBorders>
              <w:top w:val="single" w:sz="6" w:space="0" w:color="00467E"/>
              <w:left w:val="nil"/>
              <w:bottom w:val="single" w:sz="6" w:space="0" w:color="000000"/>
              <w:right w:val="nil"/>
            </w:tcBorders>
            <w:vAlign w:val="center"/>
          </w:tcPr>
          <w:p w:rsidR="0073298C" w:rsidRDefault="0073298C" w:rsidP="0073298C">
            <w:pPr>
              <w:spacing w:before="22" w:after="22"/>
              <w:ind w:left="22" w:right="22"/>
              <w:jc w:val="center"/>
              <w:rPr>
                <w:rFonts w:ascii="Arial" w:hAnsi="Arial" w:cs="Arial"/>
                <w:b/>
                <w:bCs w:val="0"/>
                <w:color w:val="000000"/>
                <w:sz w:val="14"/>
                <w:szCs w:val="14"/>
              </w:rPr>
            </w:pPr>
            <w:r>
              <w:rPr>
                <w:rFonts w:ascii="Arial" w:hAnsi="Arial" w:cs="Arial"/>
                <w:b/>
                <w:bCs w:val="0"/>
                <w:color w:val="000000"/>
                <w:sz w:val="14"/>
                <w:szCs w:val="14"/>
              </w:rPr>
              <w:t>2017 vs. 2016</w:t>
            </w:r>
          </w:p>
        </w:tc>
        <w:tc>
          <w:tcPr>
            <w:tcW w:w="103" w:type="dxa"/>
            <w:tcBorders>
              <w:top w:val="single" w:sz="6" w:space="0" w:color="00467E"/>
              <w:left w:val="nil"/>
              <w:bottom w:val="nil"/>
              <w:right w:val="nil"/>
            </w:tcBorders>
            <w:vAlign w:val="bottom"/>
          </w:tcPr>
          <w:p w:rsidR="0073298C" w:rsidRDefault="0073298C" w:rsidP="0073298C">
            <w:pPr>
              <w:spacing w:before="22" w:after="22"/>
              <w:ind w:left="22" w:right="22"/>
              <w:rPr>
                <w:color w:val="000000"/>
              </w:rPr>
            </w:pPr>
            <w:r>
              <w:rPr>
                <w:color w:val="000000"/>
              </w:rPr>
              <w:t> </w:t>
            </w:r>
          </w:p>
        </w:tc>
        <w:tc>
          <w:tcPr>
            <w:tcW w:w="1323" w:type="dxa"/>
            <w:gridSpan w:val="2"/>
            <w:tcBorders>
              <w:top w:val="single" w:sz="6" w:space="0" w:color="00467E"/>
              <w:left w:val="nil"/>
              <w:bottom w:val="single" w:sz="6" w:space="0" w:color="000000"/>
              <w:right w:val="single" w:sz="6" w:space="0" w:color="00467E"/>
            </w:tcBorders>
            <w:vAlign w:val="center"/>
          </w:tcPr>
          <w:p w:rsidR="0073298C" w:rsidRDefault="0073298C" w:rsidP="0073298C">
            <w:pPr>
              <w:spacing w:before="22" w:after="22"/>
              <w:ind w:left="22" w:right="22"/>
              <w:jc w:val="center"/>
              <w:rPr>
                <w:rFonts w:ascii="Arial" w:hAnsi="Arial" w:cs="Arial"/>
                <w:b/>
                <w:bCs w:val="0"/>
                <w:color w:val="000000"/>
                <w:sz w:val="14"/>
                <w:szCs w:val="14"/>
              </w:rPr>
            </w:pPr>
            <w:r>
              <w:rPr>
                <w:rFonts w:ascii="Arial" w:hAnsi="Arial" w:cs="Arial"/>
                <w:b/>
                <w:bCs w:val="0"/>
                <w:color w:val="000000"/>
                <w:sz w:val="14"/>
                <w:szCs w:val="14"/>
              </w:rPr>
              <w:t>2016 vs. 2015</w:t>
            </w:r>
          </w:p>
        </w:tc>
      </w:tr>
      <w:tr w:rsidR="0073298C" w:rsidTr="000E3B20">
        <w:tblPrEx>
          <w:tblCellMar>
            <w:top w:w="0" w:type="dxa"/>
            <w:left w:w="0" w:type="dxa"/>
            <w:bottom w:w="0" w:type="dxa"/>
            <w:right w:w="0" w:type="dxa"/>
          </w:tblCellMar>
        </w:tblPrEx>
        <w:trPr>
          <w:trHeight w:val="298"/>
        </w:trPr>
        <w:tc>
          <w:tcPr>
            <w:tcW w:w="3183" w:type="dxa"/>
            <w:tcBorders>
              <w:top w:val="nil"/>
              <w:left w:val="single" w:sz="6" w:space="0" w:color="00467E"/>
              <w:bottom w:val="nil"/>
              <w:right w:val="nil"/>
            </w:tcBorders>
            <w:vAlign w:val="bottom"/>
          </w:tcPr>
          <w:p w:rsidR="0073298C" w:rsidRDefault="0073298C" w:rsidP="0073298C">
            <w:pPr>
              <w:spacing w:before="22" w:after="22"/>
              <w:ind w:left="22" w:right="22"/>
              <w:rPr>
                <w:color w:val="000000"/>
              </w:rPr>
            </w:pPr>
            <w:r>
              <w:rPr>
                <w:color w:val="000000"/>
              </w:rPr>
              <w:t> </w:t>
            </w:r>
          </w:p>
        </w:tc>
        <w:tc>
          <w:tcPr>
            <w:tcW w:w="4725" w:type="dxa"/>
            <w:gridSpan w:val="11"/>
            <w:tcBorders>
              <w:top w:val="nil"/>
              <w:left w:val="nil"/>
              <w:bottom w:val="single" w:sz="6" w:space="0" w:color="000000"/>
              <w:right w:val="nil"/>
            </w:tcBorders>
            <w:vAlign w:val="center"/>
          </w:tcPr>
          <w:p w:rsidR="0073298C" w:rsidRDefault="0073298C" w:rsidP="0073298C">
            <w:pPr>
              <w:spacing w:before="22" w:after="22"/>
              <w:ind w:left="22"/>
              <w:jc w:val="center"/>
              <w:rPr>
                <w:rFonts w:ascii="Arial" w:hAnsi="Arial" w:cs="Arial"/>
                <w:b/>
                <w:bCs w:val="0"/>
                <w:color w:val="000000"/>
                <w:sz w:val="14"/>
                <w:szCs w:val="14"/>
              </w:rPr>
            </w:pPr>
            <w:r>
              <w:rPr>
                <w:rFonts w:ascii="Arial" w:hAnsi="Arial" w:cs="Arial"/>
                <w:b/>
                <w:bCs w:val="0"/>
                <w:color w:val="000000"/>
                <w:sz w:val="14"/>
                <w:szCs w:val="14"/>
              </w:rPr>
              <w:t>(Dollars in thousands)</w:t>
            </w:r>
          </w:p>
        </w:tc>
        <w:tc>
          <w:tcPr>
            <w:tcW w:w="103" w:type="dxa"/>
            <w:tcBorders>
              <w:top w:val="single" w:sz="6" w:space="0" w:color="00467E"/>
              <w:left w:val="nil"/>
              <w:bottom w:val="nil"/>
              <w:right w:val="nil"/>
            </w:tcBorders>
            <w:shd w:val="clear" w:color="00467E" w:fill="00467E"/>
            <w:vAlign w:val="bottom"/>
          </w:tcPr>
          <w:p w:rsidR="0073298C" w:rsidRDefault="0073298C" w:rsidP="0073298C">
            <w:pPr>
              <w:spacing w:before="22" w:after="22"/>
              <w:ind w:left="22" w:right="22"/>
              <w:rPr>
                <w:color w:val="000000"/>
              </w:rPr>
            </w:pPr>
            <w:r>
              <w:rPr>
                <w:color w:val="000000"/>
              </w:rPr>
              <w:t> </w:t>
            </w:r>
          </w:p>
        </w:tc>
        <w:tc>
          <w:tcPr>
            <w:tcW w:w="2790" w:type="dxa"/>
            <w:gridSpan w:val="5"/>
            <w:tcBorders>
              <w:top w:val="nil"/>
              <w:left w:val="nil"/>
              <w:bottom w:val="single" w:sz="6" w:space="0" w:color="000000"/>
              <w:right w:val="single" w:sz="6" w:space="0" w:color="00467E"/>
            </w:tcBorders>
            <w:vAlign w:val="center"/>
          </w:tcPr>
          <w:p w:rsidR="0073298C" w:rsidRDefault="0073298C" w:rsidP="0073298C">
            <w:pPr>
              <w:spacing w:before="22" w:after="22"/>
              <w:ind w:left="22"/>
              <w:jc w:val="center"/>
              <w:rPr>
                <w:rFonts w:ascii="Arial" w:hAnsi="Arial" w:cs="Arial"/>
                <w:b/>
                <w:bCs w:val="0"/>
                <w:color w:val="000000"/>
                <w:sz w:val="14"/>
                <w:szCs w:val="14"/>
              </w:rPr>
            </w:pPr>
            <w:r>
              <w:rPr>
                <w:rFonts w:ascii="Arial" w:hAnsi="Arial" w:cs="Arial"/>
                <w:b/>
                <w:bCs w:val="0"/>
                <w:color w:val="000000"/>
                <w:sz w:val="14"/>
                <w:szCs w:val="14"/>
              </w:rPr>
              <w:t>Increase (decrease)</w:t>
            </w:r>
          </w:p>
        </w:tc>
      </w:tr>
      <w:tr w:rsidR="0073298C" w:rsidTr="000E3B20">
        <w:tblPrEx>
          <w:tblCellMar>
            <w:top w:w="0" w:type="dxa"/>
            <w:left w:w="0" w:type="dxa"/>
            <w:bottom w:w="0" w:type="dxa"/>
            <w:right w:w="0" w:type="dxa"/>
          </w:tblCellMar>
        </w:tblPrEx>
        <w:trPr>
          <w:trHeight w:val="479"/>
        </w:trPr>
        <w:tc>
          <w:tcPr>
            <w:tcW w:w="3183" w:type="dxa"/>
            <w:tcBorders>
              <w:top w:val="nil"/>
              <w:left w:val="single" w:sz="6" w:space="0" w:color="00467E"/>
              <w:bottom w:val="nil"/>
              <w:right w:val="nil"/>
            </w:tcBorders>
            <w:shd w:val="clear" w:color="CFD4D8" w:fill="CFD4D8"/>
            <w:vAlign w:val="center"/>
          </w:tcPr>
          <w:p w:rsidR="0073298C" w:rsidRDefault="0073298C" w:rsidP="0073298C">
            <w:pPr>
              <w:spacing w:before="22" w:after="22"/>
              <w:ind w:left="22" w:right="22"/>
              <w:rPr>
                <w:rFonts w:ascii="Arial" w:hAnsi="Arial" w:cs="Arial"/>
                <w:b/>
                <w:bCs w:val="0"/>
                <w:i/>
                <w:iCs/>
                <w:color w:val="9D1B11"/>
                <w:sz w:val="18"/>
                <w:szCs w:val="18"/>
              </w:rPr>
            </w:pPr>
            <w:r>
              <w:rPr>
                <w:rFonts w:ascii="Arial" w:hAnsi="Arial" w:cs="Arial"/>
                <w:b/>
                <w:bCs w:val="0"/>
                <w:i/>
                <w:iCs/>
                <w:color w:val="9D1B11"/>
                <w:sz w:val="18"/>
                <w:szCs w:val="18"/>
              </w:rPr>
              <w:t>Miscellaneous operating expenses, net</w:t>
            </w:r>
          </w:p>
        </w:tc>
        <w:tc>
          <w:tcPr>
            <w:tcW w:w="120" w:type="dxa"/>
            <w:tcBorders>
              <w:top w:val="nil"/>
              <w:left w:val="nil"/>
              <w:bottom w:val="nil"/>
              <w:right w:val="nil"/>
            </w:tcBorders>
            <w:shd w:val="clear" w:color="CFD4D8" w:fill="CFD4D8"/>
            <w:vAlign w:val="center"/>
          </w:tcPr>
          <w:p w:rsidR="0073298C" w:rsidRDefault="0073298C" w:rsidP="0073298C">
            <w:pPr>
              <w:spacing w:before="22" w:after="22"/>
              <w:ind w:left="22"/>
              <w:rPr>
                <w:rFonts w:ascii="Arial" w:hAnsi="Arial" w:cs="Arial"/>
                <w:color w:val="000000"/>
                <w:sz w:val="18"/>
                <w:szCs w:val="18"/>
              </w:rPr>
            </w:pPr>
            <w:r>
              <w:rPr>
                <w:rFonts w:ascii="Arial" w:hAnsi="Arial" w:cs="Arial"/>
                <w:color w:val="000000"/>
                <w:sz w:val="18"/>
                <w:szCs w:val="18"/>
              </w:rPr>
              <w:t>$</w:t>
            </w:r>
          </w:p>
        </w:tc>
        <w:tc>
          <w:tcPr>
            <w:tcW w:w="1206" w:type="dxa"/>
            <w:tcBorders>
              <w:top w:val="nil"/>
              <w:left w:val="nil"/>
              <w:bottom w:val="nil"/>
              <w:right w:val="nil"/>
            </w:tcBorders>
            <w:shd w:val="clear" w:color="CFD4D8" w:fill="CFD4D8"/>
            <w:vAlign w:val="center"/>
          </w:tcPr>
          <w:p w:rsidR="0073298C" w:rsidRDefault="0073298C" w:rsidP="0073298C">
            <w:pPr>
              <w:spacing w:before="22" w:after="22"/>
              <w:jc w:val="right"/>
              <w:rPr>
                <w:rFonts w:ascii="Arial" w:hAnsi="Arial" w:cs="Arial"/>
                <w:color w:val="000000"/>
                <w:sz w:val="18"/>
                <w:szCs w:val="18"/>
              </w:rPr>
            </w:pPr>
            <w:r>
              <w:rPr>
                <w:rFonts w:ascii="Arial" w:hAnsi="Arial" w:cs="Arial"/>
                <w:color w:val="000000"/>
                <w:sz w:val="18"/>
                <w:szCs w:val="18"/>
              </w:rPr>
              <w:t>41,781</w:t>
            </w:r>
          </w:p>
        </w:tc>
        <w:tc>
          <w:tcPr>
            <w:tcW w:w="180" w:type="dxa"/>
            <w:tcBorders>
              <w:top w:val="nil"/>
              <w:left w:val="nil"/>
              <w:bottom w:val="nil"/>
              <w:right w:val="nil"/>
            </w:tcBorders>
            <w:shd w:val="clear" w:color="CFD4D8" w:fill="CFD4D8"/>
            <w:vAlign w:val="bottom"/>
          </w:tcPr>
          <w:p w:rsidR="0073298C" w:rsidRDefault="0073298C" w:rsidP="0073298C">
            <w:pPr>
              <w:spacing w:before="22" w:after="22"/>
              <w:jc w:val="right"/>
              <w:rPr>
                <w:rFonts w:ascii="Arial" w:hAnsi="Arial" w:cs="Arial"/>
                <w:color w:val="000000"/>
                <w:sz w:val="18"/>
                <w:szCs w:val="18"/>
              </w:rPr>
            </w:pPr>
          </w:p>
          <w:p w:rsidR="0073298C" w:rsidRDefault="0073298C" w:rsidP="0073298C">
            <w:pPr>
              <w:rPr>
                <w:sz w:val="16"/>
                <w:szCs w:val="16"/>
              </w:rPr>
            </w:pPr>
            <w:r>
              <w:rPr>
                <w:sz w:val="16"/>
                <w:szCs w:val="16"/>
              </w:rPr>
              <w:t> </w:t>
            </w:r>
          </w:p>
        </w:tc>
        <w:tc>
          <w:tcPr>
            <w:tcW w:w="103" w:type="dxa"/>
            <w:tcBorders>
              <w:top w:val="nil"/>
              <w:left w:val="nil"/>
              <w:bottom w:val="nil"/>
              <w:right w:val="nil"/>
            </w:tcBorders>
            <w:shd w:val="clear" w:color="CFD4D8" w:fill="CFD4D8"/>
            <w:vAlign w:val="bottom"/>
          </w:tcPr>
          <w:p w:rsidR="0073298C" w:rsidRDefault="0073298C" w:rsidP="0073298C">
            <w:pPr>
              <w:spacing w:before="22" w:after="22"/>
              <w:ind w:left="22" w:right="22"/>
              <w:rPr>
                <w:color w:val="000000"/>
              </w:rPr>
            </w:pPr>
            <w:r>
              <w:rPr>
                <w:color w:val="000000"/>
              </w:rPr>
              <w:t> </w:t>
            </w:r>
          </w:p>
        </w:tc>
        <w:tc>
          <w:tcPr>
            <w:tcW w:w="120" w:type="dxa"/>
            <w:tcBorders>
              <w:top w:val="nil"/>
              <w:left w:val="nil"/>
              <w:bottom w:val="nil"/>
              <w:right w:val="nil"/>
            </w:tcBorders>
            <w:shd w:val="clear" w:color="CFD4D8" w:fill="CFD4D8"/>
            <w:vAlign w:val="center"/>
          </w:tcPr>
          <w:p w:rsidR="0073298C" w:rsidRDefault="0073298C" w:rsidP="0073298C">
            <w:pPr>
              <w:spacing w:before="22" w:after="22"/>
              <w:ind w:left="22"/>
              <w:rPr>
                <w:rFonts w:ascii="Arial" w:hAnsi="Arial" w:cs="Arial"/>
                <w:color w:val="000000"/>
                <w:sz w:val="18"/>
                <w:szCs w:val="18"/>
              </w:rPr>
            </w:pPr>
            <w:r>
              <w:rPr>
                <w:rFonts w:ascii="Arial" w:hAnsi="Arial" w:cs="Arial"/>
                <w:color w:val="000000"/>
                <w:sz w:val="18"/>
                <w:szCs w:val="18"/>
              </w:rPr>
              <w:t>$</w:t>
            </w:r>
          </w:p>
        </w:tc>
        <w:tc>
          <w:tcPr>
            <w:tcW w:w="1206" w:type="dxa"/>
            <w:tcBorders>
              <w:top w:val="nil"/>
              <w:left w:val="nil"/>
              <w:bottom w:val="nil"/>
              <w:right w:val="nil"/>
            </w:tcBorders>
            <w:shd w:val="clear" w:color="CFD4D8" w:fill="CFD4D8"/>
            <w:vAlign w:val="center"/>
          </w:tcPr>
          <w:p w:rsidR="0073298C" w:rsidRDefault="0073298C" w:rsidP="0073298C">
            <w:pPr>
              <w:spacing w:before="22" w:after="22"/>
              <w:jc w:val="right"/>
              <w:rPr>
                <w:rFonts w:ascii="Arial" w:hAnsi="Arial" w:cs="Arial"/>
                <w:color w:val="000000"/>
                <w:sz w:val="18"/>
                <w:szCs w:val="18"/>
              </w:rPr>
            </w:pPr>
            <w:r>
              <w:rPr>
                <w:rFonts w:ascii="Arial" w:hAnsi="Arial" w:cs="Arial"/>
                <w:color w:val="000000"/>
                <w:sz w:val="18"/>
                <w:szCs w:val="18"/>
              </w:rPr>
              <w:t>17,274</w:t>
            </w:r>
          </w:p>
        </w:tc>
        <w:tc>
          <w:tcPr>
            <w:tcW w:w="180" w:type="dxa"/>
            <w:tcBorders>
              <w:top w:val="nil"/>
              <w:left w:val="nil"/>
              <w:bottom w:val="nil"/>
              <w:right w:val="nil"/>
            </w:tcBorders>
            <w:shd w:val="clear" w:color="CFD4D8" w:fill="CFD4D8"/>
            <w:vAlign w:val="bottom"/>
          </w:tcPr>
          <w:p w:rsidR="0073298C" w:rsidRDefault="0073298C" w:rsidP="0073298C">
            <w:pPr>
              <w:spacing w:before="22" w:after="22"/>
              <w:jc w:val="right"/>
              <w:rPr>
                <w:rFonts w:ascii="Arial" w:hAnsi="Arial" w:cs="Arial"/>
                <w:color w:val="000000"/>
                <w:sz w:val="18"/>
                <w:szCs w:val="18"/>
              </w:rPr>
            </w:pPr>
          </w:p>
          <w:p w:rsidR="0073298C" w:rsidRDefault="0073298C" w:rsidP="0073298C">
            <w:pPr>
              <w:rPr>
                <w:sz w:val="16"/>
                <w:szCs w:val="16"/>
              </w:rPr>
            </w:pPr>
            <w:r>
              <w:rPr>
                <w:sz w:val="16"/>
                <w:szCs w:val="16"/>
              </w:rPr>
              <w:t> </w:t>
            </w:r>
          </w:p>
        </w:tc>
        <w:tc>
          <w:tcPr>
            <w:tcW w:w="103" w:type="dxa"/>
            <w:tcBorders>
              <w:top w:val="nil"/>
              <w:left w:val="nil"/>
              <w:bottom w:val="nil"/>
              <w:right w:val="nil"/>
            </w:tcBorders>
            <w:shd w:val="clear" w:color="CFD4D8" w:fill="CFD4D8"/>
            <w:vAlign w:val="bottom"/>
          </w:tcPr>
          <w:p w:rsidR="0073298C" w:rsidRDefault="0073298C" w:rsidP="0073298C">
            <w:pPr>
              <w:spacing w:before="22" w:after="22"/>
              <w:ind w:left="22" w:right="22"/>
              <w:rPr>
                <w:color w:val="000000"/>
              </w:rPr>
            </w:pPr>
            <w:r>
              <w:rPr>
                <w:color w:val="000000"/>
              </w:rPr>
              <w:t> </w:t>
            </w:r>
          </w:p>
        </w:tc>
        <w:tc>
          <w:tcPr>
            <w:tcW w:w="120" w:type="dxa"/>
            <w:tcBorders>
              <w:top w:val="nil"/>
              <w:left w:val="nil"/>
              <w:bottom w:val="nil"/>
              <w:right w:val="nil"/>
            </w:tcBorders>
            <w:shd w:val="clear" w:color="CFD4D8" w:fill="CFD4D8"/>
            <w:vAlign w:val="center"/>
          </w:tcPr>
          <w:p w:rsidR="0073298C" w:rsidRDefault="0073298C" w:rsidP="0073298C">
            <w:pPr>
              <w:spacing w:before="22" w:after="22"/>
              <w:ind w:left="22"/>
              <w:rPr>
                <w:rFonts w:ascii="Arial" w:hAnsi="Arial" w:cs="Arial"/>
                <w:color w:val="000000"/>
                <w:sz w:val="18"/>
                <w:szCs w:val="18"/>
              </w:rPr>
            </w:pPr>
            <w:r>
              <w:rPr>
                <w:rFonts w:ascii="Arial" w:hAnsi="Arial" w:cs="Arial"/>
                <w:color w:val="000000"/>
                <w:sz w:val="18"/>
                <w:szCs w:val="18"/>
              </w:rPr>
              <w:t>$</w:t>
            </w:r>
          </w:p>
        </w:tc>
        <w:tc>
          <w:tcPr>
            <w:tcW w:w="1206" w:type="dxa"/>
            <w:tcBorders>
              <w:top w:val="nil"/>
              <w:left w:val="nil"/>
              <w:bottom w:val="nil"/>
              <w:right w:val="nil"/>
            </w:tcBorders>
            <w:shd w:val="clear" w:color="CFD4D8" w:fill="CFD4D8"/>
            <w:vAlign w:val="center"/>
          </w:tcPr>
          <w:p w:rsidR="0073298C" w:rsidRDefault="0073298C" w:rsidP="0073298C">
            <w:pPr>
              <w:spacing w:before="22" w:after="22"/>
              <w:jc w:val="right"/>
              <w:rPr>
                <w:rFonts w:ascii="Arial" w:hAnsi="Arial" w:cs="Arial"/>
                <w:color w:val="000000"/>
                <w:sz w:val="18"/>
                <w:szCs w:val="18"/>
              </w:rPr>
            </w:pPr>
            <w:r>
              <w:rPr>
                <w:rFonts w:ascii="Arial" w:hAnsi="Arial" w:cs="Arial"/>
                <w:color w:val="000000"/>
                <w:sz w:val="18"/>
                <w:szCs w:val="18"/>
              </w:rPr>
              <w:t>18,068</w:t>
            </w:r>
          </w:p>
        </w:tc>
        <w:tc>
          <w:tcPr>
            <w:tcW w:w="181" w:type="dxa"/>
            <w:tcBorders>
              <w:top w:val="nil"/>
              <w:left w:val="nil"/>
              <w:bottom w:val="nil"/>
              <w:right w:val="nil"/>
            </w:tcBorders>
            <w:shd w:val="clear" w:color="CFD4D8" w:fill="CFD4D8"/>
            <w:vAlign w:val="bottom"/>
          </w:tcPr>
          <w:p w:rsidR="0073298C" w:rsidRDefault="0073298C" w:rsidP="0073298C">
            <w:pPr>
              <w:spacing w:before="22" w:after="22"/>
              <w:jc w:val="right"/>
              <w:rPr>
                <w:rFonts w:ascii="Arial" w:hAnsi="Arial" w:cs="Arial"/>
                <w:color w:val="000000"/>
                <w:sz w:val="18"/>
                <w:szCs w:val="18"/>
              </w:rPr>
            </w:pPr>
          </w:p>
          <w:p w:rsidR="0073298C" w:rsidRDefault="0073298C" w:rsidP="0073298C">
            <w:pPr>
              <w:rPr>
                <w:sz w:val="16"/>
                <w:szCs w:val="16"/>
              </w:rPr>
            </w:pPr>
            <w:r>
              <w:rPr>
                <w:sz w:val="16"/>
                <w:szCs w:val="16"/>
              </w:rPr>
              <w:t> </w:t>
            </w:r>
          </w:p>
        </w:tc>
        <w:tc>
          <w:tcPr>
            <w:tcW w:w="103" w:type="dxa"/>
            <w:tcBorders>
              <w:top w:val="single" w:sz="6" w:space="0" w:color="00467E"/>
              <w:left w:val="nil"/>
              <w:bottom w:val="nil"/>
              <w:right w:val="nil"/>
            </w:tcBorders>
            <w:shd w:val="clear" w:color="00467E" w:fill="00467E"/>
            <w:vAlign w:val="bottom"/>
          </w:tcPr>
          <w:p w:rsidR="0073298C" w:rsidRDefault="0073298C" w:rsidP="0073298C">
            <w:pPr>
              <w:spacing w:before="22" w:after="22"/>
              <w:ind w:left="22" w:right="22"/>
              <w:rPr>
                <w:color w:val="000000"/>
              </w:rPr>
            </w:pPr>
            <w:r>
              <w:rPr>
                <w:color w:val="000000"/>
              </w:rPr>
              <w:t> </w:t>
            </w:r>
          </w:p>
        </w:tc>
        <w:tc>
          <w:tcPr>
            <w:tcW w:w="1004" w:type="dxa"/>
            <w:tcBorders>
              <w:top w:val="single" w:sz="6" w:space="0" w:color="000000"/>
              <w:left w:val="nil"/>
              <w:bottom w:val="nil"/>
              <w:right w:val="nil"/>
            </w:tcBorders>
            <w:shd w:val="clear" w:color="CFD4D8" w:fill="CFD4D8"/>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141.9</w:t>
            </w:r>
          </w:p>
        </w:tc>
        <w:tc>
          <w:tcPr>
            <w:tcW w:w="360" w:type="dxa"/>
            <w:tcBorders>
              <w:top w:val="single" w:sz="6" w:space="0" w:color="000000"/>
              <w:left w:val="nil"/>
              <w:bottom w:val="nil"/>
              <w:right w:val="nil"/>
            </w:tcBorders>
            <w:shd w:val="clear" w:color="CFD4D8" w:fill="CFD4D8"/>
            <w:vAlign w:val="center"/>
          </w:tcPr>
          <w:p w:rsidR="0073298C" w:rsidRDefault="0073298C" w:rsidP="0073298C">
            <w:pPr>
              <w:spacing w:before="22" w:after="22"/>
              <w:ind w:right="22"/>
              <w:rPr>
                <w:rFonts w:ascii="Arial" w:hAnsi="Arial" w:cs="Arial"/>
                <w:color w:val="000000"/>
                <w:sz w:val="18"/>
                <w:szCs w:val="18"/>
              </w:rPr>
            </w:pPr>
            <w:r>
              <w:rPr>
                <w:rFonts w:ascii="Arial" w:hAnsi="Arial" w:cs="Arial"/>
                <w:color w:val="000000"/>
                <w:sz w:val="18"/>
                <w:szCs w:val="18"/>
              </w:rPr>
              <w:t> %</w:t>
            </w:r>
          </w:p>
        </w:tc>
        <w:tc>
          <w:tcPr>
            <w:tcW w:w="103" w:type="dxa"/>
            <w:tcBorders>
              <w:top w:val="single" w:sz="6" w:space="0" w:color="000000"/>
              <w:left w:val="nil"/>
              <w:bottom w:val="nil"/>
              <w:right w:val="nil"/>
            </w:tcBorders>
            <w:shd w:val="clear" w:color="CFD4D8" w:fill="CFD4D8"/>
            <w:vAlign w:val="bottom"/>
          </w:tcPr>
          <w:p w:rsidR="0073298C" w:rsidRDefault="0073298C" w:rsidP="0073298C">
            <w:pPr>
              <w:spacing w:before="22" w:after="22"/>
              <w:ind w:left="22" w:right="22"/>
              <w:rPr>
                <w:color w:val="000000"/>
              </w:rPr>
            </w:pPr>
            <w:r>
              <w:rPr>
                <w:color w:val="000000"/>
              </w:rPr>
              <w:t> </w:t>
            </w:r>
          </w:p>
        </w:tc>
        <w:tc>
          <w:tcPr>
            <w:tcW w:w="1029" w:type="dxa"/>
            <w:tcBorders>
              <w:top w:val="single" w:sz="6" w:space="0" w:color="000000"/>
              <w:left w:val="nil"/>
              <w:bottom w:val="nil"/>
              <w:right w:val="nil"/>
            </w:tcBorders>
            <w:shd w:val="clear" w:color="CFD4D8" w:fill="CFD4D8"/>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(4.4</w:t>
            </w:r>
          </w:p>
        </w:tc>
        <w:tc>
          <w:tcPr>
            <w:tcW w:w="294" w:type="dxa"/>
            <w:tcBorders>
              <w:top w:val="single" w:sz="6" w:space="0" w:color="000000"/>
              <w:left w:val="nil"/>
              <w:bottom w:val="nil"/>
              <w:right w:val="single" w:sz="6" w:space="0" w:color="00467E"/>
            </w:tcBorders>
            <w:shd w:val="clear" w:color="CFD4D8" w:fill="CFD4D8"/>
            <w:vAlign w:val="center"/>
          </w:tcPr>
          <w:p w:rsidR="0073298C" w:rsidRDefault="0073298C" w:rsidP="0073298C">
            <w:pPr>
              <w:spacing w:before="22" w:after="22"/>
              <w:ind w:right="22"/>
              <w:rPr>
                <w:rFonts w:ascii="Arial" w:hAnsi="Arial" w:cs="Arial"/>
                <w:color w:val="000000"/>
                <w:sz w:val="18"/>
                <w:szCs w:val="18"/>
              </w:rPr>
            </w:pPr>
            <w:r>
              <w:rPr>
                <w:rFonts w:ascii="Arial" w:hAnsi="Arial" w:cs="Arial"/>
                <w:color w:val="000000"/>
                <w:sz w:val="18"/>
                <w:szCs w:val="18"/>
              </w:rPr>
              <w:t> %)</w:t>
            </w:r>
          </w:p>
        </w:tc>
      </w:tr>
      <w:tr w:rsidR="0073298C" w:rsidTr="000E3B20">
        <w:tblPrEx>
          <w:tblCellMar>
            <w:top w:w="0" w:type="dxa"/>
            <w:left w:w="0" w:type="dxa"/>
            <w:bottom w:w="0" w:type="dxa"/>
            <w:right w:w="0" w:type="dxa"/>
          </w:tblCellMar>
        </w:tblPrEx>
        <w:trPr>
          <w:trHeight w:val="298"/>
        </w:trPr>
        <w:tc>
          <w:tcPr>
            <w:tcW w:w="3183" w:type="dxa"/>
            <w:tcBorders>
              <w:top w:val="nil"/>
              <w:left w:val="single" w:sz="6" w:space="0" w:color="00467E"/>
              <w:bottom w:val="nil"/>
              <w:right w:val="nil"/>
            </w:tcBorders>
            <w:vAlign w:val="center"/>
          </w:tcPr>
          <w:p w:rsidR="0073298C" w:rsidRDefault="0073298C" w:rsidP="0073298C">
            <w:pPr>
              <w:spacing w:before="22" w:after="22"/>
              <w:ind w:left="330" w:right="22"/>
              <w:rPr>
                <w:rFonts w:ascii="Arial" w:hAnsi="Arial" w:cs="Arial"/>
                <w:color w:val="000000"/>
                <w:sz w:val="18"/>
                <w:szCs w:val="18"/>
              </w:rPr>
            </w:pPr>
            <w:r>
              <w:rPr>
                <w:rFonts w:ascii="Arial" w:hAnsi="Arial" w:cs="Arial"/>
                <w:color w:val="000000"/>
                <w:sz w:val="18"/>
                <w:szCs w:val="18"/>
              </w:rPr>
              <w:t>% of total revenue</w:t>
            </w:r>
          </w:p>
        </w:tc>
        <w:tc>
          <w:tcPr>
            <w:tcW w:w="1326" w:type="dxa"/>
            <w:gridSpan w:val="2"/>
            <w:tcBorders>
              <w:top w:val="nil"/>
              <w:left w:val="nil"/>
              <w:bottom w:val="nil"/>
              <w:right w:val="nil"/>
            </w:tcBorders>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1.7</w:t>
            </w:r>
          </w:p>
        </w:tc>
        <w:tc>
          <w:tcPr>
            <w:tcW w:w="180" w:type="dxa"/>
            <w:tcBorders>
              <w:top w:val="nil"/>
              <w:left w:val="nil"/>
              <w:bottom w:val="nil"/>
              <w:right w:val="nil"/>
            </w:tcBorders>
            <w:vAlign w:val="center"/>
          </w:tcPr>
          <w:p w:rsidR="0073298C" w:rsidRDefault="0073298C" w:rsidP="0073298C">
            <w:pPr>
              <w:spacing w:before="22" w:after="22"/>
              <w:ind w:right="22"/>
              <w:rPr>
                <w:rFonts w:ascii="Arial" w:hAnsi="Arial" w:cs="Arial"/>
                <w:color w:val="000000"/>
                <w:sz w:val="18"/>
                <w:szCs w:val="18"/>
              </w:rPr>
            </w:pPr>
            <w:r>
              <w:rPr>
                <w:rFonts w:ascii="Arial" w:hAnsi="Arial" w:cs="Arial"/>
                <w:color w:val="000000"/>
                <w:sz w:val="18"/>
                <w:szCs w:val="18"/>
              </w:rPr>
              <w:t>%</w:t>
            </w:r>
          </w:p>
        </w:tc>
        <w:tc>
          <w:tcPr>
            <w:tcW w:w="103" w:type="dxa"/>
            <w:tcBorders>
              <w:top w:val="nil"/>
              <w:left w:val="nil"/>
              <w:bottom w:val="nil"/>
              <w:right w:val="nil"/>
            </w:tcBorders>
            <w:vAlign w:val="bottom"/>
          </w:tcPr>
          <w:p w:rsidR="0073298C" w:rsidRDefault="0073298C" w:rsidP="0073298C">
            <w:pPr>
              <w:spacing w:before="22" w:after="22"/>
              <w:ind w:left="22" w:right="22"/>
              <w:rPr>
                <w:color w:val="000000"/>
              </w:rPr>
            </w:pPr>
            <w:r>
              <w:rPr>
                <w:color w:val="000000"/>
              </w:rPr>
              <w:t> </w:t>
            </w:r>
          </w:p>
        </w:tc>
        <w:tc>
          <w:tcPr>
            <w:tcW w:w="1326" w:type="dxa"/>
            <w:gridSpan w:val="2"/>
            <w:tcBorders>
              <w:top w:val="nil"/>
              <w:left w:val="nil"/>
              <w:bottom w:val="nil"/>
              <w:right w:val="nil"/>
            </w:tcBorders>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1.5</w:t>
            </w:r>
          </w:p>
        </w:tc>
        <w:tc>
          <w:tcPr>
            <w:tcW w:w="180" w:type="dxa"/>
            <w:tcBorders>
              <w:top w:val="nil"/>
              <w:left w:val="nil"/>
              <w:bottom w:val="nil"/>
              <w:right w:val="nil"/>
            </w:tcBorders>
            <w:vAlign w:val="center"/>
          </w:tcPr>
          <w:p w:rsidR="0073298C" w:rsidRDefault="0073298C" w:rsidP="0073298C">
            <w:pPr>
              <w:spacing w:before="22" w:after="22"/>
              <w:ind w:right="22"/>
              <w:rPr>
                <w:rFonts w:ascii="Arial" w:hAnsi="Arial" w:cs="Arial"/>
                <w:color w:val="000000"/>
                <w:sz w:val="18"/>
                <w:szCs w:val="18"/>
              </w:rPr>
            </w:pPr>
            <w:r>
              <w:rPr>
                <w:rFonts w:ascii="Arial" w:hAnsi="Arial" w:cs="Arial"/>
                <w:color w:val="000000"/>
                <w:sz w:val="18"/>
                <w:szCs w:val="18"/>
              </w:rPr>
              <w:t>%</w:t>
            </w:r>
          </w:p>
        </w:tc>
        <w:tc>
          <w:tcPr>
            <w:tcW w:w="103" w:type="dxa"/>
            <w:tcBorders>
              <w:top w:val="nil"/>
              <w:left w:val="nil"/>
              <w:bottom w:val="nil"/>
              <w:right w:val="nil"/>
            </w:tcBorders>
            <w:vAlign w:val="bottom"/>
          </w:tcPr>
          <w:p w:rsidR="0073298C" w:rsidRDefault="0073298C" w:rsidP="0073298C">
            <w:pPr>
              <w:spacing w:before="22" w:after="22"/>
              <w:ind w:left="22" w:right="22"/>
              <w:rPr>
                <w:color w:val="000000"/>
              </w:rPr>
            </w:pPr>
            <w:r>
              <w:rPr>
                <w:color w:val="000000"/>
              </w:rPr>
              <w:t> </w:t>
            </w:r>
          </w:p>
        </w:tc>
        <w:tc>
          <w:tcPr>
            <w:tcW w:w="1326" w:type="dxa"/>
            <w:gridSpan w:val="2"/>
            <w:tcBorders>
              <w:top w:val="nil"/>
              <w:left w:val="nil"/>
              <w:bottom w:val="nil"/>
              <w:right w:val="nil"/>
            </w:tcBorders>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1.5</w:t>
            </w:r>
          </w:p>
        </w:tc>
        <w:tc>
          <w:tcPr>
            <w:tcW w:w="181" w:type="dxa"/>
            <w:tcBorders>
              <w:top w:val="nil"/>
              <w:left w:val="nil"/>
              <w:bottom w:val="nil"/>
              <w:right w:val="nil"/>
            </w:tcBorders>
            <w:vAlign w:val="center"/>
          </w:tcPr>
          <w:p w:rsidR="0073298C" w:rsidRDefault="0073298C" w:rsidP="0073298C">
            <w:pPr>
              <w:spacing w:before="22" w:after="22"/>
              <w:ind w:right="22"/>
              <w:rPr>
                <w:rFonts w:ascii="Arial" w:hAnsi="Arial" w:cs="Arial"/>
                <w:color w:val="000000"/>
                <w:sz w:val="18"/>
                <w:szCs w:val="18"/>
              </w:rPr>
            </w:pPr>
            <w:r>
              <w:rPr>
                <w:rFonts w:ascii="Arial" w:hAnsi="Arial" w:cs="Arial"/>
                <w:color w:val="000000"/>
                <w:sz w:val="18"/>
                <w:szCs w:val="18"/>
              </w:rPr>
              <w:t>%</w:t>
            </w:r>
          </w:p>
        </w:tc>
        <w:tc>
          <w:tcPr>
            <w:tcW w:w="103" w:type="dxa"/>
            <w:tcBorders>
              <w:top w:val="single" w:sz="6" w:space="0" w:color="00467E"/>
              <w:left w:val="nil"/>
              <w:bottom w:val="nil"/>
              <w:right w:val="nil"/>
            </w:tcBorders>
            <w:shd w:val="clear" w:color="00467E" w:fill="00467E"/>
            <w:vAlign w:val="bottom"/>
          </w:tcPr>
          <w:p w:rsidR="0073298C" w:rsidRDefault="0073298C" w:rsidP="0073298C">
            <w:pPr>
              <w:spacing w:before="22" w:after="22"/>
              <w:ind w:left="22" w:right="22"/>
              <w:rPr>
                <w:color w:val="000000"/>
              </w:rPr>
            </w:pPr>
            <w:r>
              <w:rPr>
                <w:color w:val="000000"/>
              </w:rPr>
              <w:t> </w:t>
            </w:r>
          </w:p>
        </w:tc>
        <w:tc>
          <w:tcPr>
            <w:tcW w:w="1004" w:type="dxa"/>
            <w:tcBorders>
              <w:top w:val="nil"/>
              <w:left w:val="nil"/>
              <w:bottom w:val="nil"/>
              <w:right w:val="nil"/>
            </w:tcBorders>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20</w:t>
            </w:r>
          </w:p>
        </w:tc>
        <w:tc>
          <w:tcPr>
            <w:tcW w:w="360" w:type="dxa"/>
            <w:tcBorders>
              <w:top w:val="nil"/>
              <w:left w:val="nil"/>
              <w:bottom w:val="nil"/>
              <w:right w:val="nil"/>
            </w:tcBorders>
            <w:vAlign w:val="center"/>
          </w:tcPr>
          <w:p w:rsidR="0073298C" w:rsidRDefault="0073298C" w:rsidP="0073298C">
            <w:pPr>
              <w:spacing w:before="22" w:after="22"/>
              <w:ind w:right="22"/>
              <w:rPr>
                <w:rFonts w:ascii="Arial" w:hAnsi="Arial" w:cs="Arial"/>
                <w:color w:val="000000"/>
                <w:sz w:val="18"/>
                <w:szCs w:val="18"/>
              </w:rPr>
            </w:pPr>
            <w:r>
              <w:rPr>
                <w:rFonts w:ascii="Arial" w:hAnsi="Arial" w:cs="Arial"/>
                <w:color w:val="000000"/>
                <w:sz w:val="18"/>
                <w:szCs w:val="18"/>
              </w:rPr>
              <w:t> bps</w:t>
            </w:r>
          </w:p>
        </w:tc>
        <w:tc>
          <w:tcPr>
            <w:tcW w:w="103" w:type="dxa"/>
            <w:tcBorders>
              <w:top w:val="nil"/>
              <w:left w:val="nil"/>
              <w:bottom w:val="nil"/>
              <w:right w:val="nil"/>
            </w:tcBorders>
            <w:vAlign w:val="bottom"/>
          </w:tcPr>
          <w:p w:rsidR="0073298C" w:rsidRDefault="0073298C" w:rsidP="0073298C">
            <w:pPr>
              <w:spacing w:before="22" w:after="22"/>
              <w:ind w:left="22" w:right="22"/>
              <w:rPr>
                <w:color w:val="000000"/>
              </w:rPr>
            </w:pPr>
            <w:r>
              <w:rPr>
                <w:color w:val="000000"/>
              </w:rPr>
              <w:t> </w:t>
            </w:r>
          </w:p>
        </w:tc>
        <w:tc>
          <w:tcPr>
            <w:tcW w:w="1029" w:type="dxa"/>
            <w:tcBorders>
              <w:top w:val="nil"/>
              <w:left w:val="nil"/>
              <w:bottom w:val="nil"/>
              <w:right w:val="nil"/>
            </w:tcBorders>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w:t>
            </w:r>
          </w:p>
        </w:tc>
        <w:tc>
          <w:tcPr>
            <w:tcW w:w="294" w:type="dxa"/>
            <w:tcBorders>
              <w:top w:val="nil"/>
              <w:left w:val="nil"/>
              <w:bottom w:val="nil"/>
              <w:right w:val="single" w:sz="6" w:space="0" w:color="00467E"/>
            </w:tcBorders>
            <w:vAlign w:val="bottom"/>
          </w:tcPr>
          <w:p w:rsidR="0073298C" w:rsidRDefault="0073298C" w:rsidP="0073298C">
            <w:pPr>
              <w:spacing w:before="22" w:after="22"/>
              <w:ind w:left="22"/>
              <w:jc w:val="right"/>
              <w:rPr>
                <w:rFonts w:ascii="Arial" w:hAnsi="Arial" w:cs="Arial"/>
                <w:color w:val="000000"/>
                <w:sz w:val="18"/>
                <w:szCs w:val="18"/>
              </w:rPr>
            </w:pPr>
          </w:p>
          <w:p w:rsidR="0073298C" w:rsidRDefault="0073298C" w:rsidP="0073298C">
            <w:pPr>
              <w:rPr>
                <w:sz w:val="16"/>
                <w:szCs w:val="16"/>
              </w:rPr>
            </w:pPr>
            <w:r>
              <w:rPr>
                <w:sz w:val="16"/>
                <w:szCs w:val="16"/>
              </w:rPr>
              <w:t> </w:t>
            </w:r>
          </w:p>
        </w:tc>
      </w:tr>
      <w:tr w:rsidR="0073298C" w:rsidTr="000E3B20">
        <w:tblPrEx>
          <w:tblCellMar>
            <w:top w:w="0" w:type="dxa"/>
            <w:left w:w="0" w:type="dxa"/>
            <w:bottom w:w="0" w:type="dxa"/>
            <w:right w:w="0" w:type="dxa"/>
          </w:tblCellMar>
        </w:tblPrEx>
        <w:trPr>
          <w:trHeight w:val="479"/>
        </w:trPr>
        <w:tc>
          <w:tcPr>
            <w:tcW w:w="3183" w:type="dxa"/>
            <w:tcBorders>
              <w:top w:val="nil"/>
              <w:left w:val="single" w:sz="6" w:space="0" w:color="00467E"/>
              <w:bottom w:val="single" w:sz="6" w:space="0" w:color="00467E"/>
              <w:right w:val="nil"/>
            </w:tcBorders>
            <w:shd w:val="clear" w:color="CFD4D8" w:fill="CFD4D8"/>
            <w:vAlign w:val="center"/>
          </w:tcPr>
          <w:p w:rsidR="0073298C" w:rsidRDefault="0073298C" w:rsidP="0073298C">
            <w:pPr>
              <w:spacing w:before="22" w:after="22"/>
              <w:ind w:left="330" w:right="22"/>
              <w:rPr>
                <w:rFonts w:ascii="Arial" w:hAnsi="Arial" w:cs="Arial"/>
                <w:color w:val="000000"/>
                <w:sz w:val="18"/>
                <w:szCs w:val="18"/>
              </w:rPr>
            </w:pPr>
            <w:r>
              <w:rPr>
                <w:rFonts w:ascii="Arial" w:hAnsi="Arial" w:cs="Arial"/>
                <w:color w:val="000000"/>
                <w:sz w:val="18"/>
                <w:szCs w:val="18"/>
              </w:rPr>
              <w:t>% of revenue before fuel surcharge</w:t>
            </w:r>
          </w:p>
        </w:tc>
        <w:tc>
          <w:tcPr>
            <w:tcW w:w="1326" w:type="dxa"/>
            <w:gridSpan w:val="2"/>
            <w:tcBorders>
              <w:top w:val="nil"/>
              <w:left w:val="nil"/>
              <w:bottom w:val="single" w:sz="6" w:space="0" w:color="00467E"/>
              <w:right w:val="nil"/>
            </w:tcBorders>
            <w:shd w:val="clear" w:color="CFD4D8" w:fill="CFD4D8"/>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1.9</w:t>
            </w:r>
          </w:p>
        </w:tc>
        <w:tc>
          <w:tcPr>
            <w:tcW w:w="180" w:type="dxa"/>
            <w:tcBorders>
              <w:top w:val="nil"/>
              <w:left w:val="nil"/>
              <w:bottom w:val="single" w:sz="6" w:space="0" w:color="00467E"/>
              <w:right w:val="nil"/>
            </w:tcBorders>
            <w:shd w:val="clear" w:color="CFD4D8" w:fill="CFD4D8"/>
            <w:vAlign w:val="center"/>
          </w:tcPr>
          <w:p w:rsidR="0073298C" w:rsidRDefault="0073298C" w:rsidP="0073298C">
            <w:pPr>
              <w:spacing w:before="22" w:after="22"/>
              <w:ind w:right="22"/>
              <w:rPr>
                <w:rFonts w:ascii="Arial" w:hAnsi="Arial" w:cs="Arial"/>
                <w:color w:val="000000"/>
                <w:sz w:val="18"/>
                <w:szCs w:val="18"/>
              </w:rPr>
            </w:pPr>
            <w:r>
              <w:rPr>
                <w:rFonts w:ascii="Arial" w:hAnsi="Arial" w:cs="Arial"/>
                <w:color w:val="000000"/>
                <w:sz w:val="18"/>
                <w:szCs w:val="18"/>
              </w:rPr>
              <w:t>%</w:t>
            </w:r>
          </w:p>
        </w:tc>
        <w:tc>
          <w:tcPr>
            <w:tcW w:w="103" w:type="dxa"/>
            <w:tcBorders>
              <w:top w:val="nil"/>
              <w:left w:val="nil"/>
              <w:bottom w:val="single" w:sz="6" w:space="0" w:color="00467E"/>
              <w:right w:val="nil"/>
            </w:tcBorders>
            <w:shd w:val="clear" w:color="CFD4D8" w:fill="CFD4D8"/>
            <w:vAlign w:val="bottom"/>
          </w:tcPr>
          <w:p w:rsidR="0073298C" w:rsidRDefault="0073298C" w:rsidP="0073298C">
            <w:pPr>
              <w:spacing w:before="22" w:after="22"/>
              <w:ind w:left="22" w:right="22"/>
              <w:rPr>
                <w:color w:val="000000"/>
              </w:rPr>
            </w:pPr>
            <w:r>
              <w:rPr>
                <w:color w:val="000000"/>
              </w:rPr>
              <w:t> </w:t>
            </w:r>
          </w:p>
        </w:tc>
        <w:tc>
          <w:tcPr>
            <w:tcW w:w="1326" w:type="dxa"/>
            <w:gridSpan w:val="2"/>
            <w:tcBorders>
              <w:top w:val="nil"/>
              <w:left w:val="nil"/>
              <w:bottom w:val="single" w:sz="6" w:space="0" w:color="00467E"/>
              <w:right w:val="nil"/>
            </w:tcBorders>
            <w:shd w:val="clear" w:color="CFD4D8" w:fill="CFD4D8"/>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1.7</w:t>
            </w:r>
          </w:p>
        </w:tc>
        <w:tc>
          <w:tcPr>
            <w:tcW w:w="180" w:type="dxa"/>
            <w:tcBorders>
              <w:top w:val="nil"/>
              <w:left w:val="nil"/>
              <w:bottom w:val="single" w:sz="6" w:space="0" w:color="00467E"/>
              <w:right w:val="nil"/>
            </w:tcBorders>
            <w:shd w:val="clear" w:color="CFD4D8" w:fill="CFD4D8"/>
            <w:vAlign w:val="center"/>
          </w:tcPr>
          <w:p w:rsidR="0073298C" w:rsidRDefault="0073298C" w:rsidP="0073298C">
            <w:pPr>
              <w:spacing w:before="22" w:after="22"/>
              <w:ind w:right="22"/>
              <w:rPr>
                <w:rFonts w:ascii="Arial" w:hAnsi="Arial" w:cs="Arial"/>
                <w:color w:val="000000"/>
                <w:sz w:val="18"/>
                <w:szCs w:val="18"/>
              </w:rPr>
            </w:pPr>
            <w:r>
              <w:rPr>
                <w:rFonts w:ascii="Arial" w:hAnsi="Arial" w:cs="Arial"/>
                <w:color w:val="000000"/>
                <w:sz w:val="18"/>
                <w:szCs w:val="18"/>
              </w:rPr>
              <w:t>%</w:t>
            </w:r>
          </w:p>
        </w:tc>
        <w:tc>
          <w:tcPr>
            <w:tcW w:w="103" w:type="dxa"/>
            <w:tcBorders>
              <w:top w:val="nil"/>
              <w:left w:val="nil"/>
              <w:bottom w:val="single" w:sz="6" w:space="0" w:color="00467E"/>
              <w:right w:val="nil"/>
            </w:tcBorders>
            <w:shd w:val="clear" w:color="CFD4D8" w:fill="CFD4D8"/>
            <w:vAlign w:val="bottom"/>
          </w:tcPr>
          <w:p w:rsidR="0073298C" w:rsidRDefault="0073298C" w:rsidP="0073298C">
            <w:pPr>
              <w:spacing w:before="22" w:after="22"/>
              <w:ind w:left="22" w:right="22"/>
              <w:rPr>
                <w:color w:val="000000"/>
              </w:rPr>
            </w:pPr>
            <w:r>
              <w:rPr>
                <w:color w:val="000000"/>
              </w:rPr>
              <w:t> </w:t>
            </w:r>
          </w:p>
        </w:tc>
        <w:tc>
          <w:tcPr>
            <w:tcW w:w="1326" w:type="dxa"/>
            <w:gridSpan w:val="2"/>
            <w:tcBorders>
              <w:top w:val="nil"/>
              <w:left w:val="nil"/>
              <w:bottom w:val="single" w:sz="6" w:space="0" w:color="00467E"/>
              <w:right w:val="nil"/>
            </w:tcBorders>
            <w:shd w:val="clear" w:color="CFD4D8" w:fill="CFD4D8"/>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1.7</w:t>
            </w:r>
          </w:p>
        </w:tc>
        <w:tc>
          <w:tcPr>
            <w:tcW w:w="181" w:type="dxa"/>
            <w:tcBorders>
              <w:top w:val="nil"/>
              <w:left w:val="nil"/>
              <w:bottom w:val="single" w:sz="6" w:space="0" w:color="00467E"/>
              <w:right w:val="nil"/>
            </w:tcBorders>
            <w:shd w:val="clear" w:color="CFD4D8" w:fill="CFD4D8"/>
            <w:vAlign w:val="center"/>
          </w:tcPr>
          <w:p w:rsidR="0073298C" w:rsidRDefault="0073298C" w:rsidP="0073298C">
            <w:pPr>
              <w:spacing w:before="22" w:after="22"/>
              <w:ind w:right="22"/>
              <w:rPr>
                <w:rFonts w:ascii="Arial" w:hAnsi="Arial" w:cs="Arial"/>
                <w:color w:val="000000"/>
                <w:sz w:val="18"/>
                <w:szCs w:val="18"/>
              </w:rPr>
            </w:pPr>
            <w:r>
              <w:rPr>
                <w:rFonts w:ascii="Arial" w:hAnsi="Arial" w:cs="Arial"/>
                <w:color w:val="000000"/>
                <w:sz w:val="18"/>
                <w:szCs w:val="18"/>
              </w:rPr>
              <w:t>%</w:t>
            </w:r>
          </w:p>
        </w:tc>
        <w:tc>
          <w:tcPr>
            <w:tcW w:w="103" w:type="dxa"/>
            <w:tcBorders>
              <w:top w:val="single" w:sz="6" w:space="0" w:color="00467E"/>
              <w:left w:val="nil"/>
              <w:bottom w:val="single" w:sz="6" w:space="0" w:color="00467E"/>
              <w:right w:val="nil"/>
            </w:tcBorders>
            <w:shd w:val="clear" w:color="00467E" w:fill="00467E"/>
            <w:vAlign w:val="bottom"/>
          </w:tcPr>
          <w:p w:rsidR="0073298C" w:rsidRDefault="0073298C" w:rsidP="0073298C">
            <w:pPr>
              <w:spacing w:before="22" w:after="22"/>
              <w:ind w:left="22" w:right="22"/>
              <w:rPr>
                <w:color w:val="000000"/>
              </w:rPr>
            </w:pPr>
            <w:r>
              <w:rPr>
                <w:color w:val="000000"/>
              </w:rPr>
              <w:t> </w:t>
            </w:r>
          </w:p>
        </w:tc>
        <w:tc>
          <w:tcPr>
            <w:tcW w:w="1004" w:type="dxa"/>
            <w:tcBorders>
              <w:top w:val="nil"/>
              <w:left w:val="nil"/>
              <w:bottom w:val="single" w:sz="6" w:space="0" w:color="00467E"/>
              <w:right w:val="nil"/>
            </w:tcBorders>
            <w:shd w:val="clear" w:color="CFD4D8" w:fill="CFD4D8"/>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20</w:t>
            </w:r>
          </w:p>
        </w:tc>
        <w:tc>
          <w:tcPr>
            <w:tcW w:w="360" w:type="dxa"/>
            <w:tcBorders>
              <w:top w:val="nil"/>
              <w:left w:val="nil"/>
              <w:bottom w:val="single" w:sz="6" w:space="0" w:color="00467E"/>
              <w:right w:val="nil"/>
            </w:tcBorders>
            <w:shd w:val="clear" w:color="CFD4D8" w:fill="CFD4D8"/>
            <w:vAlign w:val="center"/>
          </w:tcPr>
          <w:p w:rsidR="0073298C" w:rsidRDefault="0073298C" w:rsidP="0073298C">
            <w:pPr>
              <w:spacing w:before="22" w:after="22"/>
              <w:ind w:right="22"/>
              <w:rPr>
                <w:rFonts w:ascii="Arial" w:hAnsi="Arial" w:cs="Arial"/>
                <w:color w:val="000000"/>
                <w:sz w:val="18"/>
                <w:szCs w:val="18"/>
              </w:rPr>
            </w:pPr>
            <w:r>
              <w:rPr>
                <w:rFonts w:ascii="Arial" w:hAnsi="Arial" w:cs="Arial"/>
                <w:color w:val="000000"/>
                <w:sz w:val="18"/>
                <w:szCs w:val="18"/>
              </w:rPr>
              <w:t> bps</w:t>
            </w:r>
          </w:p>
        </w:tc>
        <w:tc>
          <w:tcPr>
            <w:tcW w:w="103" w:type="dxa"/>
            <w:tcBorders>
              <w:top w:val="nil"/>
              <w:left w:val="nil"/>
              <w:bottom w:val="single" w:sz="6" w:space="0" w:color="00467E"/>
              <w:right w:val="nil"/>
            </w:tcBorders>
            <w:shd w:val="clear" w:color="CFD4D8" w:fill="CFD4D8"/>
            <w:vAlign w:val="bottom"/>
          </w:tcPr>
          <w:p w:rsidR="0073298C" w:rsidRDefault="0073298C" w:rsidP="0073298C">
            <w:pPr>
              <w:spacing w:before="22" w:after="22"/>
              <w:ind w:left="22" w:right="22"/>
              <w:rPr>
                <w:color w:val="000000"/>
              </w:rPr>
            </w:pPr>
            <w:r>
              <w:rPr>
                <w:color w:val="000000"/>
              </w:rPr>
              <w:t> </w:t>
            </w:r>
          </w:p>
        </w:tc>
        <w:tc>
          <w:tcPr>
            <w:tcW w:w="1029" w:type="dxa"/>
            <w:tcBorders>
              <w:top w:val="nil"/>
              <w:left w:val="nil"/>
              <w:bottom w:val="single" w:sz="6" w:space="0" w:color="00467E"/>
              <w:right w:val="nil"/>
            </w:tcBorders>
            <w:shd w:val="clear" w:color="CFD4D8" w:fill="CFD4D8"/>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w:t>
            </w:r>
          </w:p>
        </w:tc>
        <w:tc>
          <w:tcPr>
            <w:tcW w:w="294" w:type="dxa"/>
            <w:tcBorders>
              <w:top w:val="nil"/>
              <w:left w:val="nil"/>
              <w:bottom w:val="single" w:sz="6" w:space="0" w:color="00467E"/>
              <w:right w:val="single" w:sz="6" w:space="0" w:color="00467E"/>
            </w:tcBorders>
            <w:shd w:val="clear" w:color="CFD4D8" w:fill="CFD4D8"/>
            <w:vAlign w:val="bottom"/>
          </w:tcPr>
          <w:p w:rsidR="0073298C" w:rsidRDefault="0073298C" w:rsidP="0073298C">
            <w:pPr>
              <w:spacing w:before="22" w:after="22"/>
              <w:ind w:left="22"/>
              <w:jc w:val="right"/>
              <w:rPr>
                <w:rFonts w:ascii="Arial" w:hAnsi="Arial" w:cs="Arial"/>
                <w:color w:val="000000"/>
                <w:sz w:val="18"/>
                <w:szCs w:val="18"/>
              </w:rPr>
            </w:pPr>
          </w:p>
          <w:p w:rsidR="0073298C" w:rsidRDefault="0073298C" w:rsidP="0073298C">
            <w:pPr>
              <w:rPr>
                <w:sz w:val="16"/>
                <w:szCs w:val="16"/>
              </w:rPr>
            </w:pPr>
            <w:r>
              <w:rPr>
                <w:sz w:val="16"/>
                <w:szCs w:val="16"/>
              </w:rPr>
              <w:t> </w:t>
            </w:r>
          </w:p>
        </w:tc>
      </w:tr>
    </w:tbl>
    <w:p w:rsidR="0073298C" w:rsidRDefault="0073298C" w:rsidP="0073298C">
      <w:pPr>
        <w:spacing w:after="132"/>
        <w:jc w:val="both"/>
        <w:rPr>
          <w:rFonts w:ascii="Arial" w:hAnsi="Arial" w:cs="Arial"/>
          <w:color w:val="000000"/>
          <w:sz w:val="18"/>
          <w:szCs w:val="18"/>
        </w:rPr>
      </w:pPr>
      <w:r>
        <w:rPr>
          <w:rFonts w:ascii="Arial" w:hAnsi="Arial" w:cs="Arial"/>
          <w:color w:val="000000"/>
          <w:sz w:val="18"/>
          <w:szCs w:val="18"/>
        </w:rPr>
        <w:t xml:space="preserve">Miscellaneous operating expenses, net primarily consists of legal and professional services fees, general and administrative expenses, other costs, as well as </w:t>
      </w:r>
      <w:proofErr w:type="gramStart"/>
      <w:r>
        <w:rPr>
          <w:rFonts w:ascii="Arial" w:hAnsi="Arial" w:cs="Arial"/>
          <w:color w:val="000000"/>
          <w:sz w:val="18"/>
          <w:szCs w:val="18"/>
        </w:rPr>
        <w:t>gain</w:t>
      </w:r>
      <w:proofErr w:type="gramEnd"/>
      <w:r>
        <w:rPr>
          <w:rFonts w:ascii="Arial" w:hAnsi="Arial" w:cs="Arial"/>
          <w:color w:val="000000"/>
          <w:sz w:val="18"/>
          <w:szCs w:val="18"/>
        </w:rPr>
        <w:t xml:space="preserve"> on sales of equipment.</w:t>
      </w:r>
    </w:p>
    <w:p w:rsidR="0073298C" w:rsidRDefault="0073298C" w:rsidP="0073298C">
      <w:pPr>
        <w:spacing w:after="132"/>
        <w:jc w:val="both"/>
        <w:rPr>
          <w:rFonts w:ascii="Arial" w:hAnsi="Arial" w:cs="Arial"/>
          <w:color w:val="000000"/>
          <w:sz w:val="18"/>
          <w:szCs w:val="18"/>
        </w:rPr>
      </w:pPr>
      <w:r>
        <w:rPr>
          <w:rFonts w:ascii="Arial" w:hAnsi="Arial" w:cs="Arial"/>
          <w:i/>
          <w:iCs/>
          <w:color w:val="000000"/>
          <w:sz w:val="18"/>
          <w:szCs w:val="18"/>
        </w:rPr>
        <w:t>2017 Compared to 2016 —</w:t>
      </w:r>
      <w:r>
        <w:rPr>
          <w:rFonts w:ascii="Arial" w:hAnsi="Arial" w:cs="Arial"/>
          <w:color w:val="000000"/>
          <w:sz w:val="18"/>
          <w:szCs w:val="18"/>
        </w:rPr>
        <w:t xml:space="preserve"> The $24.5 million increase in consolidated miscellaneous operating expenses, net includes $19.2 million of expense from Swift's results for the September 9, 2017 through December 31, 2017 period. Knight's miscellaneous operating expenses, net increased $5.3 million from 2016 to 2017, and increased 50 basis points as a percentage of revenue before fuel surcharge. The increase is primarily due to Knight's $4.3 million </w:t>
      </w:r>
      <w:r>
        <w:rPr>
          <w:rFonts w:ascii="Arial" w:hAnsi="Arial" w:cs="Arial"/>
          <w:color w:val="000000"/>
          <w:sz w:val="18"/>
          <w:szCs w:val="18"/>
        </w:rPr>
        <w:lastRenderedPageBreak/>
        <w:t>decrease in gain on sales of equipment, as Knight extended the trade cycle of its tractors in the latter half of 2016 and throughout 2017, resulting in fewer units disposed of in 2017 compared to 2016. The used tractor market continued to be soft throughout much of 2017, but showed signs of strengthening in the latter half of the year. We believe the used equipment market will continue to help offset other miscellaneous operating expenses, but not to the extent Knight and Swift experienced in prior years, and we expect a similar environment throughout 2018. We additionally recorded $0.9 million in 2017 for merger-related statutory filings associated with the 2017 Merger.</w:t>
      </w:r>
    </w:p>
    <w:p w:rsidR="0073298C" w:rsidRDefault="0073298C" w:rsidP="0073298C">
      <w:pPr>
        <w:spacing w:after="264"/>
        <w:jc w:val="both"/>
        <w:rPr>
          <w:rFonts w:ascii="Arial" w:hAnsi="Arial" w:cs="Arial"/>
          <w:color w:val="000000"/>
          <w:sz w:val="18"/>
          <w:szCs w:val="18"/>
        </w:rPr>
      </w:pPr>
      <w:r>
        <w:rPr>
          <w:rFonts w:ascii="Arial" w:hAnsi="Arial" w:cs="Arial"/>
          <w:i/>
          <w:iCs/>
          <w:color w:val="000000"/>
          <w:sz w:val="18"/>
          <w:szCs w:val="18"/>
        </w:rPr>
        <w:t>2016 Compared to 2015 —</w:t>
      </w:r>
      <w:r>
        <w:rPr>
          <w:rFonts w:ascii="Arial" w:hAnsi="Arial" w:cs="Arial"/>
          <w:color w:val="000000"/>
          <w:sz w:val="18"/>
          <w:szCs w:val="18"/>
        </w:rPr>
        <w:t xml:space="preserve"> Miscellaneous operating expenses decreased from 2015 to 2016 due to decreased legal expenses. This was partially offset by a decrease in gain on sale of used equipment to $8.1 million in 2016, from $15.3 million in 2015, as a result of a soft used equipment resale market prevalent in 2016.</w:t>
      </w:r>
    </w:p>
    <w:tbl>
      <w:tblPr>
        <w:tblW w:w="10802" w:type="dxa"/>
        <w:tblInd w:w="8" w:type="dxa"/>
        <w:tblLayout w:type="fixed"/>
        <w:tblCellMar>
          <w:left w:w="0" w:type="dxa"/>
          <w:right w:w="0" w:type="dxa"/>
        </w:tblCellMar>
        <w:tblLook w:val="0000"/>
      </w:tblPr>
      <w:tblGrid>
        <w:gridCol w:w="3207"/>
        <w:gridCol w:w="120"/>
        <w:gridCol w:w="1211"/>
        <w:gridCol w:w="180"/>
        <w:gridCol w:w="103"/>
        <w:gridCol w:w="120"/>
        <w:gridCol w:w="1223"/>
        <w:gridCol w:w="180"/>
        <w:gridCol w:w="103"/>
        <w:gridCol w:w="120"/>
        <w:gridCol w:w="1223"/>
        <w:gridCol w:w="182"/>
        <w:gridCol w:w="103"/>
        <w:gridCol w:w="1032"/>
        <w:gridCol w:w="360"/>
        <w:gridCol w:w="103"/>
        <w:gridCol w:w="1032"/>
        <w:gridCol w:w="200"/>
      </w:tblGrid>
      <w:tr w:rsidR="0073298C" w:rsidTr="000E3B20">
        <w:tblPrEx>
          <w:tblCellMar>
            <w:top w:w="0" w:type="dxa"/>
            <w:left w:w="0" w:type="dxa"/>
            <w:bottom w:w="0" w:type="dxa"/>
            <w:right w:w="0" w:type="dxa"/>
          </w:tblCellMar>
        </w:tblPrEx>
        <w:trPr>
          <w:trHeight w:val="298"/>
        </w:trPr>
        <w:tc>
          <w:tcPr>
            <w:tcW w:w="3207" w:type="dxa"/>
            <w:tcBorders>
              <w:top w:val="single" w:sz="6" w:space="0" w:color="00467E"/>
              <w:left w:val="single" w:sz="6" w:space="0" w:color="00467E"/>
              <w:bottom w:val="nil"/>
              <w:right w:val="nil"/>
            </w:tcBorders>
            <w:vAlign w:val="center"/>
          </w:tcPr>
          <w:p w:rsidR="0073298C" w:rsidRDefault="0073298C" w:rsidP="0073298C">
            <w:pPr>
              <w:spacing w:before="22" w:after="22"/>
              <w:ind w:left="22" w:right="22"/>
              <w:rPr>
                <w:rFonts w:ascii="Arial" w:hAnsi="Arial" w:cs="Arial"/>
                <w:b/>
                <w:bCs w:val="0"/>
                <w:color w:val="000000"/>
                <w:sz w:val="16"/>
                <w:szCs w:val="16"/>
              </w:rPr>
            </w:pPr>
            <w:r>
              <w:rPr>
                <w:rFonts w:ascii="Arial" w:hAnsi="Arial" w:cs="Arial"/>
                <w:b/>
                <w:bCs w:val="0"/>
                <w:color w:val="000000"/>
                <w:sz w:val="16"/>
                <w:szCs w:val="16"/>
              </w:rPr>
              <w:t> </w:t>
            </w:r>
          </w:p>
        </w:tc>
        <w:tc>
          <w:tcPr>
            <w:tcW w:w="1511" w:type="dxa"/>
            <w:gridSpan w:val="3"/>
            <w:tcBorders>
              <w:top w:val="single" w:sz="6" w:space="0" w:color="00467E"/>
              <w:left w:val="nil"/>
              <w:bottom w:val="single" w:sz="6" w:space="0" w:color="000000"/>
              <w:right w:val="nil"/>
            </w:tcBorders>
            <w:vAlign w:val="center"/>
          </w:tcPr>
          <w:p w:rsidR="0073298C" w:rsidRDefault="0073298C" w:rsidP="0073298C">
            <w:pPr>
              <w:spacing w:before="22" w:after="22"/>
              <w:ind w:left="22" w:right="22"/>
              <w:jc w:val="center"/>
              <w:rPr>
                <w:rFonts w:ascii="Arial" w:hAnsi="Arial" w:cs="Arial"/>
                <w:b/>
                <w:bCs w:val="0"/>
                <w:color w:val="000000"/>
                <w:sz w:val="14"/>
                <w:szCs w:val="14"/>
              </w:rPr>
            </w:pPr>
            <w:r>
              <w:rPr>
                <w:rFonts w:ascii="Arial" w:hAnsi="Arial" w:cs="Arial"/>
                <w:b/>
                <w:bCs w:val="0"/>
                <w:color w:val="000000"/>
                <w:sz w:val="14"/>
                <w:szCs w:val="14"/>
              </w:rPr>
              <w:t>2017</w:t>
            </w:r>
          </w:p>
        </w:tc>
        <w:tc>
          <w:tcPr>
            <w:tcW w:w="103" w:type="dxa"/>
            <w:tcBorders>
              <w:top w:val="single" w:sz="6" w:space="0" w:color="00467E"/>
              <w:left w:val="nil"/>
              <w:bottom w:val="nil"/>
              <w:right w:val="nil"/>
            </w:tcBorders>
            <w:vAlign w:val="bottom"/>
          </w:tcPr>
          <w:p w:rsidR="0073298C" w:rsidRDefault="0073298C" w:rsidP="0073298C">
            <w:pPr>
              <w:spacing w:before="22" w:after="22"/>
              <w:ind w:left="22" w:right="22"/>
              <w:rPr>
                <w:color w:val="000000"/>
              </w:rPr>
            </w:pPr>
            <w:r>
              <w:rPr>
                <w:color w:val="000000"/>
              </w:rPr>
              <w:t> </w:t>
            </w:r>
          </w:p>
        </w:tc>
        <w:tc>
          <w:tcPr>
            <w:tcW w:w="1523" w:type="dxa"/>
            <w:gridSpan w:val="3"/>
            <w:tcBorders>
              <w:top w:val="single" w:sz="6" w:space="0" w:color="00467E"/>
              <w:left w:val="nil"/>
              <w:bottom w:val="single" w:sz="6" w:space="0" w:color="000000"/>
              <w:right w:val="nil"/>
            </w:tcBorders>
            <w:vAlign w:val="center"/>
          </w:tcPr>
          <w:p w:rsidR="0073298C" w:rsidRDefault="0073298C" w:rsidP="0073298C">
            <w:pPr>
              <w:spacing w:before="22" w:after="22"/>
              <w:ind w:left="22" w:right="22"/>
              <w:jc w:val="center"/>
              <w:rPr>
                <w:rFonts w:ascii="Arial" w:hAnsi="Arial" w:cs="Arial"/>
                <w:b/>
                <w:bCs w:val="0"/>
                <w:color w:val="000000"/>
                <w:sz w:val="14"/>
                <w:szCs w:val="14"/>
              </w:rPr>
            </w:pPr>
            <w:r>
              <w:rPr>
                <w:rFonts w:ascii="Arial" w:hAnsi="Arial" w:cs="Arial"/>
                <w:b/>
                <w:bCs w:val="0"/>
                <w:color w:val="000000"/>
                <w:sz w:val="14"/>
                <w:szCs w:val="14"/>
              </w:rPr>
              <w:t>2016</w:t>
            </w:r>
          </w:p>
        </w:tc>
        <w:tc>
          <w:tcPr>
            <w:tcW w:w="103" w:type="dxa"/>
            <w:tcBorders>
              <w:top w:val="single" w:sz="6" w:space="0" w:color="00467E"/>
              <w:left w:val="nil"/>
              <w:bottom w:val="nil"/>
              <w:right w:val="nil"/>
            </w:tcBorders>
            <w:vAlign w:val="bottom"/>
          </w:tcPr>
          <w:p w:rsidR="0073298C" w:rsidRDefault="0073298C" w:rsidP="0073298C">
            <w:pPr>
              <w:spacing w:before="22" w:after="22"/>
              <w:ind w:left="22" w:right="22"/>
              <w:rPr>
                <w:color w:val="000000"/>
              </w:rPr>
            </w:pPr>
            <w:r>
              <w:rPr>
                <w:color w:val="000000"/>
              </w:rPr>
              <w:t> </w:t>
            </w:r>
          </w:p>
        </w:tc>
        <w:tc>
          <w:tcPr>
            <w:tcW w:w="1525" w:type="dxa"/>
            <w:gridSpan w:val="3"/>
            <w:tcBorders>
              <w:top w:val="single" w:sz="6" w:space="0" w:color="00467E"/>
              <w:left w:val="nil"/>
              <w:bottom w:val="single" w:sz="6" w:space="0" w:color="000000"/>
              <w:right w:val="nil"/>
            </w:tcBorders>
            <w:vAlign w:val="center"/>
          </w:tcPr>
          <w:p w:rsidR="0073298C" w:rsidRDefault="0073298C" w:rsidP="0073298C">
            <w:pPr>
              <w:spacing w:before="22" w:after="22"/>
              <w:ind w:left="22" w:right="22"/>
              <w:jc w:val="center"/>
              <w:rPr>
                <w:rFonts w:ascii="Arial" w:hAnsi="Arial" w:cs="Arial"/>
                <w:b/>
                <w:bCs w:val="0"/>
                <w:color w:val="000000"/>
                <w:sz w:val="14"/>
                <w:szCs w:val="14"/>
              </w:rPr>
            </w:pPr>
            <w:r>
              <w:rPr>
                <w:rFonts w:ascii="Arial" w:hAnsi="Arial" w:cs="Arial"/>
                <w:b/>
                <w:bCs w:val="0"/>
                <w:color w:val="000000"/>
                <w:sz w:val="14"/>
                <w:szCs w:val="14"/>
              </w:rPr>
              <w:t>2015</w:t>
            </w:r>
          </w:p>
        </w:tc>
        <w:tc>
          <w:tcPr>
            <w:tcW w:w="103" w:type="dxa"/>
            <w:tcBorders>
              <w:top w:val="single" w:sz="6" w:space="0" w:color="00467E"/>
              <w:left w:val="nil"/>
              <w:bottom w:val="nil"/>
              <w:right w:val="nil"/>
            </w:tcBorders>
            <w:shd w:val="clear" w:color="00467E" w:fill="00467E"/>
            <w:vAlign w:val="bottom"/>
          </w:tcPr>
          <w:p w:rsidR="0073298C" w:rsidRDefault="0073298C" w:rsidP="0073298C">
            <w:pPr>
              <w:spacing w:before="22" w:after="22"/>
              <w:ind w:left="22" w:right="22"/>
              <w:rPr>
                <w:color w:val="000000"/>
              </w:rPr>
            </w:pPr>
            <w:r>
              <w:rPr>
                <w:color w:val="000000"/>
              </w:rPr>
              <w:t> </w:t>
            </w:r>
          </w:p>
        </w:tc>
        <w:tc>
          <w:tcPr>
            <w:tcW w:w="1392" w:type="dxa"/>
            <w:gridSpan w:val="2"/>
            <w:tcBorders>
              <w:top w:val="single" w:sz="6" w:space="0" w:color="00467E"/>
              <w:left w:val="nil"/>
              <w:bottom w:val="single" w:sz="6" w:space="0" w:color="000000"/>
              <w:right w:val="nil"/>
            </w:tcBorders>
            <w:vAlign w:val="center"/>
          </w:tcPr>
          <w:p w:rsidR="0073298C" w:rsidRDefault="0073298C" w:rsidP="0073298C">
            <w:pPr>
              <w:spacing w:before="22" w:after="22"/>
              <w:ind w:left="22" w:right="22"/>
              <w:jc w:val="center"/>
              <w:rPr>
                <w:rFonts w:ascii="Arial" w:hAnsi="Arial" w:cs="Arial"/>
                <w:b/>
                <w:bCs w:val="0"/>
                <w:color w:val="000000"/>
                <w:sz w:val="14"/>
                <w:szCs w:val="14"/>
              </w:rPr>
            </w:pPr>
            <w:r>
              <w:rPr>
                <w:rFonts w:ascii="Arial" w:hAnsi="Arial" w:cs="Arial"/>
                <w:b/>
                <w:bCs w:val="0"/>
                <w:color w:val="000000"/>
                <w:sz w:val="14"/>
                <w:szCs w:val="14"/>
              </w:rPr>
              <w:t>2017 vs. 2016</w:t>
            </w:r>
          </w:p>
        </w:tc>
        <w:tc>
          <w:tcPr>
            <w:tcW w:w="103" w:type="dxa"/>
            <w:tcBorders>
              <w:top w:val="single" w:sz="6" w:space="0" w:color="00467E"/>
              <w:left w:val="nil"/>
              <w:bottom w:val="nil"/>
              <w:right w:val="nil"/>
            </w:tcBorders>
            <w:vAlign w:val="bottom"/>
          </w:tcPr>
          <w:p w:rsidR="0073298C" w:rsidRDefault="0073298C" w:rsidP="0073298C">
            <w:pPr>
              <w:spacing w:before="22" w:after="22"/>
              <w:ind w:left="22" w:right="22"/>
              <w:rPr>
                <w:color w:val="000000"/>
              </w:rPr>
            </w:pPr>
            <w:r>
              <w:rPr>
                <w:color w:val="000000"/>
              </w:rPr>
              <w:t> </w:t>
            </w:r>
          </w:p>
        </w:tc>
        <w:tc>
          <w:tcPr>
            <w:tcW w:w="1232" w:type="dxa"/>
            <w:gridSpan w:val="2"/>
            <w:tcBorders>
              <w:top w:val="single" w:sz="6" w:space="0" w:color="00467E"/>
              <w:left w:val="nil"/>
              <w:bottom w:val="single" w:sz="6" w:space="0" w:color="000000"/>
              <w:right w:val="single" w:sz="6" w:space="0" w:color="00467E"/>
            </w:tcBorders>
            <w:vAlign w:val="center"/>
          </w:tcPr>
          <w:p w:rsidR="0073298C" w:rsidRDefault="0073298C" w:rsidP="0073298C">
            <w:pPr>
              <w:spacing w:before="22" w:after="22"/>
              <w:ind w:left="22" w:right="22"/>
              <w:jc w:val="center"/>
              <w:rPr>
                <w:rFonts w:ascii="Arial" w:hAnsi="Arial" w:cs="Arial"/>
                <w:b/>
                <w:bCs w:val="0"/>
                <w:color w:val="000000"/>
                <w:sz w:val="14"/>
                <w:szCs w:val="14"/>
              </w:rPr>
            </w:pPr>
            <w:r>
              <w:rPr>
                <w:rFonts w:ascii="Arial" w:hAnsi="Arial" w:cs="Arial"/>
                <w:b/>
                <w:bCs w:val="0"/>
                <w:color w:val="000000"/>
                <w:sz w:val="14"/>
                <w:szCs w:val="14"/>
              </w:rPr>
              <w:t>2016 vs. 2015</w:t>
            </w:r>
          </w:p>
        </w:tc>
      </w:tr>
      <w:tr w:rsidR="0073298C" w:rsidTr="000E3B20">
        <w:tblPrEx>
          <w:tblCellMar>
            <w:top w:w="0" w:type="dxa"/>
            <w:left w:w="0" w:type="dxa"/>
            <w:bottom w:w="0" w:type="dxa"/>
            <w:right w:w="0" w:type="dxa"/>
          </w:tblCellMar>
        </w:tblPrEx>
        <w:trPr>
          <w:trHeight w:val="298"/>
        </w:trPr>
        <w:tc>
          <w:tcPr>
            <w:tcW w:w="3207" w:type="dxa"/>
            <w:tcBorders>
              <w:top w:val="nil"/>
              <w:left w:val="single" w:sz="6" w:space="0" w:color="00467E"/>
              <w:bottom w:val="nil"/>
              <w:right w:val="nil"/>
            </w:tcBorders>
            <w:vAlign w:val="bottom"/>
          </w:tcPr>
          <w:p w:rsidR="0073298C" w:rsidRDefault="0073298C" w:rsidP="0073298C">
            <w:pPr>
              <w:spacing w:before="22" w:after="22"/>
              <w:ind w:left="22" w:right="22"/>
              <w:rPr>
                <w:color w:val="000000"/>
              </w:rPr>
            </w:pPr>
            <w:r>
              <w:rPr>
                <w:color w:val="000000"/>
              </w:rPr>
              <w:t> </w:t>
            </w:r>
          </w:p>
        </w:tc>
        <w:tc>
          <w:tcPr>
            <w:tcW w:w="4765" w:type="dxa"/>
            <w:gridSpan w:val="11"/>
            <w:tcBorders>
              <w:top w:val="nil"/>
              <w:left w:val="nil"/>
              <w:bottom w:val="single" w:sz="6" w:space="0" w:color="000000"/>
              <w:right w:val="nil"/>
            </w:tcBorders>
            <w:vAlign w:val="center"/>
          </w:tcPr>
          <w:p w:rsidR="0073298C" w:rsidRDefault="0073298C" w:rsidP="0073298C">
            <w:pPr>
              <w:spacing w:before="22" w:after="22"/>
              <w:ind w:left="22"/>
              <w:jc w:val="center"/>
              <w:rPr>
                <w:rFonts w:ascii="Arial" w:hAnsi="Arial" w:cs="Arial"/>
                <w:b/>
                <w:bCs w:val="0"/>
                <w:color w:val="000000"/>
                <w:sz w:val="14"/>
                <w:szCs w:val="14"/>
              </w:rPr>
            </w:pPr>
            <w:r>
              <w:rPr>
                <w:rFonts w:ascii="Arial" w:hAnsi="Arial" w:cs="Arial"/>
                <w:b/>
                <w:bCs w:val="0"/>
                <w:color w:val="000000"/>
                <w:sz w:val="14"/>
                <w:szCs w:val="14"/>
              </w:rPr>
              <w:t>(Dollars in thousands)</w:t>
            </w:r>
          </w:p>
        </w:tc>
        <w:tc>
          <w:tcPr>
            <w:tcW w:w="103" w:type="dxa"/>
            <w:tcBorders>
              <w:top w:val="single" w:sz="6" w:space="0" w:color="00467E"/>
              <w:left w:val="nil"/>
              <w:bottom w:val="nil"/>
              <w:right w:val="nil"/>
            </w:tcBorders>
            <w:shd w:val="clear" w:color="00467E" w:fill="00467E"/>
            <w:vAlign w:val="bottom"/>
          </w:tcPr>
          <w:p w:rsidR="0073298C" w:rsidRDefault="0073298C" w:rsidP="0073298C">
            <w:pPr>
              <w:spacing w:before="22" w:after="22"/>
              <w:ind w:left="22" w:right="22"/>
              <w:rPr>
                <w:color w:val="000000"/>
              </w:rPr>
            </w:pPr>
            <w:r>
              <w:rPr>
                <w:color w:val="000000"/>
              </w:rPr>
              <w:t> </w:t>
            </w:r>
          </w:p>
        </w:tc>
        <w:tc>
          <w:tcPr>
            <w:tcW w:w="2727" w:type="dxa"/>
            <w:gridSpan w:val="5"/>
            <w:tcBorders>
              <w:top w:val="nil"/>
              <w:left w:val="nil"/>
              <w:bottom w:val="single" w:sz="6" w:space="0" w:color="000000"/>
              <w:right w:val="single" w:sz="6" w:space="0" w:color="00467E"/>
            </w:tcBorders>
            <w:vAlign w:val="center"/>
          </w:tcPr>
          <w:p w:rsidR="0073298C" w:rsidRDefault="0073298C" w:rsidP="0073298C">
            <w:pPr>
              <w:spacing w:before="22" w:after="22"/>
              <w:ind w:left="22"/>
              <w:jc w:val="center"/>
              <w:rPr>
                <w:rFonts w:ascii="Arial" w:hAnsi="Arial" w:cs="Arial"/>
                <w:b/>
                <w:bCs w:val="0"/>
                <w:color w:val="000000"/>
                <w:sz w:val="14"/>
                <w:szCs w:val="14"/>
              </w:rPr>
            </w:pPr>
            <w:r>
              <w:rPr>
                <w:rFonts w:ascii="Arial" w:hAnsi="Arial" w:cs="Arial"/>
                <w:b/>
                <w:bCs w:val="0"/>
                <w:color w:val="000000"/>
                <w:sz w:val="14"/>
                <w:szCs w:val="14"/>
              </w:rPr>
              <w:t>Increase (decrease)</w:t>
            </w:r>
          </w:p>
        </w:tc>
      </w:tr>
      <w:tr w:rsidR="0073298C" w:rsidTr="000E3B20">
        <w:tblPrEx>
          <w:tblCellMar>
            <w:top w:w="0" w:type="dxa"/>
            <w:left w:w="0" w:type="dxa"/>
            <w:bottom w:w="0" w:type="dxa"/>
            <w:right w:w="0" w:type="dxa"/>
          </w:tblCellMar>
        </w:tblPrEx>
        <w:trPr>
          <w:trHeight w:val="298"/>
        </w:trPr>
        <w:tc>
          <w:tcPr>
            <w:tcW w:w="3207" w:type="dxa"/>
            <w:tcBorders>
              <w:top w:val="nil"/>
              <w:left w:val="single" w:sz="6" w:space="0" w:color="00467E"/>
              <w:bottom w:val="nil"/>
              <w:right w:val="nil"/>
            </w:tcBorders>
            <w:shd w:val="clear" w:color="CFD4D8" w:fill="CFD4D8"/>
            <w:vAlign w:val="center"/>
          </w:tcPr>
          <w:p w:rsidR="0073298C" w:rsidRDefault="0073298C" w:rsidP="0073298C">
            <w:pPr>
              <w:spacing w:before="22" w:after="22"/>
              <w:ind w:left="22" w:right="22"/>
              <w:rPr>
                <w:rFonts w:ascii="Arial" w:hAnsi="Arial" w:cs="Arial"/>
                <w:b/>
                <w:bCs w:val="0"/>
                <w:i/>
                <w:iCs/>
                <w:color w:val="9D1B11"/>
                <w:sz w:val="18"/>
                <w:szCs w:val="18"/>
              </w:rPr>
            </w:pPr>
            <w:r>
              <w:rPr>
                <w:rFonts w:ascii="Arial" w:hAnsi="Arial" w:cs="Arial"/>
                <w:b/>
                <w:bCs w:val="0"/>
                <w:i/>
                <w:iCs/>
                <w:color w:val="9D1B11"/>
                <w:sz w:val="18"/>
                <w:szCs w:val="18"/>
              </w:rPr>
              <w:t>Merger-related costs</w:t>
            </w:r>
          </w:p>
        </w:tc>
        <w:tc>
          <w:tcPr>
            <w:tcW w:w="120" w:type="dxa"/>
            <w:tcBorders>
              <w:top w:val="nil"/>
              <w:left w:val="nil"/>
              <w:bottom w:val="nil"/>
              <w:right w:val="nil"/>
            </w:tcBorders>
            <w:shd w:val="clear" w:color="CFD4D8" w:fill="CFD4D8"/>
            <w:vAlign w:val="center"/>
          </w:tcPr>
          <w:p w:rsidR="0073298C" w:rsidRDefault="0073298C" w:rsidP="0073298C">
            <w:pPr>
              <w:spacing w:before="22" w:after="22"/>
              <w:ind w:left="22"/>
              <w:rPr>
                <w:rFonts w:ascii="Arial" w:hAnsi="Arial" w:cs="Arial"/>
                <w:color w:val="000000"/>
                <w:sz w:val="18"/>
                <w:szCs w:val="18"/>
              </w:rPr>
            </w:pPr>
            <w:r>
              <w:rPr>
                <w:rFonts w:ascii="Arial" w:hAnsi="Arial" w:cs="Arial"/>
                <w:color w:val="000000"/>
                <w:sz w:val="18"/>
                <w:szCs w:val="18"/>
              </w:rPr>
              <w:t>$</w:t>
            </w:r>
          </w:p>
        </w:tc>
        <w:tc>
          <w:tcPr>
            <w:tcW w:w="1211" w:type="dxa"/>
            <w:tcBorders>
              <w:top w:val="nil"/>
              <w:left w:val="nil"/>
              <w:bottom w:val="nil"/>
              <w:right w:val="nil"/>
            </w:tcBorders>
            <w:shd w:val="clear" w:color="CFD4D8" w:fill="CFD4D8"/>
            <w:vAlign w:val="center"/>
          </w:tcPr>
          <w:p w:rsidR="0073298C" w:rsidRDefault="0073298C" w:rsidP="0073298C">
            <w:pPr>
              <w:spacing w:before="22" w:after="22"/>
              <w:jc w:val="right"/>
              <w:rPr>
                <w:rFonts w:ascii="Arial" w:hAnsi="Arial" w:cs="Arial"/>
                <w:color w:val="000000"/>
                <w:sz w:val="18"/>
                <w:szCs w:val="18"/>
              </w:rPr>
            </w:pPr>
            <w:r>
              <w:rPr>
                <w:rFonts w:ascii="Arial" w:hAnsi="Arial" w:cs="Arial"/>
                <w:color w:val="000000"/>
                <w:sz w:val="18"/>
                <w:szCs w:val="18"/>
              </w:rPr>
              <w:t>16,516</w:t>
            </w:r>
          </w:p>
        </w:tc>
        <w:tc>
          <w:tcPr>
            <w:tcW w:w="180" w:type="dxa"/>
            <w:tcBorders>
              <w:top w:val="nil"/>
              <w:left w:val="nil"/>
              <w:bottom w:val="nil"/>
              <w:right w:val="nil"/>
            </w:tcBorders>
            <w:shd w:val="clear" w:color="CFD4D8" w:fill="CFD4D8"/>
            <w:vAlign w:val="bottom"/>
          </w:tcPr>
          <w:p w:rsidR="0073298C" w:rsidRDefault="0073298C" w:rsidP="0073298C">
            <w:pPr>
              <w:spacing w:before="22" w:after="22"/>
              <w:jc w:val="right"/>
              <w:rPr>
                <w:rFonts w:ascii="Arial" w:hAnsi="Arial" w:cs="Arial"/>
                <w:color w:val="000000"/>
                <w:sz w:val="18"/>
                <w:szCs w:val="18"/>
              </w:rPr>
            </w:pPr>
          </w:p>
          <w:p w:rsidR="0073298C" w:rsidRDefault="0073298C" w:rsidP="0073298C">
            <w:pPr>
              <w:rPr>
                <w:sz w:val="16"/>
                <w:szCs w:val="16"/>
              </w:rPr>
            </w:pPr>
            <w:r>
              <w:rPr>
                <w:sz w:val="16"/>
                <w:szCs w:val="16"/>
              </w:rPr>
              <w:t> </w:t>
            </w:r>
          </w:p>
        </w:tc>
        <w:tc>
          <w:tcPr>
            <w:tcW w:w="103" w:type="dxa"/>
            <w:tcBorders>
              <w:top w:val="nil"/>
              <w:left w:val="nil"/>
              <w:bottom w:val="nil"/>
              <w:right w:val="nil"/>
            </w:tcBorders>
            <w:shd w:val="clear" w:color="CFD4D8" w:fill="CFD4D8"/>
            <w:vAlign w:val="bottom"/>
          </w:tcPr>
          <w:p w:rsidR="0073298C" w:rsidRDefault="0073298C" w:rsidP="0073298C">
            <w:pPr>
              <w:spacing w:before="22" w:after="22"/>
              <w:ind w:left="22" w:right="22"/>
              <w:rPr>
                <w:color w:val="000000"/>
              </w:rPr>
            </w:pPr>
            <w:r>
              <w:rPr>
                <w:color w:val="000000"/>
              </w:rPr>
              <w:t> </w:t>
            </w:r>
          </w:p>
        </w:tc>
        <w:tc>
          <w:tcPr>
            <w:tcW w:w="120" w:type="dxa"/>
            <w:tcBorders>
              <w:top w:val="nil"/>
              <w:left w:val="nil"/>
              <w:bottom w:val="nil"/>
              <w:right w:val="nil"/>
            </w:tcBorders>
            <w:shd w:val="clear" w:color="CFD4D8" w:fill="CFD4D8"/>
            <w:vAlign w:val="center"/>
          </w:tcPr>
          <w:p w:rsidR="0073298C" w:rsidRDefault="0073298C" w:rsidP="0073298C">
            <w:pPr>
              <w:spacing w:before="22" w:after="22"/>
              <w:ind w:left="22"/>
              <w:rPr>
                <w:rFonts w:ascii="Arial" w:hAnsi="Arial" w:cs="Arial"/>
                <w:color w:val="000000"/>
                <w:sz w:val="18"/>
                <w:szCs w:val="18"/>
              </w:rPr>
            </w:pPr>
            <w:r>
              <w:rPr>
                <w:rFonts w:ascii="Arial" w:hAnsi="Arial" w:cs="Arial"/>
                <w:color w:val="000000"/>
                <w:sz w:val="18"/>
                <w:szCs w:val="18"/>
              </w:rPr>
              <w:t>$</w:t>
            </w:r>
          </w:p>
        </w:tc>
        <w:tc>
          <w:tcPr>
            <w:tcW w:w="1223" w:type="dxa"/>
            <w:tcBorders>
              <w:top w:val="nil"/>
              <w:left w:val="nil"/>
              <w:bottom w:val="nil"/>
              <w:right w:val="nil"/>
            </w:tcBorders>
            <w:shd w:val="clear" w:color="CFD4D8" w:fill="CFD4D8"/>
            <w:vAlign w:val="center"/>
          </w:tcPr>
          <w:p w:rsidR="0073298C" w:rsidRDefault="0073298C" w:rsidP="0073298C">
            <w:pPr>
              <w:spacing w:before="22" w:after="22"/>
              <w:jc w:val="right"/>
              <w:rPr>
                <w:rFonts w:ascii="Arial" w:hAnsi="Arial" w:cs="Arial"/>
                <w:color w:val="000000"/>
                <w:sz w:val="18"/>
                <w:szCs w:val="18"/>
              </w:rPr>
            </w:pPr>
            <w:r>
              <w:rPr>
                <w:rFonts w:ascii="Arial" w:hAnsi="Arial" w:cs="Arial"/>
                <w:color w:val="000000"/>
                <w:sz w:val="18"/>
                <w:szCs w:val="18"/>
              </w:rPr>
              <w:t>—</w:t>
            </w:r>
          </w:p>
        </w:tc>
        <w:tc>
          <w:tcPr>
            <w:tcW w:w="180" w:type="dxa"/>
            <w:tcBorders>
              <w:top w:val="nil"/>
              <w:left w:val="nil"/>
              <w:bottom w:val="nil"/>
              <w:right w:val="nil"/>
            </w:tcBorders>
            <w:shd w:val="clear" w:color="CFD4D8" w:fill="CFD4D8"/>
            <w:vAlign w:val="bottom"/>
          </w:tcPr>
          <w:p w:rsidR="0073298C" w:rsidRDefault="0073298C" w:rsidP="0073298C">
            <w:pPr>
              <w:spacing w:before="22" w:after="22"/>
              <w:jc w:val="right"/>
              <w:rPr>
                <w:rFonts w:ascii="Arial" w:hAnsi="Arial" w:cs="Arial"/>
                <w:color w:val="000000"/>
                <w:sz w:val="18"/>
                <w:szCs w:val="18"/>
              </w:rPr>
            </w:pPr>
          </w:p>
          <w:p w:rsidR="0073298C" w:rsidRDefault="0073298C" w:rsidP="0073298C">
            <w:pPr>
              <w:rPr>
                <w:sz w:val="16"/>
                <w:szCs w:val="16"/>
              </w:rPr>
            </w:pPr>
            <w:r>
              <w:rPr>
                <w:sz w:val="16"/>
                <w:szCs w:val="16"/>
              </w:rPr>
              <w:t> </w:t>
            </w:r>
          </w:p>
        </w:tc>
        <w:tc>
          <w:tcPr>
            <w:tcW w:w="103" w:type="dxa"/>
            <w:tcBorders>
              <w:top w:val="nil"/>
              <w:left w:val="nil"/>
              <w:bottom w:val="nil"/>
              <w:right w:val="nil"/>
            </w:tcBorders>
            <w:shd w:val="clear" w:color="CFD4D8" w:fill="CFD4D8"/>
            <w:vAlign w:val="bottom"/>
          </w:tcPr>
          <w:p w:rsidR="0073298C" w:rsidRDefault="0073298C" w:rsidP="0073298C">
            <w:pPr>
              <w:spacing w:before="22" w:after="22"/>
              <w:ind w:left="22" w:right="22"/>
              <w:rPr>
                <w:color w:val="000000"/>
              </w:rPr>
            </w:pPr>
            <w:r>
              <w:rPr>
                <w:color w:val="000000"/>
              </w:rPr>
              <w:t> </w:t>
            </w:r>
          </w:p>
        </w:tc>
        <w:tc>
          <w:tcPr>
            <w:tcW w:w="120" w:type="dxa"/>
            <w:tcBorders>
              <w:top w:val="nil"/>
              <w:left w:val="nil"/>
              <w:bottom w:val="nil"/>
              <w:right w:val="nil"/>
            </w:tcBorders>
            <w:shd w:val="clear" w:color="CFD4D8" w:fill="CFD4D8"/>
            <w:vAlign w:val="center"/>
          </w:tcPr>
          <w:p w:rsidR="0073298C" w:rsidRDefault="0073298C" w:rsidP="0073298C">
            <w:pPr>
              <w:spacing w:before="22" w:after="22"/>
              <w:ind w:left="22"/>
              <w:rPr>
                <w:rFonts w:ascii="Arial" w:hAnsi="Arial" w:cs="Arial"/>
                <w:color w:val="000000"/>
                <w:sz w:val="18"/>
                <w:szCs w:val="18"/>
              </w:rPr>
            </w:pPr>
            <w:r>
              <w:rPr>
                <w:rFonts w:ascii="Arial" w:hAnsi="Arial" w:cs="Arial"/>
                <w:color w:val="000000"/>
                <w:sz w:val="18"/>
                <w:szCs w:val="18"/>
              </w:rPr>
              <w:t>$</w:t>
            </w:r>
          </w:p>
        </w:tc>
        <w:tc>
          <w:tcPr>
            <w:tcW w:w="1223" w:type="dxa"/>
            <w:tcBorders>
              <w:top w:val="nil"/>
              <w:left w:val="nil"/>
              <w:bottom w:val="nil"/>
              <w:right w:val="nil"/>
            </w:tcBorders>
            <w:shd w:val="clear" w:color="CFD4D8" w:fill="CFD4D8"/>
            <w:vAlign w:val="center"/>
          </w:tcPr>
          <w:p w:rsidR="0073298C" w:rsidRDefault="0073298C" w:rsidP="0073298C">
            <w:pPr>
              <w:spacing w:before="22" w:after="22"/>
              <w:jc w:val="right"/>
              <w:rPr>
                <w:rFonts w:ascii="Arial" w:hAnsi="Arial" w:cs="Arial"/>
                <w:color w:val="000000"/>
                <w:sz w:val="18"/>
                <w:szCs w:val="18"/>
              </w:rPr>
            </w:pPr>
            <w:r>
              <w:rPr>
                <w:rFonts w:ascii="Arial" w:hAnsi="Arial" w:cs="Arial"/>
                <w:color w:val="000000"/>
                <w:sz w:val="18"/>
                <w:szCs w:val="18"/>
              </w:rPr>
              <w:t>—</w:t>
            </w:r>
          </w:p>
        </w:tc>
        <w:tc>
          <w:tcPr>
            <w:tcW w:w="182" w:type="dxa"/>
            <w:tcBorders>
              <w:top w:val="nil"/>
              <w:left w:val="nil"/>
              <w:bottom w:val="nil"/>
              <w:right w:val="nil"/>
            </w:tcBorders>
            <w:shd w:val="clear" w:color="CFD4D8" w:fill="CFD4D8"/>
            <w:vAlign w:val="bottom"/>
          </w:tcPr>
          <w:p w:rsidR="0073298C" w:rsidRDefault="0073298C" w:rsidP="0073298C">
            <w:pPr>
              <w:spacing w:before="22" w:after="22"/>
              <w:jc w:val="right"/>
              <w:rPr>
                <w:rFonts w:ascii="Arial" w:hAnsi="Arial" w:cs="Arial"/>
                <w:color w:val="000000"/>
                <w:sz w:val="18"/>
                <w:szCs w:val="18"/>
              </w:rPr>
            </w:pPr>
          </w:p>
          <w:p w:rsidR="0073298C" w:rsidRDefault="0073298C" w:rsidP="0073298C">
            <w:pPr>
              <w:rPr>
                <w:sz w:val="16"/>
                <w:szCs w:val="16"/>
              </w:rPr>
            </w:pPr>
            <w:r>
              <w:rPr>
                <w:sz w:val="16"/>
                <w:szCs w:val="16"/>
              </w:rPr>
              <w:t> </w:t>
            </w:r>
          </w:p>
        </w:tc>
        <w:tc>
          <w:tcPr>
            <w:tcW w:w="103" w:type="dxa"/>
            <w:tcBorders>
              <w:top w:val="single" w:sz="6" w:space="0" w:color="00467E"/>
              <w:left w:val="nil"/>
              <w:bottom w:val="nil"/>
              <w:right w:val="nil"/>
            </w:tcBorders>
            <w:shd w:val="clear" w:color="00467E" w:fill="00467E"/>
            <w:vAlign w:val="bottom"/>
          </w:tcPr>
          <w:p w:rsidR="0073298C" w:rsidRDefault="0073298C" w:rsidP="0073298C">
            <w:pPr>
              <w:spacing w:before="22" w:after="22"/>
              <w:ind w:left="22" w:right="22"/>
              <w:rPr>
                <w:color w:val="000000"/>
              </w:rPr>
            </w:pPr>
            <w:r>
              <w:rPr>
                <w:color w:val="000000"/>
              </w:rPr>
              <w:t> </w:t>
            </w:r>
          </w:p>
        </w:tc>
        <w:tc>
          <w:tcPr>
            <w:tcW w:w="1032" w:type="dxa"/>
            <w:tcBorders>
              <w:top w:val="single" w:sz="6" w:space="0" w:color="000000"/>
              <w:left w:val="nil"/>
              <w:bottom w:val="nil"/>
              <w:right w:val="nil"/>
            </w:tcBorders>
            <w:shd w:val="clear" w:color="CFD4D8" w:fill="CFD4D8"/>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w:t>
            </w:r>
          </w:p>
        </w:tc>
        <w:tc>
          <w:tcPr>
            <w:tcW w:w="360" w:type="dxa"/>
            <w:tcBorders>
              <w:top w:val="single" w:sz="6" w:space="0" w:color="000000"/>
              <w:left w:val="nil"/>
              <w:bottom w:val="nil"/>
              <w:right w:val="nil"/>
            </w:tcBorders>
            <w:shd w:val="clear" w:color="CFD4D8" w:fill="CFD4D8"/>
            <w:vAlign w:val="bottom"/>
          </w:tcPr>
          <w:p w:rsidR="0073298C" w:rsidRDefault="0073298C" w:rsidP="0073298C">
            <w:pPr>
              <w:spacing w:before="22" w:after="22"/>
              <w:ind w:left="22"/>
              <w:jc w:val="right"/>
              <w:rPr>
                <w:rFonts w:ascii="Arial" w:hAnsi="Arial" w:cs="Arial"/>
                <w:color w:val="000000"/>
                <w:sz w:val="18"/>
                <w:szCs w:val="18"/>
              </w:rPr>
            </w:pPr>
          </w:p>
          <w:p w:rsidR="0073298C" w:rsidRDefault="0073298C" w:rsidP="0073298C">
            <w:pPr>
              <w:rPr>
                <w:sz w:val="16"/>
                <w:szCs w:val="16"/>
              </w:rPr>
            </w:pPr>
            <w:r>
              <w:rPr>
                <w:sz w:val="16"/>
                <w:szCs w:val="16"/>
              </w:rPr>
              <w:t> </w:t>
            </w:r>
          </w:p>
        </w:tc>
        <w:tc>
          <w:tcPr>
            <w:tcW w:w="103" w:type="dxa"/>
            <w:tcBorders>
              <w:top w:val="single" w:sz="6" w:space="0" w:color="000000"/>
              <w:left w:val="nil"/>
              <w:bottom w:val="nil"/>
              <w:right w:val="nil"/>
            </w:tcBorders>
            <w:shd w:val="clear" w:color="CFD4D8" w:fill="CFD4D8"/>
            <w:vAlign w:val="bottom"/>
          </w:tcPr>
          <w:p w:rsidR="0073298C" w:rsidRDefault="0073298C" w:rsidP="0073298C">
            <w:pPr>
              <w:spacing w:before="22" w:after="22"/>
              <w:ind w:left="22" w:right="22"/>
              <w:rPr>
                <w:color w:val="000000"/>
              </w:rPr>
            </w:pPr>
            <w:r>
              <w:rPr>
                <w:color w:val="000000"/>
              </w:rPr>
              <w:t> </w:t>
            </w:r>
          </w:p>
        </w:tc>
        <w:tc>
          <w:tcPr>
            <w:tcW w:w="1032" w:type="dxa"/>
            <w:tcBorders>
              <w:top w:val="single" w:sz="6" w:space="0" w:color="000000"/>
              <w:left w:val="nil"/>
              <w:bottom w:val="nil"/>
              <w:right w:val="nil"/>
            </w:tcBorders>
            <w:shd w:val="clear" w:color="CFD4D8" w:fill="CFD4D8"/>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w:t>
            </w:r>
          </w:p>
        </w:tc>
        <w:tc>
          <w:tcPr>
            <w:tcW w:w="200" w:type="dxa"/>
            <w:tcBorders>
              <w:top w:val="single" w:sz="6" w:space="0" w:color="000000"/>
              <w:left w:val="nil"/>
              <w:bottom w:val="nil"/>
              <w:right w:val="single" w:sz="6" w:space="0" w:color="00467E"/>
            </w:tcBorders>
            <w:shd w:val="clear" w:color="CFD4D8" w:fill="CFD4D8"/>
            <w:vAlign w:val="bottom"/>
          </w:tcPr>
          <w:p w:rsidR="0073298C" w:rsidRDefault="0073298C" w:rsidP="0073298C">
            <w:pPr>
              <w:spacing w:before="22" w:after="22"/>
              <w:ind w:left="22"/>
              <w:jc w:val="right"/>
              <w:rPr>
                <w:rFonts w:ascii="Arial" w:hAnsi="Arial" w:cs="Arial"/>
                <w:color w:val="000000"/>
                <w:sz w:val="18"/>
                <w:szCs w:val="18"/>
              </w:rPr>
            </w:pPr>
          </w:p>
          <w:p w:rsidR="0073298C" w:rsidRDefault="0073298C" w:rsidP="0073298C">
            <w:pPr>
              <w:rPr>
                <w:sz w:val="16"/>
                <w:szCs w:val="16"/>
              </w:rPr>
            </w:pPr>
            <w:r>
              <w:rPr>
                <w:sz w:val="16"/>
                <w:szCs w:val="16"/>
              </w:rPr>
              <w:t> </w:t>
            </w:r>
          </w:p>
        </w:tc>
      </w:tr>
      <w:tr w:rsidR="0073298C" w:rsidTr="000E3B20">
        <w:tblPrEx>
          <w:tblCellMar>
            <w:top w:w="0" w:type="dxa"/>
            <w:left w:w="0" w:type="dxa"/>
            <w:bottom w:w="0" w:type="dxa"/>
            <w:right w:w="0" w:type="dxa"/>
          </w:tblCellMar>
        </w:tblPrEx>
        <w:trPr>
          <w:trHeight w:val="298"/>
        </w:trPr>
        <w:tc>
          <w:tcPr>
            <w:tcW w:w="3207" w:type="dxa"/>
            <w:tcBorders>
              <w:top w:val="nil"/>
              <w:left w:val="single" w:sz="6" w:space="0" w:color="00467E"/>
              <w:bottom w:val="nil"/>
              <w:right w:val="nil"/>
            </w:tcBorders>
            <w:vAlign w:val="center"/>
          </w:tcPr>
          <w:p w:rsidR="0073298C" w:rsidRDefault="0073298C" w:rsidP="0073298C">
            <w:pPr>
              <w:spacing w:before="22" w:after="22"/>
              <w:ind w:left="330" w:right="22"/>
              <w:rPr>
                <w:rFonts w:ascii="Arial" w:hAnsi="Arial" w:cs="Arial"/>
                <w:color w:val="000000"/>
                <w:sz w:val="18"/>
                <w:szCs w:val="18"/>
              </w:rPr>
            </w:pPr>
            <w:r>
              <w:rPr>
                <w:rFonts w:ascii="Arial" w:hAnsi="Arial" w:cs="Arial"/>
                <w:color w:val="000000"/>
                <w:sz w:val="18"/>
                <w:szCs w:val="18"/>
              </w:rPr>
              <w:t>% of total revenue</w:t>
            </w:r>
          </w:p>
        </w:tc>
        <w:tc>
          <w:tcPr>
            <w:tcW w:w="1331" w:type="dxa"/>
            <w:gridSpan w:val="2"/>
            <w:tcBorders>
              <w:top w:val="nil"/>
              <w:left w:val="nil"/>
              <w:bottom w:val="nil"/>
              <w:right w:val="nil"/>
            </w:tcBorders>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0.7</w:t>
            </w:r>
          </w:p>
        </w:tc>
        <w:tc>
          <w:tcPr>
            <w:tcW w:w="180" w:type="dxa"/>
            <w:tcBorders>
              <w:top w:val="nil"/>
              <w:left w:val="nil"/>
              <w:bottom w:val="nil"/>
              <w:right w:val="nil"/>
            </w:tcBorders>
            <w:vAlign w:val="center"/>
          </w:tcPr>
          <w:p w:rsidR="0073298C" w:rsidRDefault="0073298C" w:rsidP="0073298C">
            <w:pPr>
              <w:spacing w:before="22" w:after="22"/>
              <w:ind w:right="22"/>
              <w:rPr>
                <w:rFonts w:ascii="Arial" w:hAnsi="Arial" w:cs="Arial"/>
                <w:color w:val="000000"/>
                <w:sz w:val="18"/>
                <w:szCs w:val="18"/>
              </w:rPr>
            </w:pPr>
            <w:r>
              <w:rPr>
                <w:rFonts w:ascii="Arial" w:hAnsi="Arial" w:cs="Arial"/>
                <w:color w:val="000000"/>
                <w:sz w:val="18"/>
                <w:szCs w:val="18"/>
              </w:rPr>
              <w:t>%</w:t>
            </w:r>
          </w:p>
        </w:tc>
        <w:tc>
          <w:tcPr>
            <w:tcW w:w="103" w:type="dxa"/>
            <w:tcBorders>
              <w:top w:val="nil"/>
              <w:left w:val="nil"/>
              <w:bottom w:val="nil"/>
              <w:right w:val="nil"/>
            </w:tcBorders>
            <w:vAlign w:val="bottom"/>
          </w:tcPr>
          <w:p w:rsidR="0073298C" w:rsidRDefault="0073298C" w:rsidP="0073298C">
            <w:pPr>
              <w:spacing w:before="22" w:after="22"/>
              <w:ind w:left="22" w:right="22"/>
              <w:rPr>
                <w:color w:val="000000"/>
              </w:rPr>
            </w:pPr>
            <w:r>
              <w:rPr>
                <w:color w:val="000000"/>
              </w:rPr>
              <w:t> </w:t>
            </w:r>
          </w:p>
        </w:tc>
        <w:tc>
          <w:tcPr>
            <w:tcW w:w="1343" w:type="dxa"/>
            <w:gridSpan w:val="2"/>
            <w:tcBorders>
              <w:top w:val="nil"/>
              <w:left w:val="nil"/>
              <w:bottom w:val="nil"/>
              <w:right w:val="nil"/>
            </w:tcBorders>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w:t>
            </w:r>
          </w:p>
        </w:tc>
        <w:tc>
          <w:tcPr>
            <w:tcW w:w="180" w:type="dxa"/>
            <w:tcBorders>
              <w:top w:val="nil"/>
              <w:left w:val="nil"/>
              <w:bottom w:val="nil"/>
              <w:right w:val="nil"/>
            </w:tcBorders>
            <w:vAlign w:val="center"/>
          </w:tcPr>
          <w:p w:rsidR="0073298C" w:rsidRDefault="0073298C" w:rsidP="0073298C">
            <w:pPr>
              <w:spacing w:before="22" w:after="22"/>
              <w:ind w:right="22"/>
              <w:rPr>
                <w:rFonts w:ascii="Arial" w:hAnsi="Arial" w:cs="Arial"/>
                <w:color w:val="000000"/>
                <w:sz w:val="18"/>
                <w:szCs w:val="18"/>
              </w:rPr>
            </w:pPr>
            <w:r>
              <w:rPr>
                <w:rFonts w:ascii="Arial" w:hAnsi="Arial" w:cs="Arial"/>
                <w:color w:val="000000"/>
                <w:sz w:val="18"/>
                <w:szCs w:val="18"/>
              </w:rPr>
              <w:t>%</w:t>
            </w:r>
          </w:p>
        </w:tc>
        <w:tc>
          <w:tcPr>
            <w:tcW w:w="103" w:type="dxa"/>
            <w:tcBorders>
              <w:top w:val="nil"/>
              <w:left w:val="nil"/>
              <w:bottom w:val="nil"/>
              <w:right w:val="nil"/>
            </w:tcBorders>
            <w:vAlign w:val="bottom"/>
          </w:tcPr>
          <w:p w:rsidR="0073298C" w:rsidRDefault="0073298C" w:rsidP="0073298C">
            <w:pPr>
              <w:spacing w:before="22" w:after="22"/>
              <w:ind w:left="22" w:right="22"/>
              <w:rPr>
                <w:color w:val="000000"/>
              </w:rPr>
            </w:pPr>
            <w:r>
              <w:rPr>
                <w:color w:val="000000"/>
              </w:rPr>
              <w:t> </w:t>
            </w:r>
          </w:p>
        </w:tc>
        <w:tc>
          <w:tcPr>
            <w:tcW w:w="1343" w:type="dxa"/>
            <w:gridSpan w:val="2"/>
            <w:tcBorders>
              <w:top w:val="nil"/>
              <w:left w:val="nil"/>
              <w:bottom w:val="nil"/>
              <w:right w:val="nil"/>
            </w:tcBorders>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w:t>
            </w:r>
          </w:p>
        </w:tc>
        <w:tc>
          <w:tcPr>
            <w:tcW w:w="182" w:type="dxa"/>
            <w:tcBorders>
              <w:top w:val="nil"/>
              <w:left w:val="nil"/>
              <w:bottom w:val="nil"/>
              <w:right w:val="nil"/>
            </w:tcBorders>
            <w:vAlign w:val="center"/>
          </w:tcPr>
          <w:p w:rsidR="0073298C" w:rsidRDefault="0073298C" w:rsidP="0073298C">
            <w:pPr>
              <w:spacing w:before="22" w:after="22"/>
              <w:ind w:right="22"/>
              <w:rPr>
                <w:rFonts w:ascii="Arial" w:hAnsi="Arial" w:cs="Arial"/>
                <w:color w:val="000000"/>
                <w:sz w:val="18"/>
                <w:szCs w:val="18"/>
              </w:rPr>
            </w:pPr>
            <w:r>
              <w:rPr>
                <w:rFonts w:ascii="Arial" w:hAnsi="Arial" w:cs="Arial"/>
                <w:color w:val="000000"/>
                <w:sz w:val="18"/>
                <w:szCs w:val="18"/>
              </w:rPr>
              <w:t>%</w:t>
            </w:r>
          </w:p>
        </w:tc>
        <w:tc>
          <w:tcPr>
            <w:tcW w:w="103" w:type="dxa"/>
            <w:tcBorders>
              <w:top w:val="single" w:sz="6" w:space="0" w:color="00467E"/>
              <w:left w:val="nil"/>
              <w:bottom w:val="nil"/>
              <w:right w:val="nil"/>
            </w:tcBorders>
            <w:shd w:val="clear" w:color="00467E" w:fill="00467E"/>
            <w:vAlign w:val="bottom"/>
          </w:tcPr>
          <w:p w:rsidR="0073298C" w:rsidRDefault="0073298C" w:rsidP="0073298C">
            <w:pPr>
              <w:spacing w:before="22" w:after="22"/>
              <w:ind w:left="22" w:right="22"/>
              <w:rPr>
                <w:color w:val="000000"/>
              </w:rPr>
            </w:pPr>
            <w:r>
              <w:rPr>
                <w:color w:val="000000"/>
              </w:rPr>
              <w:t> </w:t>
            </w:r>
          </w:p>
        </w:tc>
        <w:tc>
          <w:tcPr>
            <w:tcW w:w="1032" w:type="dxa"/>
            <w:tcBorders>
              <w:top w:val="nil"/>
              <w:left w:val="nil"/>
              <w:bottom w:val="nil"/>
              <w:right w:val="nil"/>
            </w:tcBorders>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70</w:t>
            </w:r>
          </w:p>
        </w:tc>
        <w:tc>
          <w:tcPr>
            <w:tcW w:w="360" w:type="dxa"/>
            <w:tcBorders>
              <w:top w:val="nil"/>
              <w:left w:val="nil"/>
              <w:bottom w:val="nil"/>
              <w:right w:val="nil"/>
            </w:tcBorders>
            <w:vAlign w:val="center"/>
          </w:tcPr>
          <w:p w:rsidR="0073298C" w:rsidRDefault="0073298C" w:rsidP="0073298C">
            <w:pPr>
              <w:spacing w:before="22" w:after="22"/>
              <w:ind w:right="22"/>
              <w:rPr>
                <w:rFonts w:ascii="Arial" w:hAnsi="Arial" w:cs="Arial"/>
                <w:color w:val="000000"/>
                <w:sz w:val="18"/>
                <w:szCs w:val="18"/>
              </w:rPr>
            </w:pPr>
            <w:r>
              <w:rPr>
                <w:rFonts w:ascii="Arial" w:hAnsi="Arial" w:cs="Arial"/>
                <w:color w:val="000000"/>
                <w:sz w:val="18"/>
                <w:szCs w:val="18"/>
              </w:rPr>
              <w:t> bps</w:t>
            </w:r>
          </w:p>
        </w:tc>
        <w:tc>
          <w:tcPr>
            <w:tcW w:w="103" w:type="dxa"/>
            <w:tcBorders>
              <w:top w:val="nil"/>
              <w:left w:val="nil"/>
              <w:bottom w:val="nil"/>
              <w:right w:val="nil"/>
            </w:tcBorders>
            <w:vAlign w:val="bottom"/>
          </w:tcPr>
          <w:p w:rsidR="0073298C" w:rsidRDefault="0073298C" w:rsidP="0073298C">
            <w:pPr>
              <w:spacing w:before="22" w:after="22"/>
              <w:ind w:left="22" w:right="22"/>
              <w:rPr>
                <w:color w:val="000000"/>
              </w:rPr>
            </w:pPr>
            <w:r>
              <w:rPr>
                <w:color w:val="000000"/>
              </w:rPr>
              <w:t> </w:t>
            </w:r>
          </w:p>
        </w:tc>
        <w:tc>
          <w:tcPr>
            <w:tcW w:w="1032" w:type="dxa"/>
            <w:tcBorders>
              <w:top w:val="nil"/>
              <w:left w:val="nil"/>
              <w:bottom w:val="nil"/>
              <w:right w:val="nil"/>
            </w:tcBorders>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w:t>
            </w:r>
          </w:p>
        </w:tc>
        <w:tc>
          <w:tcPr>
            <w:tcW w:w="200" w:type="dxa"/>
            <w:tcBorders>
              <w:top w:val="nil"/>
              <w:left w:val="nil"/>
              <w:bottom w:val="nil"/>
              <w:right w:val="single" w:sz="6" w:space="0" w:color="00467E"/>
            </w:tcBorders>
            <w:vAlign w:val="bottom"/>
          </w:tcPr>
          <w:p w:rsidR="0073298C" w:rsidRDefault="0073298C" w:rsidP="0073298C">
            <w:pPr>
              <w:spacing w:before="22" w:after="22"/>
              <w:ind w:left="22"/>
              <w:jc w:val="right"/>
              <w:rPr>
                <w:rFonts w:ascii="Arial" w:hAnsi="Arial" w:cs="Arial"/>
                <w:color w:val="000000"/>
                <w:sz w:val="18"/>
                <w:szCs w:val="18"/>
              </w:rPr>
            </w:pPr>
          </w:p>
          <w:p w:rsidR="0073298C" w:rsidRDefault="0073298C" w:rsidP="0073298C">
            <w:pPr>
              <w:rPr>
                <w:sz w:val="16"/>
                <w:szCs w:val="16"/>
              </w:rPr>
            </w:pPr>
            <w:r>
              <w:rPr>
                <w:sz w:val="16"/>
                <w:szCs w:val="16"/>
              </w:rPr>
              <w:t> </w:t>
            </w:r>
          </w:p>
        </w:tc>
      </w:tr>
      <w:tr w:rsidR="0073298C" w:rsidTr="000E3B20">
        <w:tblPrEx>
          <w:tblCellMar>
            <w:top w:w="0" w:type="dxa"/>
            <w:left w:w="0" w:type="dxa"/>
            <w:bottom w:w="0" w:type="dxa"/>
            <w:right w:w="0" w:type="dxa"/>
          </w:tblCellMar>
        </w:tblPrEx>
        <w:trPr>
          <w:trHeight w:val="479"/>
        </w:trPr>
        <w:tc>
          <w:tcPr>
            <w:tcW w:w="3207" w:type="dxa"/>
            <w:tcBorders>
              <w:top w:val="nil"/>
              <w:left w:val="single" w:sz="6" w:space="0" w:color="00467E"/>
              <w:bottom w:val="single" w:sz="6" w:space="0" w:color="00467E"/>
              <w:right w:val="nil"/>
            </w:tcBorders>
            <w:shd w:val="clear" w:color="CFD4D8" w:fill="CFD4D8"/>
            <w:vAlign w:val="center"/>
          </w:tcPr>
          <w:p w:rsidR="0073298C" w:rsidRDefault="0073298C" w:rsidP="0073298C">
            <w:pPr>
              <w:spacing w:before="22" w:after="22"/>
              <w:ind w:left="330" w:right="22"/>
              <w:rPr>
                <w:rFonts w:ascii="Arial" w:hAnsi="Arial" w:cs="Arial"/>
                <w:color w:val="000000"/>
                <w:sz w:val="18"/>
                <w:szCs w:val="18"/>
              </w:rPr>
            </w:pPr>
            <w:r>
              <w:rPr>
                <w:rFonts w:ascii="Arial" w:hAnsi="Arial" w:cs="Arial"/>
                <w:color w:val="000000"/>
                <w:sz w:val="18"/>
                <w:szCs w:val="18"/>
              </w:rPr>
              <w:t>% of revenue before fuel surcharge</w:t>
            </w:r>
          </w:p>
        </w:tc>
        <w:tc>
          <w:tcPr>
            <w:tcW w:w="1331" w:type="dxa"/>
            <w:gridSpan w:val="2"/>
            <w:tcBorders>
              <w:top w:val="nil"/>
              <w:left w:val="nil"/>
              <w:bottom w:val="single" w:sz="6" w:space="0" w:color="00467E"/>
              <w:right w:val="nil"/>
            </w:tcBorders>
            <w:shd w:val="clear" w:color="CFD4D8" w:fill="CFD4D8"/>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0.8</w:t>
            </w:r>
          </w:p>
        </w:tc>
        <w:tc>
          <w:tcPr>
            <w:tcW w:w="180" w:type="dxa"/>
            <w:tcBorders>
              <w:top w:val="nil"/>
              <w:left w:val="nil"/>
              <w:bottom w:val="single" w:sz="6" w:space="0" w:color="00467E"/>
              <w:right w:val="nil"/>
            </w:tcBorders>
            <w:shd w:val="clear" w:color="CFD4D8" w:fill="CFD4D8"/>
            <w:vAlign w:val="center"/>
          </w:tcPr>
          <w:p w:rsidR="0073298C" w:rsidRDefault="0073298C" w:rsidP="0073298C">
            <w:pPr>
              <w:spacing w:before="22" w:after="22"/>
              <w:ind w:right="22"/>
              <w:rPr>
                <w:rFonts w:ascii="Arial" w:hAnsi="Arial" w:cs="Arial"/>
                <w:color w:val="000000"/>
                <w:sz w:val="18"/>
                <w:szCs w:val="18"/>
              </w:rPr>
            </w:pPr>
            <w:r>
              <w:rPr>
                <w:rFonts w:ascii="Arial" w:hAnsi="Arial" w:cs="Arial"/>
                <w:color w:val="000000"/>
                <w:sz w:val="18"/>
                <w:szCs w:val="18"/>
              </w:rPr>
              <w:t>%</w:t>
            </w:r>
          </w:p>
        </w:tc>
        <w:tc>
          <w:tcPr>
            <w:tcW w:w="103" w:type="dxa"/>
            <w:tcBorders>
              <w:top w:val="nil"/>
              <w:left w:val="nil"/>
              <w:bottom w:val="single" w:sz="6" w:space="0" w:color="00467E"/>
              <w:right w:val="nil"/>
            </w:tcBorders>
            <w:shd w:val="clear" w:color="CFD4D8" w:fill="CFD4D8"/>
            <w:vAlign w:val="bottom"/>
          </w:tcPr>
          <w:p w:rsidR="0073298C" w:rsidRDefault="0073298C" w:rsidP="0073298C">
            <w:pPr>
              <w:spacing w:before="22" w:after="22"/>
              <w:ind w:left="22" w:right="22"/>
              <w:rPr>
                <w:color w:val="000000"/>
              </w:rPr>
            </w:pPr>
            <w:r>
              <w:rPr>
                <w:color w:val="000000"/>
              </w:rPr>
              <w:t> </w:t>
            </w:r>
          </w:p>
        </w:tc>
        <w:tc>
          <w:tcPr>
            <w:tcW w:w="1343" w:type="dxa"/>
            <w:gridSpan w:val="2"/>
            <w:tcBorders>
              <w:top w:val="nil"/>
              <w:left w:val="nil"/>
              <w:bottom w:val="single" w:sz="6" w:space="0" w:color="00467E"/>
              <w:right w:val="nil"/>
            </w:tcBorders>
            <w:shd w:val="clear" w:color="CFD4D8" w:fill="CFD4D8"/>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w:t>
            </w:r>
          </w:p>
        </w:tc>
        <w:tc>
          <w:tcPr>
            <w:tcW w:w="180" w:type="dxa"/>
            <w:tcBorders>
              <w:top w:val="nil"/>
              <w:left w:val="nil"/>
              <w:bottom w:val="single" w:sz="6" w:space="0" w:color="00467E"/>
              <w:right w:val="nil"/>
            </w:tcBorders>
            <w:shd w:val="clear" w:color="CFD4D8" w:fill="CFD4D8"/>
            <w:vAlign w:val="center"/>
          </w:tcPr>
          <w:p w:rsidR="0073298C" w:rsidRDefault="0073298C" w:rsidP="0073298C">
            <w:pPr>
              <w:spacing w:before="22" w:after="22"/>
              <w:ind w:right="22"/>
              <w:rPr>
                <w:rFonts w:ascii="Arial" w:hAnsi="Arial" w:cs="Arial"/>
                <w:color w:val="000000"/>
                <w:sz w:val="18"/>
                <w:szCs w:val="18"/>
              </w:rPr>
            </w:pPr>
            <w:r>
              <w:rPr>
                <w:rFonts w:ascii="Arial" w:hAnsi="Arial" w:cs="Arial"/>
                <w:color w:val="000000"/>
                <w:sz w:val="18"/>
                <w:szCs w:val="18"/>
              </w:rPr>
              <w:t>%</w:t>
            </w:r>
          </w:p>
        </w:tc>
        <w:tc>
          <w:tcPr>
            <w:tcW w:w="103" w:type="dxa"/>
            <w:tcBorders>
              <w:top w:val="nil"/>
              <w:left w:val="nil"/>
              <w:bottom w:val="single" w:sz="6" w:space="0" w:color="00467E"/>
              <w:right w:val="nil"/>
            </w:tcBorders>
            <w:shd w:val="clear" w:color="CFD4D8" w:fill="CFD4D8"/>
            <w:vAlign w:val="bottom"/>
          </w:tcPr>
          <w:p w:rsidR="0073298C" w:rsidRDefault="0073298C" w:rsidP="0073298C">
            <w:pPr>
              <w:spacing w:before="22" w:after="22"/>
              <w:ind w:left="22" w:right="22"/>
              <w:rPr>
                <w:color w:val="000000"/>
              </w:rPr>
            </w:pPr>
            <w:r>
              <w:rPr>
                <w:color w:val="000000"/>
              </w:rPr>
              <w:t> </w:t>
            </w:r>
          </w:p>
        </w:tc>
        <w:tc>
          <w:tcPr>
            <w:tcW w:w="1343" w:type="dxa"/>
            <w:gridSpan w:val="2"/>
            <w:tcBorders>
              <w:top w:val="nil"/>
              <w:left w:val="nil"/>
              <w:bottom w:val="single" w:sz="6" w:space="0" w:color="00467E"/>
              <w:right w:val="nil"/>
            </w:tcBorders>
            <w:shd w:val="clear" w:color="CFD4D8" w:fill="CFD4D8"/>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w:t>
            </w:r>
          </w:p>
        </w:tc>
        <w:tc>
          <w:tcPr>
            <w:tcW w:w="182" w:type="dxa"/>
            <w:tcBorders>
              <w:top w:val="nil"/>
              <w:left w:val="nil"/>
              <w:bottom w:val="single" w:sz="6" w:space="0" w:color="00467E"/>
              <w:right w:val="nil"/>
            </w:tcBorders>
            <w:shd w:val="clear" w:color="CFD4D8" w:fill="CFD4D8"/>
            <w:vAlign w:val="center"/>
          </w:tcPr>
          <w:p w:rsidR="0073298C" w:rsidRDefault="0073298C" w:rsidP="0073298C">
            <w:pPr>
              <w:spacing w:before="22" w:after="22"/>
              <w:ind w:right="22"/>
              <w:rPr>
                <w:rFonts w:ascii="Arial" w:hAnsi="Arial" w:cs="Arial"/>
                <w:color w:val="000000"/>
                <w:sz w:val="18"/>
                <w:szCs w:val="18"/>
              </w:rPr>
            </w:pPr>
            <w:r>
              <w:rPr>
                <w:rFonts w:ascii="Arial" w:hAnsi="Arial" w:cs="Arial"/>
                <w:color w:val="000000"/>
                <w:sz w:val="18"/>
                <w:szCs w:val="18"/>
              </w:rPr>
              <w:t>%</w:t>
            </w:r>
          </w:p>
        </w:tc>
        <w:tc>
          <w:tcPr>
            <w:tcW w:w="103" w:type="dxa"/>
            <w:tcBorders>
              <w:top w:val="single" w:sz="6" w:space="0" w:color="00467E"/>
              <w:left w:val="nil"/>
              <w:bottom w:val="single" w:sz="6" w:space="0" w:color="00467E"/>
              <w:right w:val="nil"/>
            </w:tcBorders>
            <w:shd w:val="clear" w:color="00467E" w:fill="00467E"/>
            <w:vAlign w:val="bottom"/>
          </w:tcPr>
          <w:p w:rsidR="0073298C" w:rsidRDefault="0073298C" w:rsidP="0073298C">
            <w:pPr>
              <w:spacing w:before="22" w:after="22"/>
              <w:ind w:left="22" w:right="22"/>
              <w:rPr>
                <w:color w:val="000000"/>
              </w:rPr>
            </w:pPr>
            <w:r>
              <w:rPr>
                <w:color w:val="000000"/>
              </w:rPr>
              <w:t> </w:t>
            </w:r>
          </w:p>
        </w:tc>
        <w:tc>
          <w:tcPr>
            <w:tcW w:w="1032" w:type="dxa"/>
            <w:tcBorders>
              <w:top w:val="nil"/>
              <w:left w:val="nil"/>
              <w:bottom w:val="single" w:sz="6" w:space="0" w:color="00467E"/>
              <w:right w:val="nil"/>
            </w:tcBorders>
            <w:shd w:val="clear" w:color="CFD4D8" w:fill="CFD4D8"/>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80</w:t>
            </w:r>
          </w:p>
        </w:tc>
        <w:tc>
          <w:tcPr>
            <w:tcW w:w="360" w:type="dxa"/>
            <w:tcBorders>
              <w:top w:val="nil"/>
              <w:left w:val="nil"/>
              <w:bottom w:val="single" w:sz="6" w:space="0" w:color="00467E"/>
              <w:right w:val="nil"/>
            </w:tcBorders>
            <w:shd w:val="clear" w:color="CFD4D8" w:fill="CFD4D8"/>
            <w:vAlign w:val="center"/>
          </w:tcPr>
          <w:p w:rsidR="0073298C" w:rsidRDefault="0073298C" w:rsidP="0073298C">
            <w:pPr>
              <w:spacing w:before="22" w:after="22"/>
              <w:ind w:right="22"/>
              <w:rPr>
                <w:rFonts w:ascii="Arial" w:hAnsi="Arial" w:cs="Arial"/>
                <w:color w:val="000000"/>
                <w:sz w:val="18"/>
                <w:szCs w:val="18"/>
              </w:rPr>
            </w:pPr>
            <w:r>
              <w:rPr>
                <w:rFonts w:ascii="Arial" w:hAnsi="Arial" w:cs="Arial"/>
                <w:color w:val="000000"/>
                <w:sz w:val="18"/>
                <w:szCs w:val="18"/>
              </w:rPr>
              <w:t> bps</w:t>
            </w:r>
          </w:p>
        </w:tc>
        <w:tc>
          <w:tcPr>
            <w:tcW w:w="103" w:type="dxa"/>
            <w:tcBorders>
              <w:top w:val="nil"/>
              <w:left w:val="nil"/>
              <w:bottom w:val="single" w:sz="6" w:space="0" w:color="00467E"/>
              <w:right w:val="nil"/>
            </w:tcBorders>
            <w:shd w:val="clear" w:color="CFD4D8" w:fill="CFD4D8"/>
            <w:vAlign w:val="bottom"/>
          </w:tcPr>
          <w:p w:rsidR="0073298C" w:rsidRDefault="0073298C" w:rsidP="0073298C">
            <w:pPr>
              <w:spacing w:before="22" w:after="22"/>
              <w:ind w:left="22" w:right="22"/>
              <w:rPr>
                <w:color w:val="000000"/>
              </w:rPr>
            </w:pPr>
            <w:r>
              <w:rPr>
                <w:color w:val="000000"/>
              </w:rPr>
              <w:t> </w:t>
            </w:r>
          </w:p>
        </w:tc>
        <w:tc>
          <w:tcPr>
            <w:tcW w:w="1032" w:type="dxa"/>
            <w:tcBorders>
              <w:top w:val="nil"/>
              <w:left w:val="nil"/>
              <w:bottom w:val="single" w:sz="6" w:space="0" w:color="00467E"/>
              <w:right w:val="nil"/>
            </w:tcBorders>
            <w:shd w:val="clear" w:color="CFD4D8" w:fill="CFD4D8"/>
            <w:vAlign w:val="center"/>
          </w:tcPr>
          <w:p w:rsidR="0073298C" w:rsidRDefault="0073298C" w:rsidP="0073298C">
            <w:pPr>
              <w:spacing w:before="22" w:after="22"/>
              <w:ind w:left="22"/>
              <w:jc w:val="right"/>
              <w:rPr>
                <w:rFonts w:ascii="Arial" w:hAnsi="Arial" w:cs="Arial"/>
                <w:color w:val="000000"/>
                <w:sz w:val="18"/>
                <w:szCs w:val="18"/>
              </w:rPr>
            </w:pPr>
            <w:r>
              <w:rPr>
                <w:rFonts w:ascii="Arial" w:hAnsi="Arial" w:cs="Arial"/>
                <w:color w:val="000000"/>
                <w:sz w:val="18"/>
                <w:szCs w:val="18"/>
              </w:rPr>
              <w:t>—</w:t>
            </w:r>
          </w:p>
        </w:tc>
        <w:tc>
          <w:tcPr>
            <w:tcW w:w="200" w:type="dxa"/>
            <w:tcBorders>
              <w:top w:val="nil"/>
              <w:left w:val="nil"/>
              <w:bottom w:val="single" w:sz="6" w:space="0" w:color="00467E"/>
              <w:right w:val="single" w:sz="6" w:space="0" w:color="00467E"/>
            </w:tcBorders>
            <w:shd w:val="clear" w:color="CFD4D8" w:fill="CFD4D8"/>
            <w:vAlign w:val="bottom"/>
          </w:tcPr>
          <w:p w:rsidR="0073298C" w:rsidRDefault="0073298C" w:rsidP="0073298C">
            <w:pPr>
              <w:spacing w:before="22" w:after="22"/>
              <w:ind w:left="22"/>
              <w:jc w:val="right"/>
              <w:rPr>
                <w:rFonts w:ascii="Arial" w:hAnsi="Arial" w:cs="Arial"/>
                <w:color w:val="000000"/>
                <w:sz w:val="18"/>
                <w:szCs w:val="18"/>
              </w:rPr>
            </w:pPr>
          </w:p>
          <w:p w:rsidR="0073298C" w:rsidRDefault="0073298C" w:rsidP="0073298C">
            <w:pPr>
              <w:rPr>
                <w:sz w:val="16"/>
                <w:szCs w:val="16"/>
              </w:rPr>
            </w:pPr>
            <w:r>
              <w:rPr>
                <w:sz w:val="16"/>
                <w:szCs w:val="16"/>
              </w:rPr>
              <w:t> </w:t>
            </w:r>
          </w:p>
        </w:tc>
      </w:tr>
    </w:tbl>
    <w:p w:rsidR="0073298C" w:rsidRDefault="0073298C" w:rsidP="0073298C">
      <w:pPr>
        <w:spacing w:after="132"/>
        <w:jc w:val="both"/>
        <w:rPr>
          <w:rFonts w:ascii="Arial" w:hAnsi="Arial" w:cs="Arial"/>
          <w:color w:val="000000"/>
          <w:sz w:val="18"/>
          <w:szCs w:val="18"/>
        </w:rPr>
      </w:pPr>
      <w:r>
        <w:rPr>
          <w:rFonts w:ascii="Arial" w:hAnsi="Arial" w:cs="Arial"/>
          <w:i/>
          <w:iCs/>
          <w:color w:val="000000"/>
          <w:sz w:val="18"/>
          <w:szCs w:val="18"/>
        </w:rPr>
        <w:t>2017 Compared to 2016 —</w:t>
      </w:r>
      <w:r>
        <w:rPr>
          <w:rFonts w:ascii="Arial" w:hAnsi="Arial" w:cs="Arial"/>
          <w:color w:val="000000"/>
          <w:sz w:val="18"/>
          <w:szCs w:val="18"/>
        </w:rPr>
        <w:t xml:space="preserve"> Direct and incremental costs associated with the 2017 Merger were recorded on a separate line item in the consolidated income statement in 2017 as "Merger-related costs." These costs were primarily incurred for legal and professional fees associated with the transaction. See other merger-related operating expenses associated with the 2017 Merger discussed within "Salaries, wages, and, benefits" and "</w:t>
      </w:r>
      <w:proofErr w:type="gramStart"/>
      <w:r>
        <w:rPr>
          <w:rFonts w:ascii="Arial" w:hAnsi="Arial" w:cs="Arial"/>
          <w:color w:val="000000"/>
          <w:sz w:val="18"/>
          <w:szCs w:val="18"/>
        </w:rPr>
        <w:t>Miscellaneous operating</w:t>
      </w:r>
      <w:proofErr w:type="gramEnd"/>
      <w:r>
        <w:rPr>
          <w:rFonts w:ascii="Arial" w:hAnsi="Arial" w:cs="Arial"/>
          <w:color w:val="000000"/>
          <w:sz w:val="18"/>
          <w:szCs w:val="18"/>
        </w:rPr>
        <w:t xml:space="preserve"> expenses, net" above.</w:t>
      </w:r>
    </w:p>
    <w:p w:rsidR="0073298C" w:rsidRDefault="0073298C" w:rsidP="000E3B20">
      <w:pPr>
        <w:spacing w:after="264"/>
        <w:jc w:val="both"/>
        <w:rPr>
          <w:sz w:val="16"/>
          <w:szCs w:val="16"/>
        </w:rPr>
      </w:pPr>
      <w:r>
        <w:rPr>
          <w:rFonts w:ascii="Arial" w:hAnsi="Arial" w:cs="Arial"/>
          <w:i/>
          <w:iCs/>
          <w:color w:val="000000"/>
          <w:sz w:val="18"/>
          <w:szCs w:val="18"/>
        </w:rPr>
        <w:t>2016 Compared to 2015 —</w:t>
      </w:r>
      <w:r>
        <w:rPr>
          <w:rFonts w:ascii="Arial" w:hAnsi="Arial" w:cs="Arial"/>
          <w:color w:val="000000"/>
          <w:sz w:val="18"/>
          <w:szCs w:val="18"/>
        </w:rPr>
        <w:t xml:space="preserve"> Not applicable.</w:t>
      </w:r>
      <w:r w:rsidR="000E3B20">
        <w:rPr>
          <w:sz w:val="16"/>
          <w:szCs w:val="16"/>
        </w:rPr>
        <w:t xml:space="preserve"> </w:t>
      </w:r>
    </w:p>
    <w:p w:rsidR="0073298C" w:rsidRDefault="0073298C" w:rsidP="0073298C">
      <w:pPr>
        <w:rPr>
          <w:sz w:val="16"/>
          <w:szCs w:val="16"/>
        </w:rPr>
      </w:pPr>
    </w:p>
    <w:p w:rsidR="0073298C" w:rsidRDefault="0073298C" w:rsidP="00D50DFC">
      <w:pPr>
        <w:rPr>
          <w:sz w:val="16"/>
          <w:szCs w:val="16"/>
        </w:rPr>
      </w:pPr>
    </w:p>
    <w:p w:rsidR="00D50DFC" w:rsidRPr="009D1461" w:rsidRDefault="00D50DFC" w:rsidP="00D50DFC">
      <w:pPr>
        <w:spacing w:before="176" w:after="22"/>
        <w:ind w:right="22"/>
        <w:rPr>
          <w:rFonts w:ascii="Arial" w:hAnsi="Arial" w:cs="Arial"/>
          <w:bCs w:val="0"/>
          <w:sz w:val="18"/>
          <w:szCs w:val="18"/>
        </w:rPr>
      </w:pPr>
    </w:p>
    <w:sectPr w:rsidR="00D50DFC" w:rsidRPr="009D1461" w:rsidSect="0073298C">
      <w:headerReference w:type="default" r:id="rId10"/>
      <w:footerReference w:type="default" r:id="rId11"/>
      <w:pgSz w:w="12240" w:h="15840"/>
      <w:pgMar w:top="1008"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1E96" w:rsidRDefault="00DA1E96" w:rsidP="00C21B80">
      <w:pPr>
        <w:spacing w:after="0" w:line="240" w:lineRule="auto"/>
      </w:pPr>
      <w:r>
        <w:separator/>
      </w:r>
    </w:p>
  </w:endnote>
  <w:endnote w:type="continuationSeparator" w:id="0">
    <w:p w:rsidR="00DA1E96" w:rsidRDefault="00DA1E96" w:rsidP="00C21B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B80" w:rsidRDefault="00C21B80" w:rsidP="00C21B80">
    <w:pPr>
      <w:pStyle w:val="Footer"/>
      <w:pBdr>
        <w:top w:val="single" w:sz="4" w:space="1" w:color="auto"/>
      </w:pBdr>
      <w:jc w:val="right"/>
    </w:pPr>
    <w:r>
      <w:t xml:space="preserve">Page </w:t>
    </w:r>
    <w:fldSimple w:instr=" PAGE   \* MERGEFORMAT ">
      <w:r w:rsidR="00A7452F">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1E96" w:rsidRDefault="00DA1E96" w:rsidP="00C21B80">
      <w:pPr>
        <w:spacing w:after="0" w:line="240" w:lineRule="auto"/>
      </w:pPr>
      <w:r>
        <w:separator/>
      </w:r>
    </w:p>
  </w:footnote>
  <w:footnote w:type="continuationSeparator" w:id="0">
    <w:p w:rsidR="00DA1E96" w:rsidRDefault="00DA1E96" w:rsidP="00C21B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B80" w:rsidRDefault="00C21B80" w:rsidP="00C21B80">
    <w:pPr>
      <w:pStyle w:val="Header"/>
      <w:pBdr>
        <w:bottom w:val="single" w:sz="4" w:space="1" w:color="auto"/>
      </w:pBdr>
    </w:pPr>
    <w:r>
      <w:rPr>
        <w:rFonts w:ascii="Arial" w:hAnsi="Arial" w:cs="Arial"/>
        <w:b/>
        <w:bCs w:val="0"/>
        <w:color w:val="000000"/>
        <w:sz w:val="18"/>
        <w:szCs w:val="18"/>
      </w:rPr>
      <w:t>KNIGHT-SWIFT TRANSPORTATION HOLDINGS INC Overview</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B1226B"/>
    <w:multiLevelType w:val="hybridMultilevel"/>
    <w:tmpl w:val="435221F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2C1F516C"/>
    <w:multiLevelType w:val="hybridMultilevel"/>
    <w:tmpl w:val="BABEA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D305F4"/>
    <w:multiLevelType w:val="hybridMultilevel"/>
    <w:tmpl w:val="1AC2E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3A3748"/>
    <w:multiLevelType w:val="hybridMultilevel"/>
    <w:tmpl w:val="E3A24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8C03C4"/>
    <w:multiLevelType w:val="hybridMultilevel"/>
    <w:tmpl w:val="511E4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7B2D64"/>
    <w:rsid w:val="000E3B20"/>
    <w:rsid w:val="000F685B"/>
    <w:rsid w:val="002B13C4"/>
    <w:rsid w:val="00492612"/>
    <w:rsid w:val="006013C2"/>
    <w:rsid w:val="0073298C"/>
    <w:rsid w:val="007B2D64"/>
    <w:rsid w:val="009B03B7"/>
    <w:rsid w:val="009D1461"/>
    <w:rsid w:val="00A7452F"/>
    <w:rsid w:val="00C21B80"/>
    <w:rsid w:val="00D50DFC"/>
    <w:rsid w:val="00D92D97"/>
    <w:rsid w:val="00DA1E96"/>
    <w:rsid w:val="00EC4D60"/>
    <w:rsid w:val="00FB55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D64"/>
    <w:rPr>
      <w:rFonts w:eastAsia="Times New Roman" w:cs="Times New Roman"/>
      <w:bCs/>
    </w:rPr>
  </w:style>
  <w:style w:type="paragraph" w:styleId="Heading1">
    <w:name w:val="heading 1"/>
    <w:basedOn w:val="Normal"/>
    <w:next w:val="Normal"/>
    <w:link w:val="Heading1Char"/>
    <w:uiPriority w:val="99"/>
    <w:qFormat/>
    <w:rsid w:val="00492612"/>
    <w:pPr>
      <w:keepNext/>
      <w:keepLines/>
      <w:spacing w:before="120" w:after="0"/>
      <w:outlineLvl w:val="0"/>
    </w:pPr>
    <w:rPr>
      <w:rFonts w:asciiTheme="majorHAnsi" w:eastAsiaTheme="majorEastAsia" w:hAnsiTheme="majorHAnsi" w:cstheme="majorBidi"/>
      <w:b/>
      <w:color w:val="000000" w:themeColor="text1"/>
      <w:sz w:val="24"/>
      <w:szCs w:val="28"/>
      <w:u w:val="single"/>
    </w:rPr>
  </w:style>
  <w:style w:type="paragraph" w:styleId="Heading2">
    <w:name w:val="heading 2"/>
    <w:basedOn w:val="Normal"/>
    <w:next w:val="Normal"/>
    <w:link w:val="Heading2Char"/>
    <w:uiPriority w:val="99"/>
    <w:unhideWhenUsed/>
    <w:qFormat/>
    <w:rsid w:val="00492612"/>
    <w:pPr>
      <w:keepNext/>
      <w:keepLines/>
      <w:spacing w:before="120" w:after="0"/>
      <w:outlineLvl w:val="1"/>
    </w:pPr>
    <w:rPr>
      <w:rFonts w:asciiTheme="majorHAnsi" w:eastAsiaTheme="majorEastAsia" w:hAnsiTheme="majorHAnsi" w:cstheme="majorBidi"/>
      <w:b/>
      <w:sz w:val="20"/>
      <w:szCs w:val="26"/>
      <w:u w:val="single"/>
    </w:rPr>
  </w:style>
  <w:style w:type="paragraph" w:styleId="Heading3">
    <w:name w:val="heading 3"/>
    <w:basedOn w:val="Normal"/>
    <w:link w:val="Heading3Char"/>
    <w:uiPriority w:val="99"/>
    <w:qFormat/>
    <w:rsid w:val="007B2D64"/>
    <w:pPr>
      <w:spacing w:before="100" w:beforeAutospacing="1" w:after="100" w:afterAutospacing="1" w:line="240" w:lineRule="auto"/>
      <w:outlineLvl w:val="2"/>
    </w:pPr>
    <w:rPr>
      <w:rFonts w:ascii="Times New Roman" w:hAnsi="Times New Roman"/>
      <w:b/>
      <w:bCs w:val="0"/>
      <w:sz w:val="27"/>
      <w:szCs w:val="27"/>
    </w:rPr>
  </w:style>
  <w:style w:type="paragraph" w:styleId="Heading4">
    <w:name w:val="heading 4"/>
    <w:basedOn w:val="Normal"/>
    <w:link w:val="Heading4Char"/>
    <w:uiPriority w:val="99"/>
    <w:qFormat/>
    <w:rsid w:val="007B2D64"/>
    <w:pPr>
      <w:spacing w:before="100" w:beforeAutospacing="1" w:after="100" w:afterAutospacing="1" w:line="240" w:lineRule="auto"/>
      <w:outlineLvl w:val="3"/>
    </w:pPr>
    <w:rPr>
      <w:rFonts w:ascii="Times New Roman" w:hAnsi="Times New Roman"/>
      <w:b/>
      <w:bCs w:val="0"/>
      <w:sz w:val="24"/>
      <w:szCs w:val="24"/>
    </w:rPr>
  </w:style>
  <w:style w:type="paragraph" w:styleId="Heading5">
    <w:name w:val="heading 5"/>
    <w:basedOn w:val="Normal"/>
    <w:link w:val="Heading5Char"/>
    <w:uiPriority w:val="99"/>
    <w:qFormat/>
    <w:rsid w:val="007B2D64"/>
    <w:pPr>
      <w:spacing w:before="100" w:beforeAutospacing="1" w:after="100" w:afterAutospacing="1" w:line="240" w:lineRule="auto"/>
      <w:outlineLvl w:val="4"/>
    </w:pPr>
    <w:rPr>
      <w:rFonts w:ascii="Times New Roman" w:hAnsi="Times New Roman"/>
      <w:b/>
      <w:bCs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92612"/>
    <w:rPr>
      <w:rFonts w:asciiTheme="majorHAnsi" w:eastAsiaTheme="majorEastAsia" w:hAnsiTheme="majorHAnsi" w:cstheme="majorBidi"/>
      <w:b/>
      <w:bCs/>
      <w:color w:val="000000" w:themeColor="text1"/>
      <w:sz w:val="24"/>
      <w:szCs w:val="28"/>
      <w:u w:val="single"/>
    </w:rPr>
  </w:style>
  <w:style w:type="character" w:customStyle="1" w:styleId="Heading2Char">
    <w:name w:val="Heading 2 Char"/>
    <w:basedOn w:val="DefaultParagraphFont"/>
    <w:link w:val="Heading2"/>
    <w:uiPriority w:val="99"/>
    <w:rsid w:val="00492612"/>
    <w:rPr>
      <w:rFonts w:asciiTheme="majorHAnsi" w:eastAsiaTheme="majorEastAsia" w:hAnsiTheme="majorHAnsi" w:cstheme="majorBidi"/>
      <w:b/>
      <w:bCs/>
      <w:sz w:val="20"/>
      <w:szCs w:val="26"/>
      <w:u w:val="single"/>
    </w:rPr>
  </w:style>
  <w:style w:type="character" w:customStyle="1" w:styleId="Heading3Char">
    <w:name w:val="Heading 3 Char"/>
    <w:basedOn w:val="DefaultParagraphFont"/>
    <w:link w:val="Heading3"/>
    <w:uiPriority w:val="99"/>
    <w:rsid w:val="007B2D64"/>
    <w:rPr>
      <w:rFonts w:ascii="Times New Roman" w:eastAsia="Times New Roman" w:hAnsi="Times New Roman" w:cs="Times New Roman"/>
      <w:b/>
      <w:sz w:val="27"/>
      <w:szCs w:val="27"/>
    </w:rPr>
  </w:style>
  <w:style w:type="character" w:customStyle="1" w:styleId="Heading4Char">
    <w:name w:val="Heading 4 Char"/>
    <w:basedOn w:val="DefaultParagraphFont"/>
    <w:link w:val="Heading4"/>
    <w:uiPriority w:val="99"/>
    <w:rsid w:val="007B2D64"/>
    <w:rPr>
      <w:rFonts w:ascii="Times New Roman" w:eastAsia="Times New Roman" w:hAnsi="Times New Roman" w:cs="Times New Roman"/>
      <w:b/>
      <w:sz w:val="24"/>
      <w:szCs w:val="24"/>
    </w:rPr>
  </w:style>
  <w:style w:type="character" w:customStyle="1" w:styleId="Heading5Char">
    <w:name w:val="Heading 5 Char"/>
    <w:basedOn w:val="DefaultParagraphFont"/>
    <w:link w:val="Heading5"/>
    <w:uiPriority w:val="99"/>
    <w:rsid w:val="007B2D64"/>
    <w:rPr>
      <w:rFonts w:ascii="Times New Roman" w:eastAsia="Times New Roman" w:hAnsi="Times New Roman" w:cs="Times New Roman"/>
      <w:b/>
      <w:sz w:val="20"/>
      <w:szCs w:val="20"/>
    </w:rPr>
  </w:style>
  <w:style w:type="character" w:styleId="Hyperlink">
    <w:name w:val="Hyperlink"/>
    <w:basedOn w:val="DefaultParagraphFont"/>
    <w:uiPriority w:val="99"/>
    <w:unhideWhenUsed/>
    <w:rsid w:val="007B2D64"/>
    <w:rPr>
      <w:color w:val="0000FF" w:themeColor="hyperlink"/>
      <w:u w:val="single"/>
    </w:rPr>
  </w:style>
  <w:style w:type="paragraph" w:styleId="NormalWeb">
    <w:name w:val="Normal (Web)"/>
    <w:basedOn w:val="Normal"/>
    <w:uiPriority w:val="99"/>
    <w:unhideWhenUsed/>
    <w:rsid w:val="007B2D64"/>
    <w:pPr>
      <w:spacing w:before="100" w:beforeAutospacing="1" w:after="100" w:afterAutospacing="1" w:line="240" w:lineRule="auto"/>
    </w:pPr>
    <w:rPr>
      <w:rFonts w:ascii="Times New Roman" w:hAnsi="Times New Roman"/>
      <w:sz w:val="24"/>
      <w:szCs w:val="24"/>
    </w:rPr>
  </w:style>
  <w:style w:type="character" w:customStyle="1" w:styleId="mw-headline">
    <w:name w:val="mw-headline"/>
    <w:basedOn w:val="DefaultParagraphFont"/>
    <w:rsid w:val="007B2D64"/>
  </w:style>
  <w:style w:type="paragraph" w:styleId="NoSpacing">
    <w:name w:val="No Spacing"/>
    <w:uiPriority w:val="1"/>
    <w:qFormat/>
    <w:rsid w:val="007B2D64"/>
    <w:pPr>
      <w:spacing w:after="0" w:line="240" w:lineRule="auto"/>
    </w:pPr>
    <w:rPr>
      <w:rFonts w:eastAsia="Times New Roman" w:cs="Times New Roman"/>
      <w:bCs/>
    </w:rPr>
  </w:style>
  <w:style w:type="paragraph" w:styleId="ListParagraph">
    <w:name w:val="List Paragraph"/>
    <w:basedOn w:val="Normal"/>
    <w:uiPriority w:val="34"/>
    <w:qFormat/>
    <w:rsid w:val="006013C2"/>
    <w:pPr>
      <w:ind w:left="720"/>
      <w:contextualSpacing/>
    </w:pPr>
  </w:style>
  <w:style w:type="paragraph" w:styleId="BalloonText">
    <w:name w:val="Balloon Text"/>
    <w:basedOn w:val="Normal"/>
    <w:link w:val="BalloonTextChar"/>
    <w:uiPriority w:val="99"/>
    <w:semiHidden/>
    <w:unhideWhenUsed/>
    <w:rsid w:val="00D92D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D97"/>
    <w:rPr>
      <w:rFonts w:ascii="Tahoma" w:eastAsia="Times New Roman" w:hAnsi="Tahoma" w:cs="Tahoma"/>
      <w:bCs/>
      <w:sz w:val="16"/>
      <w:szCs w:val="16"/>
    </w:rPr>
  </w:style>
  <w:style w:type="paragraph" w:styleId="Footer">
    <w:name w:val="footer"/>
    <w:basedOn w:val="Normal"/>
    <w:link w:val="FooterChar"/>
    <w:uiPriority w:val="99"/>
    <w:rsid w:val="0073298C"/>
    <w:pPr>
      <w:widowControl w:val="0"/>
      <w:autoSpaceDE w:val="0"/>
      <w:autoSpaceDN w:val="0"/>
      <w:adjustRightInd w:val="0"/>
      <w:spacing w:after="0" w:line="240" w:lineRule="auto"/>
    </w:pPr>
    <w:rPr>
      <w:rFonts w:ascii="Times New Roman" w:eastAsiaTheme="minorEastAsia" w:hAnsi="Times New Roman"/>
      <w:bCs w:val="0"/>
      <w:sz w:val="24"/>
      <w:szCs w:val="24"/>
    </w:rPr>
  </w:style>
  <w:style w:type="character" w:customStyle="1" w:styleId="FooterChar">
    <w:name w:val="Footer Char"/>
    <w:basedOn w:val="DefaultParagraphFont"/>
    <w:link w:val="Footer"/>
    <w:uiPriority w:val="99"/>
    <w:rsid w:val="0073298C"/>
    <w:rPr>
      <w:rFonts w:ascii="Times New Roman" w:eastAsiaTheme="minorEastAsia" w:hAnsi="Times New Roman" w:cs="Times New Roman"/>
      <w:sz w:val="24"/>
      <w:szCs w:val="24"/>
    </w:rPr>
  </w:style>
  <w:style w:type="character" w:styleId="FootnoteReference">
    <w:name w:val="footnote reference"/>
    <w:basedOn w:val="DefaultParagraphFont"/>
    <w:uiPriority w:val="99"/>
    <w:rsid w:val="0073298C"/>
    <w:rPr>
      <w:vertAlign w:val="superscript"/>
    </w:rPr>
  </w:style>
  <w:style w:type="character" w:styleId="PageNumber">
    <w:name w:val="page number"/>
    <w:basedOn w:val="DefaultParagraphFont"/>
    <w:uiPriority w:val="99"/>
    <w:rsid w:val="0073298C"/>
  </w:style>
  <w:style w:type="paragraph" w:styleId="TOCHeading">
    <w:name w:val="TOC Heading"/>
    <w:basedOn w:val="Heading1"/>
    <w:next w:val="Normal"/>
    <w:uiPriority w:val="39"/>
    <w:semiHidden/>
    <w:unhideWhenUsed/>
    <w:qFormat/>
    <w:rsid w:val="00C21B80"/>
    <w:pPr>
      <w:spacing w:before="480"/>
      <w:outlineLvl w:val="9"/>
    </w:pPr>
    <w:rPr>
      <w:color w:val="365F91" w:themeColor="accent1" w:themeShade="BF"/>
      <w:sz w:val="28"/>
      <w:u w:val="none"/>
    </w:rPr>
  </w:style>
  <w:style w:type="paragraph" w:styleId="TOC1">
    <w:name w:val="toc 1"/>
    <w:basedOn w:val="Normal"/>
    <w:next w:val="Normal"/>
    <w:autoRedefine/>
    <w:uiPriority w:val="39"/>
    <w:unhideWhenUsed/>
    <w:rsid w:val="00C21B80"/>
    <w:pPr>
      <w:spacing w:after="100"/>
    </w:pPr>
  </w:style>
  <w:style w:type="paragraph" w:styleId="TOC2">
    <w:name w:val="toc 2"/>
    <w:basedOn w:val="Normal"/>
    <w:next w:val="Normal"/>
    <w:autoRedefine/>
    <w:uiPriority w:val="39"/>
    <w:unhideWhenUsed/>
    <w:rsid w:val="00C21B80"/>
    <w:pPr>
      <w:spacing w:after="100"/>
      <w:ind w:left="220"/>
    </w:pPr>
  </w:style>
  <w:style w:type="paragraph" w:styleId="Header">
    <w:name w:val="header"/>
    <w:basedOn w:val="Normal"/>
    <w:link w:val="HeaderChar"/>
    <w:uiPriority w:val="99"/>
    <w:semiHidden/>
    <w:unhideWhenUsed/>
    <w:rsid w:val="00C21B8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21B80"/>
    <w:rPr>
      <w:rFonts w:eastAsia="Times New Roman" w:cs="Times New Roman"/>
      <w:bCs/>
    </w:rPr>
  </w:style>
</w:styles>
</file>

<file path=word/webSettings.xml><?xml version="1.0" encoding="utf-8"?>
<w:webSettings xmlns:r="http://schemas.openxmlformats.org/officeDocument/2006/relationships" xmlns:w="http://schemas.openxmlformats.org/wordprocessingml/2006/main">
  <w:divs>
    <w:div w:id="329868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BE1AFB-B0AC-4420-A10A-6F7B91BD9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TotalTime>
  <Pages>35</Pages>
  <Words>15664</Words>
  <Characters>89286</Characters>
  <Application>Microsoft Office Word</Application>
  <DocSecurity>0</DocSecurity>
  <Lines>744</Lines>
  <Paragraphs>209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104741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Mecke</dc:creator>
  <cp:lastModifiedBy>John Mecke</cp:lastModifiedBy>
  <cp:revision>3</cp:revision>
  <dcterms:created xsi:type="dcterms:W3CDTF">2018-10-02T14:17:00Z</dcterms:created>
  <dcterms:modified xsi:type="dcterms:W3CDTF">2018-10-03T18:33:00Z</dcterms:modified>
</cp:coreProperties>
</file>