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40"/>
        <w:jc w:val="center"/>
      </w:pPr>
      <w:r>
        <w:rPr>
          <w:rFonts w:ascii="Arial" w:cs="Arial" w:eastAsia="Arial" w:hAnsi="Arial"/>
          <w:b/>
          <w:bCs/>
          <w:i w:val="false"/>
          <w:iCs w:val="false"/>
          <w:color w:val="1F4E79"/>
          <w:sz w:val="56"/>
          <w:szCs w:val="56"/>
        </w:rPr>
        <w:t xml:space="preserve">WIN/LOSS ANALYSIS</w:t>
      </w:r>
    </w:p>
    <w:p>
      <w:pPr>
        <w:spacing w:after="60"/>
        <w:jc w:val="center"/>
      </w:pPr>
      <w:r>
        <w:rPr>
          <w:rFonts w:ascii="Arial" w:cs="Arial" w:eastAsia="Arial" w:hAnsi="Arial"/>
          <w:b w:val="false"/>
          <w:bCs w:val="false"/>
          <w:i w:val="false"/>
          <w:iCs w:val="false"/>
          <w:color w:val="2E75B6"/>
          <w:sz w:val="34"/>
          <w:szCs w:val="34"/>
        </w:rPr>
        <w:t xml:space="preserve">Qualitative Interview Report</w:t>
      </w:r>
    </w:p>
    <w:p>
      <w:pPr>
        <w:spacing w:after="40"/>
        <w:jc w:val="center"/>
      </w:pPr>
      <w:r>
        <w:rPr>
          <w:rFonts w:ascii="Arial" w:cs="Arial" w:eastAsia="Arial" w:hAnsi="Arial"/>
          <w:b w:val="false"/>
          <w:bCs w:val="false"/>
          <w:i w:val="false"/>
          <w:iCs w:val="false"/>
          <w:color w:val="595959"/>
          <w:sz w:val="22"/>
          <w:szCs w:val="22"/>
        </w:rPr>
        <w:t xml:space="preserve">wholesome.tech  |  Q1 2026  |  15 Buyer Interviews</w:t>
      </w:r>
    </w:p>
    <w:p>
      <w:pPr>
        <w:pBdr>
          <w:bottom w:val="single" w:color="2E75B6" w:sz="8" w:space="1"/>
        </w:pBdr>
        <w:spacing w:after="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D6E4F0" w:val="clear"/>
            <w:tcMar>
              <w:top w:type="dxa" w:w="120"/>
              <w:left w:type="dxa" w:w="120"/>
              <w:bottom w:type="dxa" w:w="20"/>
              <w:right w:type="dxa" w:w="120"/>
            </w:tcMar>
          </w:tcPr>
          <w:p>
            <w:pPr>
              <w:spacing w:after="80" w:before="0"/>
              <w:jc w:val="left"/>
            </w:pPr>
            <w:r>
              <w:rPr>
                <w:rFonts w:ascii="Arial" w:cs="Arial" w:eastAsia="Arial" w:hAnsi="Arial"/>
                <w:b w:val="false"/>
                <w:bCs w:val="false"/>
                <w:i w:val="false"/>
                <w:iCs w:val="false"/>
                <w:color w:val="595959"/>
                <w:sz w:val="16"/>
                <w:szCs w:val="16"/>
              </w:rPr>
              <w:t xml:space="preserve"> Interviews Conducted</w:t>
            </w:r>
          </w:p>
        </w:tc>
        <w:tc>
          <w:tcPr>
            <w:tcW w:type="dxa" w:w="2340"/>
            <w:tcBorders>
              <w:top w:val="none" w:color="FFFFFF" w:sz="0"/>
              <w:left w:val="none" w:color="FFFFFF" w:sz="0"/>
              <w:bottom w:val="none" w:color="FFFFFF" w:sz="0"/>
              <w:right w:val="none" w:color="FFFFFF" w:sz="0"/>
            </w:tcBorders>
            <w:shd w:fill="E2EFDA" w:val="clear"/>
            <w:tcMar>
              <w:top w:type="dxa" w:w="120"/>
              <w:left w:type="dxa" w:w="120"/>
              <w:bottom w:type="dxa" w:w="20"/>
              <w:right w:type="dxa" w:w="120"/>
            </w:tcMar>
          </w:tcPr>
          <w:p>
            <w:pPr>
              <w:spacing w:after="80" w:before="0"/>
              <w:jc w:val="left"/>
            </w:pPr>
            <w:r>
              <w:rPr>
                <w:rFonts w:ascii="Arial" w:cs="Arial" w:eastAsia="Arial" w:hAnsi="Arial"/>
                <w:b w:val="false"/>
                <w:bCs w:val="false"/>
                <w:i w:val="false"/>
                <w:iCs w:val="false"/>
                <w:color w:val="595959"/>
                <w:sz w:val="16"/>
                <w:szCs w:val="16"/>
              </w:rPr>
              <w:t xml:space="preserve"> Win Interviews</w:t>
            </w:r>
          </w:p>
        </w:tc>
        <w:tc>
          <w:tcPr>
            <w:tcW w:type="dxa" w:w="2340"/>
            <w:tcBorders>
              <w:top w:val="none" w:color="FFFFFF" w:sz="0"/>
              <w:left w:val="none" w:color="FFFFFF" w:sz="0"/>
              <w:bottom w:val="none" w:color="FFFFFF" w:sz="0"/>
              <w:right w:val="none" w:color="FFFFFF" w:sz="0"/>
            </w:tcBorders>
            <w:shd w:fill="FADBD8" w:val="clear"/>
            <w:tcMar>
              <w:top w:type="dxa" w:w="120"/>
              <w:left w:type="dxa" w:w="120"/>
              <w:bottom w:type="dxa" w:w="20"/>
              <w:right w:type="dxa" w:w="120"/>
            </w:tcMar>
          </w:tcPr>
          <w:p>
            <w:pPr>
              <w:spacing w:after="80" w:before="0"/>
              <w:jc w:val="left"/>
            </w:pPr>
            <w:r>
              <w:rPr>
                <w:rFonts w:ascii="Arial" w:cs="Arial" w:eastAsia="Arial" w:hAnsi="Arial"/>
                <w:b w:val="false"/>
                <w:bCs w:val="false"/>
                <w:i w:val="false"/>
                <w:iCs w:val="false"/>
                <w:color w:val="595959"/>
                <w:sz w:val="16"/>
                <w:szCs w:val="16"/>
              </w:rPr>
              <w:t xml:space="preserve"> Loss Interviews</w:t>
            </w:r>
          </w:p>
        </w:tc>
        <w:tc>
          <w:tcPr>
            <w:tcW w:type="dxa" w:w="2340"/>
            <w:tcBorders>
              <w:top w:val="none" w:color="FFFFFF" w:sz="0"/>
              <w:left w:val="none" w:color="FFFFFF" w:sz="0"/>
              <w:bottom w:val="none" w:color="FFFFFF" w:sz="0"/>
              <w:right w:val="none" w:color="FFFFFF" w:sz="0"/>
            </w:tcBorders>
            <w:shd w:fill="FFF2CC" w:val="clear"/>
            <w:tcMar>
              <w:top w:type="dxa" w:w="120"/>
              <w:left w:type="dxa" w:w="120"/>
              <w:bottom w:type="dxa" w:w="20"/>
              <w:right w:type="dxa" w:w="120"/>
            </w:tcMar>
          </w:tcPr>
          <w:p>
            <w:pPr>
              <w:spacing w:after="80" w:before="0"/>
              <w:jc w:val="left"/>
            </w:pPr>
            <w:r>
              <w:rPr>
                <w:rFonts w:ascii="Arial" w:cs="Arial" w:eastAsia="Arial" w:hAnsi="Arial"/>
                <w:b w:val="false"/>
                <w:bCs w:val="false"/>
                <w:i w:val="false"/>
                <w:iCs w:val="false"/>
                <w:color w:val="595959"/>
                <w:sz w:val="16"/>
                <w:szCs w:val="16"/>
              </w:rPr>
              <w:t xml:space="preserve"> Discussion Sections</w:t>
            </w:r>
          </w:p>
        </w:tc>
      </w:tr>
      <w:tr>
        <w:tc>
          <w:tcPr>
            <w:tcW w:type="dxa" w:w="2340"/>
            <w:tcBorders>
              <w:top w:val="none" w:color="FFFFFF" w:sz="0"/>
              <w:left w:val="none" w:color="FFFFFF" w:sz="0"/>
              <w:bottom w:val="none" w:color="FFFFFF" w:sz="0"/>
              <w:right w:val="none" w:color="FFFFFF" w:sz="0"/>
            </w:tcBorders>
            <w:shd w:fill="D6E4F0" w:val="clear"/>
            <w:tcMar>
              <w:top w:type="dxa" w:w="0"/>
              <w:left w:type="dxa" w:w="120"/>
              <w:bottom w:type="dxa" w:w="120"/>
              <w:right w:type="dxa" w:w="120"/>
            </w:tcMar>
          </w:tcPr>
          <w:p>
            <w:pPr>
              <w:spacing w:after="80" w:before="0"/>
              <w:jc w:val="left"/>
            </w:pPr>
            <w:r>
              <w:rPr>
                <w:rFonts w:ascii="Arial" w:cs="Arial" w:eastAsia="Arial" w:hAnsi="Arial"/>
                <w:b/>
                <w:bCs/>
                <w:i w:val="false"/>
                <w:iCs w:val="false"/>
                <w:color w:val="1F4E79"/>
                <w:sz w:val="30"/>
                <w:szCs w:val="30"/>
              </w:rPr>
              <w:t xml:space="preserve">15</w:t>
            </w:r>
          </w:p>
        </w:tc>
        <w:tc>
          <w:tcPr>
            <w:tcW w:type="dxa" w:w="2340"/>
            <w:tcBorders>
              <w:top w:val="none" w:color="FFFFFF" w:sz="0"/>
              <w:left w:val="none" w:color="FFFFFF" w:sz="0"/>
              <w:bottom w:val="none" w:color="FFFFFF" w:sz="0"/>
              <w:right w:val="none" w:color="FFFFFF" w:sz="0"/>
            </w:tcBorders>
            <w:shd w:fill="E2EFDA" w:val="clear"/>
            <w:tcMar>
              <w:top w:type="dxa" w:w="0"/>
              <w:left w:type="dxa" w:w="120"/>
              <w:bottom w:type="dxa" w:w="120"/>
              <w:right w:type="dxa" w:w="120"/>
            </w:tcMar>
          </w:tcPr>
          <w:p>
            <w:pPr>
              <w:spacing w:after="80" w:before="0"/>
              <w:jc w:val="left"/>
            </w:pPr>
            <w:r>
              <w:rPr>
                <w:rFonts w:ascii="Arial" w:cs="Arial" w:eastAsia="Arial" w:hAnsi="Arial"/>
                <w:b/>
                <w:bCs/>
                <w:i w:val="false"/>
                <w:iCs w:val="false"/>
                <w:color w:val="375623"/>
                <w:sz w:val="30"/>
                <w:szCs w:val="30"/>
              </w:rPr>
              <w:t xml:space="preserve">6</w:t>
            </w:r>
          </w:p>
        </w:tc>
        <w:tc>
          <w:tcPr>
            <w:tcW w:type="dxa" w:w="2340"/>
            <w:tcBorders>
              <w:top w:val="none" w:color="FFFFFF" w:sz="0"/>
              <w:left w:val="none" w:color="FFFFFF" w:sz="0"/>
              <w:bottom w:val="none" w:color="FFFFFF" w:sz="0"/>
              <w:right w:val="none" w:color="FFFFFF" w:sz="0"/>
            </w:tcBorders>
            <w:shd w:fill="FADBD8" w:val="clear"/>
            <w:tcMar>
              <w:top w:type="dxa" w:w="0"/>
              <w:left w:type="dxa" w:w="120"/>
              <w:bottom w:type="dxa" w:w="120"/>
              <w:right w:type="dxa" w:w="120"/>
            </w:tcMar>
          </w:tcPr>
          <w:p>
            <w:pPr>
              <w:spacing w:after="80" w:before="0"/>
              <w:jc w:val="left"/>
            </w:pPr>
            <w:r>
              <w:rPr>
                <w:rFonts w:ascii="Arial" w:cs="Arial" w:eastAsia="Arial" w:hAnsi="Arial"/>
                <w:b/>
                <w:bCs/>
                <w:i w:val="false"/>
                <w:iCs w:val="false"/>
                <w:color w:val="9B2335"/>
                <w:sz w:val="30"/>
                <w:szCs w:val="30"/>
              </w:rPr>
              <w:t xml:space="preserve">9</w:t>
            </w:r>
          </w:p>
        </w:tc>
        <w:tc>
          <w:tcPr>
            <w:tcW w:type="dxa" w:w="2340"/>
            <w:tcBorders>
              <w:top w:val="none" w:color="FFFFFF" w:sz="0"/>
              <w:left w:val="none" w:color="FFFFFF" w:sz="0"/>
              <w:bottom w:val="none" w:color="FFFFFF" w:sz="0"/>
              <w:right w:val="none" w:color="FFFFFF" w:sz="0"/>
            </w:tcBorders>
            <w:shd w:fill="FFF2CC" w:val="clear"/>
            <w:tcMar>
              <w:top w:type="dxa" w:w="0"/>
              <w:left w:type="dxa" w:w="120"/>
              <w:bottom w:type="dxa" w:w="120"/>
              <w:right w:type="dxa" w:w="120"/>
            </w:tcMar>
          </w:tcPr>
          <w:p>
            <w:pPr>
              <w:spacing w:after="80" w:before="0"/>
              <w:jc w:val="left"/>
            </w:pPr>
            <w:r>
              <w:rPr>
                <w:rFonts w:ascii="Arial" w:cs="Arial" w:eastAsia="Arial" w:hAnsi="Arial"/>
                <w:b/>
                <w:bCs/>
                <w:i w:val="false"/>
                <w:iCs w:val="false"/>
                <w:color w:val="C65C00"/>
                <w:sz w:val="30"/>
                <w:szCs w:val="30"/>
              </w:rPr>
              <w:t xml:space="preserve">47 Qs</w:t>
            </w:r>
          </w:p>
        </w:tc>
      </w:tr>
    </w:tbl>
    <w:p>
      <w:pPr>
        <w:spacing w:after="0" w:before="160"/>
      </w:pPr>
      <w:r>
        <w:t xml:space="preserve"/>
      </w:r>
    </w:p>
    <w:p>
      <w:pPr>
        <w:spacing w:after="60"/>
        <w:jc w:val="center"/>
      </w:pPr>
      <w:r>
        <w:rPr>
          <w:rFonts w:ascii="Arial" w:cs="Arial" w:eastAsia="Arial" w:hAnsi="Arial"/>
          <w:b w:val="false"/>
          <w:bCs w:val="false"/>
          <w:i/>
          <w:iCs/>
          <w:color w:val="595959"/>
          <w:sz w:val="18"/>
          <w:szCs w:val="18"/>
        </w:rPr>
        <w:t xml:space="preserve">Confidential — For Internal Research Use Only</w:t>
      </w:r>
    </w:p>
    <w:p>
      <w:pPr>
        <w:spacing w:after="0"/>
        <w:jc w:val="center"/>
      </w:pPr>
      <w:r>
        <w:rPr>
          <w:rFonts w:ascii="Arial" w:cs="Arial" w:eastAsia="Arial" w:hAnsi="Arial"/>
          <w:b w:val="false"/>
          <w:bCs w:val="false"/>
          <w:i/>
          <w:iCs/>
          <w:color w:val="595959"/>
          <w:sz w:val="18"/>
          <w:szCs w:val="18"/>
        </w:rPr>
        <w:t xml:space="preserve">Prepared by DevelopmentCorporate LLC</w:t>
      </w:r>
    </w:p>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Executive Summary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none" w:color="FFFFFF" w:sz="0"/>
              <w:left w:val="none" w:color="FFFFFF" w:sz="0"/>
              <w:bottom w:val="none" w:color="FFFFFF" w:sz="0"/>
              <w:right w:val="none" w:color="FFFFFF" w:sz="0"/>
            </w:tcBorders>
            <w:shd w:fill="D6E4F0" w:val="clear"/>
            <w:tcMar>
              <w:top w:type="dxa" w:w="120"/>
              <w:left w:type="dxa" w:w="120"/>
              <w:bottom w:type="dxa" w:w="0"/>
              <w:right w:type="dxa" w:w="120"/>
            </w:tcMar>
          </w:tcPr>
          <w:p>
            <w:pPr>
              <w:spacing w:after="80" w:before="0"/>
              <w:jc w:val="left"/>
            </w:pPr>
            <w:r>
              <w:rPr>
                <w:rFonts w:ascii="Arial" w:cs="Arial" w:eastAsia="Arial" w:hAnsi="Arial"/>
                <w:b w:val="false"/>
                <w:bCs w:val="false"/>
                <w:i w:val="false"/>
                <w:iCs w:val="false"/>
                <w:color w:val="1F4E79"/>
                <w:sz w:val="16"/>
                <w:szCs w:val="16"/>
              </w:rPr>
              <w:t xml:space="preserve">Interviews Conducted</w:t>
            </w:r>
          </w:p>
        </w:tc>
        <w:tc>
          <w:tcPr>
            <w:tcW w:type="dxa" w:w="1872"/>
            <w:tcBorders>
              <w:top w:val="none" w:color="FFFFFF" w:sz="0"/>
              <w:left w:val="none" w:color="FFFFFF" w:sz="0"/>
              <w:bottom w:val="none" w:color="FFFFFF" w:sz="0"/>
              <w:right w:val="none" w:color="FFFFFF" w:sz="0"/>
            </w:tcBorders>
            <w:shd w:fill="E2EFDA" w:val="clear"/>
            <w:tcMar>
              <w:top w:type="dxa" w:w="120"/>
              <w:left w:type="dxa" w:w="120"/>
              <w:bottom w:type="dxa" w:w="0"/>
              <w:right w:type="dxa" w:w="120"/>
            </w:tcMar>
          </w:tcPr>
          <w:p>
            <w:pPr>
              <w:spacing w:after="80" w:before="0"/>
              <w:jc w:val="left"/>
            </w:pPr>
            <w:r>
              <w:rPr>
                <w:rFonts w:ascii="Arial" w:cs="Arial" w:eastAsia="Arial" w:hAnsi="Arial"/>
                <w:b w:val="false"/>
                <w:bCs w:val="false"/>
                <w:i w:val="false"/>
                <w:iCs w:val="false"/>
                <w:color w:val="375623"/>
                <w:sz w:val="16"/>
                <w:szCs w:val="16"/>
              </w:rPr>
              <w:t xml:space="preserve">Win Rate</w:t>
            </w:r>
          </w:p>
        </w:tc>
        <w:tc>
          <w:tcPr>
            <w:tcW w:type="dxa" w:w="1872"/>
            <w:tcBorders>
              <w:top w:val="none" w:color="FFFFFF" w:sz="0"/>
              <w:left w:val="none" w:color="FFFFFF" w:sz="0"/>
              <w:bottom w:val="none" w:color="FFFFFF" w:sz="0"/>
              <w:right w:val="none" w:color="FFFFFF" w:sz="0"/>
            </w:tcBorders>
            <w:shd w:fill="D6E4F0" w:val="clear"/>
            <w:tcMar>
              <w:top w:type="dxa" w:w="120"/>
              <w:left w:type="dxa" w:w="120"/>
              <w:bottom w:type="dxa" w:w="0"/>
              <w:right w:type="dxa" w:w="120"/>
            </w:tcMar>
          </w:tcPr>
          <w:p>
            <w:pPr>
              <w:spacing w:after="80" w:before="0"/>
              <w:jc w:val="left"/>
            </w:pPr>
            <w:r>
              <w:rPr>
                <w:rFonts w:ascii="Arial" w:cs="Arial" w:eastAsia="Arial" w:hAnsi="Arial"/>
                <w:b w:val="false"/>
                <w:bCs w:val="false"/>
                <w:i w:val="false"/>
                <w:iCs w:val="false"/>
                <w:color w:val="1F4E79"/>
                <w:sz w:val="16"/>
                <w:szCs w:val="16"/>
              </w:rPr>
              <w:t xml:space="preserve">Avg Interview Duration</w:t>
            </w:r>
          </w:p>
        </w:tc>
        <w:tc>
          <w:tcPr>
            <w:tcW w:type="dxa" w:w="1872"/>
            <w:tcBorders>
              <w:top w:val="none" w:color="FFFFFF" w:sz="0"/>
              <w:left w:val="none" w:color="FFFFFF" w:sz="0"/>
              <w:bottom w:val="none" w:color="FFFFFF" w:sz="0"/>
              <w:right w:val="none" w:color="FFFFFF" w:sz="0"/>
            </w:tcBorders>
            <w:shd w:fill="E2EFDA" w:val="clear"/>
            <w:tcMar>
              <w:top w:type="dxa" w:w="120"/>
              <w:left w:type="dxa" w:w="120"/>
              <w:bottom w:type="dxa" w:w="0"/>
              <w:right w:type="dxa" w:w="120"/>
            </w:tcMar>
          </w:tcPr>
          <w:p>
            <w:pPr>
              <w:spacing w:after="80" w:before="0"/>
              <w:jc w:val="left"/>
            </w:pPr>
            <w:r>
              <w:rPr>
                <w:rFonts w:ascii="Arial" w:cs="Arial" w:eastAsia="Arial" w:hAnsi="Arial"/>
                <w:b w:val="false"/>
                <w:bCs w:val="false"/>
                <w:i w:val="false"/>
                <w:iCs w:val="false"/>
                <w:color w:val="375623"/>
                <w:sz w:val="16"/>
                <w:szCs w:val="16"/>
              </w:rPr>
              <w:t xml:space="preserve">Avg NPS — Wins</w:t>
            </w:r>
          </w:p>
        </w:tc>
        <w:tc>
          <w:tcPr>
            <w:tcW w:type="dxa" w:w="1872"/>
            <w:tcBorders>
              <w:top w:val="none" w:color="FFFFFF" w:sz="0"/>
              <w:left w:val="none" w:color="FFFFFF" w:sz="0"/>
              <w:bottom w:val="none" w:color="FFFFFF" w:sz="0"/>
              <w:right w:val="none" w:color="FFFFFF" w:sz="0"/>
            </w:tcBorders>
            <w:shd w:fill="FADBD8" w:val="clear"/>
            <w:tcMar>
              <w:top w:type="dxa" w:w="120"/>
              <w:left w:type="dxa" w:w="120"/>
              <w:bottom w:type="dxa" w:w="0"/>
              <w:right w:type="dxa" w:w="120"/>
            </w:tcMar>
          </w:tcPr>
          <w:p>
            <w:pPr>
              <w:spacing w:after="80" w:before="0"/>
              <w:jc w:val="left"/>
            </w:pPr>
            <w:r>
              <w:rPr>
                <w:rFonts w:ascii="Arial" w:cs="Arial" w:eastAsia="Arial" w:hAnsi="Arial"/>
                <w:b w:val="false"/>
                <w:bCs w:val="false"/>
                <w:i w:val="false"/>
                <w:iCs w:val="false"/>
                <w:color w:val="9B2335"/>
                <w:sz w:val="16"/>
                <w:szCs w:val="16"/>
              </w:rPr>
              <w:t xml:space="preserve">Avg NPS — Losses</w:t>
            </w:r>
          </w:p>
        </w:tc>
      </w:tr>
      <w:tr>
        <w:tc>
          <w:tcPr>
            <w:tcW w:type="dxa" w:w="1872"/>
            <w:tcBorders>
              <w:top w:val="none" w:color="FFFFFF" w:sz="0"/>
              <w:left w:val="none" w:color="FFFFFF" w:sz="0"/>
              <w:bottom w:val="none" w:color="FFFFFF" w:sz="0"/>
              <w:right w:val="none" w:color="FFFFFF" w:sz="0"/>
            </w:tcBorders>
            <w:shd w:fill="D6E4F0" w:val="clear"/>
            <w:tcMar>
              <w:top w:type="dxa" w:w="0"/>
              <w:left w:type="dxa" w:w="120"/>
              <w:bottom w:type="dxa" w:w="120"/>
              <w:right w:type="dxa" w:w="120"/>
            </w:tcMar>
          </w:tcPr>
          <w:p>
            <w:pPr>
              <w:spacing w:after="80" w:before="0"/>
              <w:jc w:val="left"/>
            </w:pPr>
            <w:r>
              <w:rPr>
                <w:rFonts w:ascii="Arial" w:cs="Arial" w:eastAsia="Arial" w:hAnsi="Arial"/>
                <w:b/>
                <w:bCs/>
                <w:i w:val="false"/>
                <w:iCs w:val="false"/>
                <w:color w:val="1F4E79"/>
                <w:sz w:val="26"/>
                <w:szCs w:val="26"/>
              </w:rPr>
              <w:t xml:space="preserve">15</w:t>
            </w:r>
          </w:p>
        </w:tc>
        <w:tc>
          <w:tcPr>
            <w:tcW w:type="dxa" w:w="1872"/>
            <w:tcBorders>
              <w:top w:val="none" w:color="FFFFFF" w:sz="0"/>
              <w:left w:val="none" w:color="FFFFFF" w:sz="0"/>
              <w:bottom w:val="none" w:color="FFFFFF" w:sz="0"/>
              <w:right w:val="none" w:color="FFFFFF" w:sz="0"/>
            </w:tcBorders>
            <w:shd w:fill="E2EFDA" w:val="clear"/>
            <w:tcMar>
              <w:top w:type="dxa" w:w="0"/>
              <w:left w:type="dxa" w:w="120"/>
              <w:bottom w:type="dxa" w:w="120"/>
              <w:right w:type="dxa" w:w="120"/>
            </w:tcMar>
          </w:tcPr>
          <w:p>
            <w:pPr>
              <w:spacing w:after="80" w:before="0"/>
              <w:jc w:val="left"/>
            </w:pPr>
            <w:r>
              <w:rPr>
                <w:rFonts w:ascii="Arial" w:cs="Arial" w:eastAsia="Arial" w:hAnsi="Arial"/>
                <w:b/>
                <w:bCs/>
                <w:i w:val="false"/>
                <w:iCs w:val="false"/>
                <w:color w:val="375623"/>
                <w:sz w:val="26"/>
                <w:szCs w:val="26"/>
              </w:rPr>
              <w:t xml:space="preserve">40%</w:t>
            </w:r>
          </w:p>
        </w:tc>
        <w:tc>
          <w:tcPr>
            <w:tcW w:type="dxa" w:w="1872"/>
            <w:tcBorders>
              <w:top w:val="none" w:color="FFFFFF" w:sz="0"/>
              <w:left w:val="none" w:color="FFFFFF" w:sz="0"/>
              <w:bottom w:val="none" w:color="FFFFFF" w:sz="0"/>
              <w:right w:val="none" w:color="FFFFFF" w:sz="0"/>
            </w:tcBorders>
            <w:shd w:fill="D6E4F0" w:val="clear"/>
            <w:tcMar>
              <w:top w:type="dxa" w:w="0"/>
              <w:left w:type="dxa" w:w="120"/>
              <w:bottom w:type="dxa" w:w="120"/>
              <w:right w:type="dxa" w:w="120"/>
            </w:tcMar>
          </w:tcPr>
          <w:p>
            <w:pPr>
              <w:spacing w:after="80" w:before="0"/>
              <w:jc w:val="left"/>
            </w:pPr>
            <w:r>
              <w:rPr>
                <w:rFonts w:ascii="Arial" w:cs="Arial" w:eastAsia="Arial" w:hAnsi="Arial"/>
                <w:b/>
                <w:bCs/>
                <w:i w:val="false"/>
                <w:iCs w:val="false"/>
                <w:color w:val="1F4E79"/>
                <w:sz w:val="26"/>
                <w:szCs w:val="26"/>
              </w:rPr>
              <w:t xml:space="preserve">52 min</w:t>
            </w:r>
          </w:p>
        </w:tc>
        <w:tc>
          <w:tcPr>
            <w:tcW w:type="dxa" w:w="1872"/>
            <w:tcBorders>
              <w:top w:val="none" w:color="FFFFFF" w:sz="0"/>
              <w:left w:val="none" w:color="FFFFFF" w:sz="0"/>
              <w:bottom w:val="none" w:color="FFFFFF" w:sz="0"/>
              <w:right w:val="none" w:color="FFFFFF" w:sz="0"/>
            </w:tcBorders>
            <w:shd w:fill="E2EFDA" w:val="clear"/>
            <w:tcMar>
              <w:top w:type="dxa" w:w="0"/>
              <w:left w:type="dxa" w:w="120"/>
              <w:bottom w:type="dxa" w:w="120"/>
              <w:right w:type="dxa" w:w="120"/>
            </w:tcMar>
          </w:tcPr>
          <w:p>
            <w:pPr>
              <w:spacing w:after="80" w:before="0"/>
              <w:jc w:val="left"/>
            </w:pPr>
            <w:r>
              <w:rPr>
                <w:rFonts w:ascii="Arial" w:cs="Arial" w:eastAsia="Arial" w:hAnsi="Arial"/>
                <w:b/>
                <w:bCs/>
                <w:i w:val="false"/>
                <w:iCs w:val="false"/>
                <w:color w:val="375623"/>
                <w:sz w:val="26"/>
                <w:szCs w:val="26"/>
              </w:rPr>
              <w:t xml:space="preserve">8.2</w:t>
            </w:r>
          </w:p>
        </w:tc>
        <w:tc>
          <w:tcPr>
            <w:tcW w:type="dxa" w:w="1872"/>
            <w:tcBorders>
              <w:top w:val="none" w:color="FFFFFF" w:sz="0"/>
              <w:left w:val="none" w:color="FFFFFF" w:sz="0"/>
              <w:bottom w:val="none" w:color="FFFFFF" w:sz="0"/>
              <w:right w:val="none" w:color="FFFFFF" w:sz="0"/>
            </w:tcBorders>
            <w:shd w:fill="FADBD8" w:val="clear"/>
            <w:tcMar>
              <w:top w:type="dxa" w:w="0"/>
              <w:left w:type="dxa" w:w="120"/>
              <w:bottom w:type="dxa" w:w="120"/>
              <w:right w:type="dxa" w:w="120"/>
            </w:tcMar>
          </w:tcPr>
          <w:p>
            <w:pPr>
              <w:spacing w:after="80" w:before="0"/>
              <w:jc w:val="left"/>
            </w:pPr>
            <w:r>
              <w:rPr>
                <w:rFonts w:ascii="Arial" w:cs="Arial" w:eastAsia="Arial" w:hAnsi="Arial"/>
                <w:b/>
                <w:bCs/>
                <w:i w:val="false"/>
                <w:iCs w:val="false"/>
                <w:color w:val="9B2335"/>
                <w:sz w:val="26"/>
                <w:szCs w:val="26"/>
              </w:rPr>
              <w:t xml:space="preserve">3.6</w:t>
            </w:r>
          </w:p>
        </w:tc>
      </w:tr>
    </w:tbl>
    <w:p>
      <w:pPr>
        <w:spacing w:after="0" w:before="140"/>
      </w:pPr>
      <w:r>
        <w:t xml:space="preserve"/>
      </w:r>
    </w:p>
    <w:p>
      <w:pPr>
        <w:spacing w:after="90" w:before="120"/>
        <w:jc w:val="left"/>
      </w:pPr>
      <w:r>
        <w:rPr>
          <w:rFonts w:ascii="Arial" w:cs="Arial" w:eastAsia="Arial" w:hAnsi="Arial"/>
          <w:b w:val="false"/>
          <w:bCs w:val="false"/>
          <w:i w:val="false"/>
          <w:iCs w:val="false"/>
          <w:color w:val="404040"/>
          <w:sz w:val="20"/>
          <w:szCs w:val="20"/>
        </w:rPr>
        <w:t xml:space="preserve">This report synthesizes findings from 15 win/loss buyer interviews conducted as part of the wholesome.tech Q1 2026 research program. Interviews followed the structured 9-section discussion guide, averaging 52 minutes per session. Six interviews represent closed-won accounts; nine represent accounts where an alternative vendor was selected. All respondents had completed the 5-minute pre-interview survey 5 days prior, enabling interviewers to enter each session with context and probe meaningfully from the first exchange.</w:t>
      </w:r>
    </w:p>
    <w:p>
      <w:pPr>
        <w:spacing w:after="90" w:before="0"/>
        <w:jc w:val="left"/>
      </w:pPr>
      <w:r>
        <w:rPr>
          <w:rFonts w:ascii="Arial" w:cs="Arial" w:eastAsia="Arial" w:hAnsi="Arial"/>
          <w:b w:val="false"/>
          <w:bCs w:val="false"/>
          <w:i w:val="false"/>
          <w:iCs w:val="false"/>
          <w:color w:val="404040"/>
          <w:sz w:val="20"/>
          <w:szCs w:val="20"/>
        </w:rPr>
        <w:t xml:space="preserve">The interviews surfaced four primary drivers of win/loss outcomes that are consistent, coherent, and actionable. First, the gap between winning and losing evaluations is driven more by execution quality than product differentiation — buyers in won accounts consistently described a consultative, personalized process that made them feel understood; loss accounts described a generic, reactive process that eroded confidence. Second, integration capability is the single most cited gap by loss respondents and the most commonly cited concern even by win respondents, making it the highest-priority product investment. Third, commercial structure — specifically the absence of a flat-fee or budget-predictable pricing tier — is a hard blocker for buyers under $50M in revenue. Fourth, pilot and POC quality is a decisive conversion lever: wins completed pilots at 2.5× the rate of losses, and every respondent who completed a well-run pilot chose wholesome.tech.</w:t>
      </w:r>
    </w:p>
    <w:p>
      <w:pPr>
        <w:spacing w:after="90" w:before="0"/>
        <w:jc w:val="left"/>
      </w:pPr>
      <w:r>
        <w:rPr>
          <w:rFonts w:ascii="Arial" w:cs="Arial" w:eastAsia="Arial" w:hAnsi="Arial"/>
          <w:b w:val="false"/>
          <w:bCs w:val="false"/>
          <w:i w:val="false"/>
          <w:iCs w:val="false"/>
          <w:color w:val="404040"/>
          <w:sz w:val="20"/>
          <w:szCs w:val="20"/>
        </w:rPr>
        <w:t xml:space="preserve">Four competitors claimed the nine lost deals: Synova Analytics (3 deals), Clearwave (3 deals), Prism Platform (2 deals), and Velo Enterprise (1 deal). Each won on a distinct basis, pointing to a multi-front competitive challenge that requires tailored responses by segment and deal size.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14"/>
              <w:bottom w:val="none" w:color="FFFFFF" w:sz="0"/>
              <w:right w:val="none" w:color="FFFFFF" w:sz="0"/>
            </w:tcBorders>
            <w:shd w:fill="E2EFDA" w:val="clear"/>
            <w:tcMar>
              <w:top w:type="dxa" w:w="100"/>
              <w:left w:type="dxa" w:w="180"/>
              <w:bottom w:type="dxa" w:w="100"/>
              <w:right w:type="dxa" w:w="180"/>
            </w:tcMar>
          </w:tcPr>
          <w:p>
            <w:pPr>
              <w:spacing w:after="50" w:before="0"/>
              <w:jc w:val="left"/>
            </w:pPr>
            <w:r>
              <w:rPr>
                <w:rFonts w:ascii="Arial" w:cs="Arial" w:eastAsia="Arial" w:hAnsi="Arial"/>
                <w:b/>
                <w:bCs/>
                <w:i w:val="false"/>
                <w:iCs w:val="false"/>
                <w:color w:val="375623"/>
                <w:sz w:val="19"/>
                <w:szCs w:val="19"/>
              </w:rPr>
              <w:t xml:space="preserve">Single most actionable finding</w:t>
            </w:r>
          </w:p>
          <w:p>
            <w:pPr>
              <w:spacing w:after="80" w:before="0"/>
              <w:jc w:val="left"/>
            </w:pPr>
            <w:r>
              <w:rPr>
                <w:rFonts w:ascii="Arial" w:cs="Arial" w:eastAsia="Arial" w:hAnsi="Arial"/>
                <w:b w:val="false"/>
                <w:bCs w:val="false"/>
                <w:i/>
                <w:iCs/>
                <w:color w:val="375623"/>
                <w:sz w:val="19"/>
                <w:szCs w:val="19"/>
              </w:rPr>
              <w:t xml:space="preserve">Every respondent who completed a structured, scoped pilot with defined success criteria chose wholesome.tech. Not one. Systematizing POC initiation — reducing friction, defining scope, and setting mutual success criteria early — is the single highest-leverage revenue action available without a product change.</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Methodology</w:t>
      </w:r>
    </w:p>
    <w:p>
      <w:pPr>
        <w:spacing w:after="0" w:before="80"/>
      </w:pPr>
      <w:r>
        <w:t xml:space="preserve"/>
      </w:r>
    </w:p>
    <w:p>
      <w:pPr>
        <w:spacing w:after="90" w:before="120"/>
        <w:jc w:val="left"/>
      </w:pPr>
      <w:r>
        <w:rPr>
          <w:rFonts w:ascii="Arial" w:cs="Arial" w:eastAsia="Arial" w:hAnsi="Arial"/>
          <w:b w:val="false"/>
          <w:bCs w:val="false"/>
          <w:i w:val="false"/>
          <w:iCs w:val="false"/>
          <w:color w:val="404040"/>
          <w:sz w:val="20"/>
          <w:szCs w:val="20"/>
        </w:rPr>
        <w:t xml:space="preserve">Fifteen buyer interviews were conducted between [Interview Period] Q1 2026. Each interview followed the structured win/loss discussion guide developed for this research program, organized across nine thematic sections covering triggering events, awareness, team interactions, evaluation quality, decision criteria, pricing, sales process, outcome, and management advice. Interviews were conducted by phone or video and averaged 52 minutes in length.</w:t>
      </w:r>
    </w:p>
    <w:p>
      <w:pPr>
        <w:spacing w:after="90" w:before="120"/>
        <w:jc w:val="left"/>
      </w:pPr>
      <w:r>
        <w:rPr>
          <w:rFonts w:ascii="Arial" w:cs="Arial" w:eastAsia="Arial" w:hAnsi="Arial"/>
          <w:b w:val="false"/>
          <w:bCs w:val="false"/>
          <w:i w:val="false"/>
          <w:iCs w:val="false"/>
          <w:color w:val="404040"/>
          <w:sz w:val="20"/>
          <w:szCs w:val="20"/>
        </w:rPr>
        <w:t xml:space="preserve">Respondents completed a 16-question closed-ended pre-interview survey 5 days before each session. Survey data was reviewed by the interviewer prior to each call and used to calibrate probe questions and avoid redundant fact-gathering. All interviews were recorded with respondent consent and transcribed for thematic analysis.</w:t>
      </w:r>
    </w:p>
    <w:p>
      <w:pPr>
        <w:spacing w:after="90" w:before="120"/>
        <w:jc w:val="left"/>
      </w:pPr>
      <w:r>
        <w:rPr>
          <w:rFonts w:ascii="Arial" w:cs="Arial" w:eastAsia="Arial" w:hAnsi="Arial"/>
          <w:b w:val="false"/>
          <w:bCs w:val="false"/>
          <w:i w:val="false"/>
          <w:iCs w:val="false"/>
          <w:color w:val="404040"/>
          <w:sz w:val="20"/>
          <w:szCs w:val="20"/>
        </w:rPr>
        <w:t xml:space="preserve">Findings are organized by thematic section aligned to the discussion guide. Verbatim quotes are attributed by role and company type to protect respondent identity. Win and loss patterns are compared throughout. Where possible, findings reference quantitative data from the pre-interview survey to triangulate the qualitative themes.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Research Parameter</w:t>
            </w:r>
          </w:p>
        </w:tc>
        <w:tc>
          <w:tcPr>
            <w:tcW w:type="dxa" w:w="57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Detail</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Total interviews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15 (6 wins, 9 losses)</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Interview format</w:t>
            </w:r>
          </w:p>
        </w:tc>
        <w:tc>
          <w:tcPr>
            <w:tcW w:type="dxa" w:w="5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60-minute structured discussion (avg 52 min)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Discussion guide</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9 sections, 47 questions</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Pre-interview survey</w:t>
            </w:r>
          </w:p>
        </w:tc>
        <w:tc>
          <w:tcPr>
            <w:tcW w:type="dxa" w:w="5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16 closed-ended questions, completed 5 days prior</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Respondent roles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C-Suite (3), VP/SVP (3), Director (5), Manager (3)</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Revenue range represented</w:t>
            </w:r>
          </w:p>
        </w:tc>
        <w:tc>
          <w:tcPr>
            <w:tcW w:type="dxa" w:w="5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&lt;$5M to &gt;$500M</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Simulation methodology</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Synthetic respondents, random.seed(2026), n=15</w:t>
            </w:r>
          </w:p>
        </w:tc>
      </w:tr>
      <w:tr>
        <w:tc>
          <w:tcPr>
            <w:tcW w:type="dxa" w:w="3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Competitive set identified</w:t>
            </w:r>
          </w:p>
        </w:tc>
        <w:tc>
          <w:tcPr>
            <w:tcW w:type="dxa" w:w="5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Synova Analytics, Clearwave, Prism Platform, Velo Enterprise</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1 — Triggering Events &amp; Business Context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1  </w:t>
            </w:r>
            <w:r>
              <w:rPr>
                <w:rFonts w:ascii="Arial" w:cs="Arial" w:eastAsia="Arial" w:hAnsi="Arial"/>
                <w:b/>
                <w:bCs/>
                <w:i w:val="false"/>
                <w:iCs w:val="false"/>
                <w:color w:val="1F4E79"/>
                <w:sz w:val="21"/>
                <w:szCs w:val="21"/>
              </w:rPr>
              <w:t xml:space="preserve">Two distinct buyer archetypes emerged with meaningfully different outcome profiles</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Strategic builders (wins) vs. reactive replacers (losses)</w:t>
            </w:r>
          </w:p>
        </w:tc>
      </w:tr>
    </w:tbl>
    <w:p>
      <w:pPr>
        <w:spacing w:after="0" w:before="100"/>
      </w:pPr>
      <w:r>
        <w:t xml:space="preserve"/>
      </w:r>
    </w:p>
    <w:p>
      <w:pPr>
        <w:spacing w:after="90" w:before="120"/>
        <w:jc w:val="left"/>
      </w:pPr>
      <w:r>
        <w:rPr>
          <w:rFonts w:ascii="Arial" w:cs="Arial" w:eastAsia="Arial" w:hAnsi="Arial"/>
          <w:b w:val="false"/>
          <w:bCs w:val="false"/>
          <w:i w:val="false"/>
          <w:iCs w:val="false"/>
          <w:color w:val="404040"/>
          <w:sz w:val="20"/>
          <w:szCs w:val="20"/>
        </w:rPr>
        <w:t xml:space="preserve">The interviews surfaced a clear and consistent divide in how evaluations originated. Win respondents were predominantly strategic builders — buyers who initiated the evaluation from a position of organizational strength, with executive mandate, dedicated budget, and a clear picture of the capability they needed to build. Loss respondents were more often reactive replacers: buyers triggered by external pressure — a vendor failure, a surprise renewal increase, a merger mandate, or a competitive threat — who entered the market under time and budget constraints.</w:t>
      </w:r>
    </w:p>
    <w:p>
      <w:pPr>
        <w:spacing w:after="90" w:before="120"/>
        <w:jc w:val="left"/>
      </w:pPr>
      <w:r>
        <w:rPr>
          <w:rFonts w:ascii="Arial" w:cs="Arial" w:eastAsia="Arial" w:hAnsi="Arial"/>
          <w:b w:val="false"/>
          <w:bCs w:val="false"/>
          <w:i w:val="false"/>
          <w:iCs w:val="false"/>
          <w:color w:val="404040"/>
          <w:sz w:val="20"/>
          <w:szCs w:val="20"/>
        </w:rPr>
        <w:t xml:space="preserve">This distinction matters because it shapes the entire evaluation dynamic. Strategic builders have more runway to conduct a thorough evaluation, more appetite for a POC, and more organizational alignment around the decision. Reactive replacers are time-compressed, budget-sensitive, and more likely to weight price and implementation speed as primary factors over product depth or vendor quality.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“We’d been planning this capability for two years. When our Series B closed, the CFO signed off in the same meeting. We weren’t in a rush — we wanted to get it right.”</w:t>
            </w:r>
          </w:p>
          <w:p>
            <w:pPr>
              <w:spacing w:after="80" w:before="0"/>
              <w:jc w:val="left"/>
            </w:pPr>
            <w:r>
              <w:rPr>
                <w:rFonts w:ascii="Arial" w:cs="Arial" w:eastAsia="Arial" w:hAnsi="Arial"/>
                <w:b/>
                <w:bCs/>
                <w:i w:val="false"/>
                <w:iCs w:val="false"/>
                <w:color w:val="595959"/>
                <w:sz w:val="17"/>
                <w:szCs w:val="17"/>
              </w:rPr>
              <w:t xml:space="preserve">— Director, Mid-market analytics firm [Win — R01]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“Our biggest client gave us six months or they’d take the contract elsewhere. That wasn’t an evaluation — that was a fire drill.”</w:t>
            </w:r>
          </w:p>
          <w:p>
            <w:pPr>
              <w:spacing w:after="80" w:before="0"/>
              <w:jc w:val="left"/>
            </w:pPr>
            <w:r>
              <w:rPr>
                <w:rFonts w:ascii="Arial" w:cs="Arial" w:eastAsia="Arial" w:hAnsi="Arial"/>
                <w:b/>
                <w:bCs/>
                <w:i w:val="false"/>
                <w:iCs w:val="false"/>
                <w:color w:val="595959"/>
                <w:sz w:val="17"/>
                <w:szCs w:val="17"/>
              </w:rPr>
              <w:t xml:space="preserve">— C-Suite, VC-backed technology firm [Loss — R07]</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“Our roadmap called for moving upmarket and our existing stack wasn’t built for enterprise clients. We had time to do it right and we did.”</w:t>
            </w:r>
          </w:p>
          <w:p>
            <w:pPr>
              <w:spacing w:after="80" w:before="0"/>
              <w:jc w:val="left"/>
            </w:pPr>
            <w:r>
              <w:rPr>
                <w:rFonts w:ascii="Arial" w:cs="Arial" w:eastAsia="Arial" w:hAnsi="Arial"/>
                <w:b/>
                <w:bCs/>
                <w:i w:val="false"/>
                <w:iCs w:val="false"/>
                <w:color w:val="595959"/>
                <w:sz w:val="17"/>
                <w:szCs w:val="17"/>
              </w:rPr>
              <w:t xml:space="preserve">— VP, Healthcare system [Win — R11]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merger created a board mandate to consolidate eight tools into three. We had ninety days. I had no budget flexibility and no negotiating room on timeline.”</w:t>
            </w:r>
          </w:p>
          <w:p>
            <w:pPr>
              <w:spacing w:after="80" w:before="0"/>
              <w:jc w:val="left"/>
            </w:pPr>
            <w:r>
              <w:rPr>
                <w:rFonts w:ascii="Arial" w:cs="Arial" w:eastAsia="Arial" w:hAnsi="Arial"/>
                <w:b/>
                <w:bCs/>
                <w:i w:val="false"/>
                <w:iCs w:val="false"/>
                <w:color w:val="595959"/>
                <w:sz w:val="17"/>
                <w:szCs w:val="17"/>
              </w:rPr>
              <w:t xml:space="preserve">— VP, Enterprise corporation [Loss — R08]</w:t>
            </w:r>
          </w:p>
        </w:tc>
      </w:tr>
    </w:tbl>
    <w:p>
      <w:pPr>
        <w:spacing w:after="0" w:before="100"/>
      </w:pPr>
      <w:r>
        <w:t xml:space="preserve"/>
      </w:r>
    </w:p>
    <w:p>
      <w:pPr>
        <w:spacing w:after="60" w:before="160"/>
      </w:pPr>
      <w:r>
        <w:rPr>
          <w:rFonts w:ascii="Arial" w:cs="Arial" w:eastAsia="Arial" w:hAnsi="Arial"/>
          <w:b/>
          <w:bCs/>
          <w:i w:val="false"/>
          <w:iCs w:val="false"/>
          <w:color w:val="2E75B6"/>
          <w:sz w:val="20"/>
          <w:szCs w:val="20"/>
        </w:rPr>
        <w:t xml:space="preserve">Pattern: Urgency as a loss risk factor</w:t>
      </w:r>
    </w:p>
    <w:p>
      <w:pPr>
        <w:spacing w:after="90" w:before="0"/>
        <w:jc w:val="left"/>
      </w:pPr>
      <w:r>
        <w:rPr>
          <w:rFonts w:ascii="Arial" w:cs="Arial" w:eastAsia="Arial" w:hAnsi="Arial"/>
          <w:b w:val="false"/>
          <w:bCs w:val="false"/>
          <w:i w:val="false"/>
          <w:iCs w:val="false"/>
          <w:color w:val="404040"/>
          <w:sz w:val="20"/>
          <w:szCs w:val="20"/>
        </w:rPr>
        <w:t xml:space="preserve">Loss accounts reported significantly compressed timelines — six of nine loss respondents cited a hard external deadline of 60–90 days as a factor in their evaluation. This compressed timeline directly reduced POC completion rates and limited the depth of competitive comparison. From a sales motion standpoint, urgency in a buyer is not an accelerator — it is a risk signal that the buyer may make a speed-optimized rather than quality-optimized decision.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5C00" w:sz="14"/>
              <w:bottom w:val="none" w:color="FFFFFF" w:sz="0"/>
              <w:right w:val="none" w:color="FFFFFF" w:sz="0"/>
            </w:tcBorders>
            <w:shd w:fill="FFF2CC" w:val="clear"/>
            <w:tcMar>
              <w:top w:type="dxa" w:w="100"/>
              <w:left w:type="dxa" w:w="180"/>
              <w:bottom w:type="dxa" w:w="100"/>
              <w:right w:type="dxa" w:w="180"/>
            </w:tcMar>
          </w:tcPr>
          <w:p>
            <w:pPr>
              <w:spacing w:after="50" w:before="0"/>
              <w:jc w:val="left"/>
            </w:pPr>
            <w:r>
              <w:rPr>
                <w:rFonts w:ascii="Arial" w:cs="Arial" w:eastAsia="Arial" w:hAnsi="Arial"/>
                <w:b/>
                <w:bCs/>
                <w:i w:val="false"/>
                <w:iCs w:val="false"/>
                <w:color w:val="C65C00"/>
                <w:sz w:val="19"/>
                <w:szCs w:val="19"/>
              </w:rPr>
              <w:t xml:space="preserve">Implication for sales qualification</w:t>
            </w:r>
          </w:p>
          <w:p>
            <w:pPr>
              <w:spacing w:after="80" w:before="0"/>
              <w:jc w:val="left"/>
            </w:pPr>
            <w:r>
              <w:rPr>
                <w:rFonts w:ascii="Arial" w:cs="Arial" w:eastAsia="Arial" w:hAnsi="Arial"/>
                <w:b w:val="false"/>
                <w:bCs w:val="false"/>
                <w:i/>
                <w:iCs/>
                <w:color w:val="C65C00"/>
                <w:sz w:val="19"/>
                <w:szCs w:val="19"/>
              </w:rPr>
              <w:t xml:space="preserve">Buyers entering an evaluation under time pressure are more likely to default to price and speed of implementation as primary criteria. Identifying urgency as a deal characteristic early — and either compressing the POC timeline to fit or proactively addressing speed concerns — can prevent urgency from becoming a competitive disadvantage.</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2 — Awareness &amp; Discovery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2  </w:t>
            </w:r>
            <w:r>
              <w:rPr>
                <w:rFonts w:ascii="Arial" w:cs="Arial" w:eastAsia="Arial" w:hAnsi="Arial"/>
                <w:b/>
                <w:bCs/>
                <w:i w:val="false"/>
                <w:iCs w:val="false"/>
                <w:color w:val="1F4E79"/>
                <w:sz w:val="21"/>
                <w:szCs w:val="21"/>
              </w:rPr>
              <w:t xml:space="preserve">Channel quality predicts outcome quality — peer referral leads to better evaluations</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All LinkedIn-sourced respondents were losses; all peer referral respondents were wins or high-intent</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Discovery channel correlated meaningfully with evaluation quality and outcome. Respondents who arrived via peer referral or trusted network recommendation entered the evaluation with higher initial credibility extended to wholesome.tech, better-calibrated expectations, and a more consultative posture in early conversations. Respondents who arrived via LinkedIn or web search were more transactional and more likely to treat the evaluation as a procurement exercise.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“A colleague from my previous company called and said ‘you have to look at these people.’ That one call was worth more than any RFP response I received from any vendor.”</w:t>
            </w:r>
          </w:p>
          <w:p>
            <w:pPr>
              <w:spacing w:after="80" w:before="0"/>
              <w:jc w:val="left"/>
            </w:pPr>
            <w:r>
              <w:rPr>
                <w:rFonts w:ascii="Arial" w:cs="Arial" w:eastAsia="Arial" w:hAnsi="Arial"/>
                <w:b/>
                <w:bCs/>
                <w:i w:val="false"/>
                <w:iCs w:val="false"/>
                <w:color w:val="595959"/>
                <w:sz w:val="17"/>
                <w:szCs w:val="17"/>
              </w:rPr>
              <w:t xml:space="preserve">— Director, Operations firm [Win — R01]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“I Googled the category and booked the first vendor who had a good review average. In hindsight, I should have asked peers first. I ended up making two phone calls after we decided not to go with wholesome.tech and got two better recommendations.”</w:t>
            </w:r>
          </w:p>
          <w:p>
            <w:pPr>
              <w:spacing w:after="80" w:before="0"/>
              <w:jc w:val="left"/>
            </w:pPr>
            <w:r>
              <w:rPr>
                <w:rFonts w:ascii="Arial" w:cs="Arial" w:eastAsia="Arial" w:hAnsi="Arial"/>
                <w:b/>
                <w:bCs/>
                <w:i w:val="false"/>
                <w:iCs w:val="false"/>
                <w:color w:val="595959"/>
                <w:sz w:val="17"/>
                <w:szCs w:val="17"/>
              </w:rPr>
              <w:t xml:space="preserve">— Manager, Retail group [Loss — R04]</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“I saw their LinkedIn content for three weeks before taking a meeting. The content was genuinely good — but it created expectations about product sophistication that the demo didn’t fully match for our use case.”</w:t>
            </w:r>
          </w:p>
          <w:p>
            <w:pPr>
              <w:spacing w:after="80" w:before="0"/>
              <w:jc w:val="left"/>
            </w:pPr>
            <w:r>
              <w:rPr>
                <w:rFonts w:ascii="Arial" w:cs="Arial" w:eastAsia="Arial" w:hAnsi="Arial"/>
                <w:b/>
                <w:bCs/>
                <w:i w:val="false"/>
                <w:iCs w:val="false"/>
                <w:color w:val="595959"/>
                <w:sz w:val="17"/>
                <w:szCs w:val="17"/>
              </w:rPr>
              <w:t xml:space="preserve">— Director, Capital firm [Loss — R15]</w:t>
            </w:r>
          </w:p>
        </w:tc>
      </w:tr>
    </w:tbl>
    <w:p>
      <w:pPr>
        <w:spacing w:after="0" w:before="100"/>
      </w:pPr>
      <w:r>
        <w:t xml:space="preserve"/>
      </w:r>
    </w:p>
    <w:p>
      <w:pPr>
        <w:spacing w:after="60" w:before="160"/>
      </w:pPr>
      <w:r>
        <w:rPr>
          <w:rFonts w:ascii="Arial" w:cs="Arial" w:eastAsia="Arial" w:hAnsi="Arial"/>
          <w:b/>
          <w:bCs/>
          <w:i w:val="false"/>
          <w:iCs w:val="false"/>
          <w:color w:val="2E75B6"/>
          <w:sz w:val="20"/>
          <w:szCs w:val="20"/>
        </w:rPr>
        <w:t xml:space="preserve">G2 and review sites: quality signals, not just quantity signals</w:t>
      </w:r>
    </w:p>
    <w:p>
      <w:pPr>
        <w:spacing w:after="90" w:before="0"/>
        <w:jc w:val="left"/>
      </w:pPr>
      <w:r>
        <w:rPr>
          <w:rFonts w:ascii="Arial" w:cs="Arial" w:eastAsia="Arial" w:hAnsi="Arial"/>
          <w:b w:val="false"/>
          <w:bCs w:val="false"/>
          <w:i w:val="false"/>
          <w:iCs w:val="false"/>
          <w:color w:val="404040"/>
          <w:sz w:val="20"/>
          <w:szCs w:val="20"/>
        </w:rPr>
        <w:t xml:space="preserve">Both G2-sourced respondents were ultimately high-quality evaluators who entered calls with specific, informed questions. One converted (R09, Clearfront Inc); one did not (R05, Helix Biotech). Both noted that what drew them to schedule the call was not the star rating but the specificity of use-case descriptions in the reviews. This suggests that the quality of G2 review content — not just volume or aggregate score — influences which buyers the platform attracts.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14"/>
              <w:bottom w:val="none" w:color="FFFFFF" w:sz="0"/>
              <w:right w:val="none" w:color="FFFFFF" w:sz="0"/>
            </w:tcBorders>
            <w:shd w:fill="E2EFDA" w:val="clear"/>
            <w:tcMar>
              <w:top w:type="dxa" w:w="100"/>
              <w:left w:type="dxa" w:w="180"/>
              <w:bottom w:type="dxa" w:w="100"/>
              <w:right w:type="dxa" w:w="180"/>
            </w:tcMar>
          </w:tcPr>
          <w:p>
            <w:pPr>
              <w:spacing w:after="50" w:before="0"/>
              <w:jc w:val="left"/>
            </w:pPr>
            <w:r>
              <w:rPr>
                <w:rFonts w:ascii="Arial" w:cs="Arial" w:eastAsia="Arial" w:hAnsi="Arial"/>
                <w:b/>
                <w:bCs/>
                <w:i w:val="false"/>
                <w:iCs w:val="false"/>
                <w:color w:val="375623"/>
                <w:sz w:val="19"/>
                <w:szCs w:val="19"/>
              </w:rPr>
              <w:t xml:space="preserve">Channel investment priority</w:t>
            </w:r>
          </w:p>
          <w:p>
            <w:pPr>
              <w:spacing w:after="80" w:before="0"/>
              <w:jc w:val="left"/>
            </w:pPr>
            <w:r>
              <w:rPr>
                <w:rFonts w:ascii="Arial" w:cs="Arial" w:eastAsia="Arial" w:hAnsi="Arial"/>
                <w:b w:val="false"/>
                <w:bCs w:val="false"/>
                <w:i/>
                <w:iCs/>
                <w:color w:val="375623"/>
                <w:sz w:val="19"/>
                <w:szCs w:val="19"/>
              </w:rPr>
              <w:t xml:space="preserve">Given that peer referral is the highest-converting discovery channel and LinkedIn has produced zero wins in this cohort, content investment should shift toward generating customer references and advocate relationships rather than social media presence. A structured reference program with a modest incentive for completed conversations would likely deliver higher pipeline ROI than equivalent spend on social content.</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3 — Interactions with the wholesome.tech Team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3  </w:t>
            </w:r>
            <w:r>
              <w:rPr>
                <w:rFonts w:ascii="Arial" w:cs="Arial" w:eastAsia="Arial" w:hAnsi="Arial"/>
                <w:b/>
                <w:bCs/>
                <w:i w:val="false"/>
                <w:iCs w:val="false"/>
                <w:color w:val="1F4E79"/>
                <w:sz w:val="21"/>
                <w:szCs w:val="21"/>
              </w:rPr>
              <w:t xml:space="preserve">The “partner vs. vendor” divide is the strongest experiential differentiator between wins and losses</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Wins described a relationship; losses described a transaction</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Team interaction quality was the most emotionally salient theme across all 15 interviews. Win respondents used language associated with partnership, personalization, and domain expertise. Loss respondents consistently described interactions that felt generic, reactive, or insufficiently senior. Crucially, the gap was not primarily about the product — several loss respondents praised the product while describing the team interaction as the decisive disappointment.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sales engineer read our annual report before our second call and referenced our new product line in the first five minutes. That told me everything about the kind of company I was dealing with. You don’t see that.”</w:t>
            </w:r>
          </w:p>
          <w:p>
            <w:pPr>
              <w:spacing w:after="80" w:before="0"/>
              <w:jc w:val="left"/>
            </w:pPr>
            <w:r>
              <w:rPr>
                <w:rFonts w:ascii="Arial" w:cs="Arial" w:eastAsia="Arial" w:hAnsi="Arial"/>
                <w:b/>
                <w:bCs/>
                <w:i w:val="false"/>
                <w:iCs w:val="false"/>
                <w:color w:val="595959"/>
                <w:sz w:val="17"/>
                <w:szCs w:val="17"/>
              </w:rPr>
              <w:t xml:space="preserve">— C-Suite, Professional advisory firm [Win — R13]</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“Every time I sent an email, I had a substantive response within two hours. Not from an SDR — from the account executive who actually knew my situation. That level of care is rare.”</w:t>
            </w:r>
          </w:p>
          <w:p>
            <w:pPr>
              <w:spacing w:after="80" w:before="0"/>
              <w:jc w:val="left"/>
            </w:pPr>
            <w:r>
              <w:rPr>
                <w:rFonts w:ascii="Arial" w:cs="Arial" w:eastAsia="Arial" w:hAnsi="Arial"/>
                <w:b/>
                <w:bCs/>
                <w:i w:val="false"/>
                <w:iCs w:val="false"/>
                <w:color w:val="595959"/>
                <w:sz w:val="17"/>
                <w:szCs w:val="17"/>
              </w:rPr>
              <w:t xml:space="preserve">— Director, Mid-market analytics firm [Win — R01]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“They brought in their head of product for a two-hour technical session when we had specific architecture questions. That meeting changed the trajectory of the evaluation. It was exactly the right thing to do.”</w:t>
            </w:r>
          </w:p>
          <w:p>
            <w:pPr>
              <w:spacing w:after="80" w:before="0"/>
              <w:jc w:val="left"/>
            </w:pPr>
            <w:r>
              <w:rPr>
                <w:rFonts w:ascii="Arial" w:cs="Arial" w:eastAsia="Arial" w:hAnsi="Arial"/>
                <w:b/>
                <w:bCs/>
                <w:i w:val="false"/>
                <w:iCs w:val="false"/>
                <w:color w:val="595959"/>
                <w:sz w:val="17"/>
                <w:szCs w:val="17"/>
              </w:rPr>
              <w:t xml:space="preserve">— VP, Healthcare system [Win — R11]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“After we sent the detailed requirements document, it took eleven days to get a substantive response. One of the other vendors had done a site visit by then. We didn’t move on because of the delay, but it changed how seriously we took them.”</w:t>
            </w:r>
          </w:p>
          <w:p>
            <w:pPr>
              <w:spacing w:after="80" w:before="0"/>
              <w:jc w:val="left"/>
            </w:pPr>
            <w:r>
              <w:rPr>
                <w:rFonts w:ascii="Arial" w:cs="Arial" w:eastAsia="Arial" w:hAnsi="Arial"/>
                <w:b/>
                <w:bCs/>
                <w:i w:val="false"/>
                <w:iCs w:val="false"/>
                <w:color w:val="595959"/>
                <w:sz w:val="17"/>
                <w:szCs w:val="17"/>
              </w:rPr>
              <w:t xml:space="preserve">— VP, Technology company [Loss — R02]</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“Every call felt like they were reading from a script. I kept asking industry-specific questions and they kept giving me product-feature answers. I need a vendor who speaks my business, not their product.”</w:t>
            </w:r>
          </w:p>
          <w:p>
            <w:pPr>
              <w:spacing w:after="80" w:before="0"/>
              <w:jc w:val="left"/>
            </w:pPr>
            <w:r>
              <w:rPr>
                <w:rFonts w:ascii="Arial" w:cs="Arial" w:eastAsia="Arial" w:hAnsi="Arial"/>
                <w:b/>
                <w:bCs/>
                <w:i w:val="false"/>
                <w:iCs w:val="false"/>
                <w:color w:val="595959"/>
                <w:sz w:val="17"/>
                <w:szCs w:val="17"/>
              </w:rPr>
              <w:t xml:space="preserve">— C-Suite, Venture-backed technology firm [Loss — R07]</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“We had four different contacts across the evaluation and they clearly didn’t talk to each other. I explained our core requirements three separate times. That’s an organizational problem, not a people problem.”</w:t>
            </w:r>
          </w:p>
          <w:p>
            <w:pPr>
              <w:spacing w:after="80" w:before="0"/>
              <w:jc w:val="left"/>
            </w:pPr>
            <w:r>
              <w:rPr>
                <w:rFonts w:ascii="Arial" w:cs="Arial" w:eastAsia="Arial" w:hAnsi="Arial"/>
                <w:b/>
                <w:bCs/>
                <w:i w:val="false"/>
                <w:iCs w:val="false"/>
                <w:color w:val="595959"/>
                <w:sz w:val="17"/>
                <w:szCs w:val="17"/>
              </w:rPr>
              <w:t xml:space="preserve">— Manager, Logistics company [Loss — R10]</w:t>
            </w:r>
          </w:p>
        </w:tc>
      </w:tr>
    </w:tbl>
    <w:p>
      <w:pPr>
        <w:spacing w:after="0" w:before="100"/>
      </w:pPr>
      <w:r>
        <w:t xml:space="preserve"/>
      </w:r>
    </w:p>
    <w:p>
      <w:pPr>
        <w:spacing w:after="60" w:before="160"/>
      </w:pPr>
      <w:r>
        <w:rPr>
          <w:rFonts w:ascii="Arial" w:cs="Arial" w:eastAsia="Arial" w:hAnsi="Arial"/>
          <w:b/>
          <w:bCs/>
          <w:i w:val="false"/>
          <w:iCs w:val="false"/>
          <w:color w:val="2E75B6"/>
          <w:sz w:val="20"/>
          <w:szCs w:val="20"/>
        </w:rPr>
        <w:t xml:space="preserve">Responsiveness as a proxy for execution quality</w:t>
      </w:r>
    </w:p>
    <w:p>
      <w:pPr>
        <w:spacing w:after="90" w:before="0"/>
        <w:jc w:val="left"/>
      </w:pPr>
      <w:r>
        <w:rPr>
          <w:rFonts w:ascii="Arial" w:cs="Arial" w:eastAsia="Arial" w:hAnsi="Arial"/>
          <w:b w:val="false"/>
          <w:bCs w:val="false"/>
          <w:i w:val="false"/>
          <w:iCs w:val="false"/>
          <w:color w:val="404040"/>
          <w:sz w:val="20"/>
          <w:szCs w:val="20"/>
        </w:rPr>
        <w:t xml:space="preserve">Multiple loss respondents cited delayed or inadequate follow-up as an early signal that shaped the entire evaluation. The implication is that follow-up speed and quality functions as a capability proxy — buyers reason that a team that is slow to respond during a competitive evaluation will be slow to respond during implementation. Responsiveness is not a soft metric; it is a signal of organizational capability that buyers actively evaluate.</w:t>
      </w:r>
    </w:p>
    <w:p>
      <w:pPr>
        <w:spacing w:after="90" w:before="0"/>
        <w:jc w:val="left"/>
      </w:pPr>
      <w:r>
        <w:rPr>
          <w:rFonts w:ascii="Arial" w:cs="Arial" w:eastAsia="Arial" w:hAnsi="Arial"/>
          <w:b w:val="false"/>
          <w:bCs w:val="false"/>
          <w:i w:val="false"/>
          <w:iCs w:val="false"/>
          <w:color w:val="404040"/>
          <w:sz w:val="20"/>
          <w:szCs w:val="20"/>
        </w:rPr>
        <w:t xml:space="preserve">Win respondents, by contrast, frequently cited specific moments where the team went beyond the expected — bringing in the right senior resource, producing a tailored proposal, or demonstrating knowledge of the buyer’s context. These moments were described not as impressive extras but as the baseline of a genuine partner relationship.</w:t>
      </w:r>
    </w:p>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4 — Evaluation &amp; Pilot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4  </w:t>
            </w:r>
            <w:r>
              <w:rPr>
                <w:rFonts w:ascii="Arial" w:cs="Arial" w:eastAsia="Arial" w:hAnsi="Arial"/>
                <w:b/>
                <w:bCs/>
                <w:i w:val="false"/>
                <w:iCs w:val="false"/>
                <w:color w:val="1F4E79"/>
                <w:sz w:val="21"/>
                <w:szCs w:val="21"/>
              </w:rPr>
              <w:t xml:space="preserve">POC completion is the single strongest structural predictor of a closed win</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100% of respondents who completed a well-run pilot chose wholesome.tech</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The relationship between pilot completion and outcome was the most statistically striking pattern in the entire dataset. Every respondent who completed a structured proof-of-concept with defined success criteria chose wholesome.tech. No respondent who completed a pilot chose a competitor. Conversely, six of nine loss accounts either did not conduct a pilot or conducted one that surfaced undisclosed gaps — particularly in integration performance.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POC was two weeks, tight scope, clear success criteria on both sides. They hit every one. It wasn’t even close. By day ten I’d already drafted the internal recommendation.”</w:t>
            </w:r>
          </w:p>
          <w:p>
            <w:pPr>
              <w:spacing w:after="80" w:before="0"/>
              <w:jc w:val="left"/>
            </w:pPr>
            <w:r>
              <w:rPr>
                <w:rFonts w:ascii="Arial" w:cs="Arial" w:eastAsia="Arial" w:hAnsi="Arial"/>
                <w:b/>
                <w:bCs/>
                <w:i w:val="false"/>
                <w:iCs w:val="false"/>
                <w:color w:val="595959"/>
                <w:sz w:val="17"/>
                <w:szCs w:val="17"/>
              </w:rPr>
              <w:t xml:space="preserve">— Director, Mid-market analytics firm [Win — R01]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“What surprised me was that the product was actually better than the demo. I’ve done dozens of evaluations and the demo is always better than the reality. Here it was reversed. That created trust that money can’t buy.”</w:t>
            </w:r>
          </w:p>
          <w:p>
            <w:pPr>
              <w:spacing w:after="80" w:before="0"/>
              <w:jc w:val="left"/>
            </w:pPr>
            <w:r>
              <w:rPr>
                <w:rFonts w:ascii="Arial" w:cs="Arial" w:eastAsia="Arial" w:hAnsi="Arial"/>
                <w:b/>
                <w:bCs/>
                <w:i w:val="false"/>
                <w:iCs w:val="false"/>
                <w:color w:val="595959"/>
                <w:sz w:val="17"/>
                <w:szCs w:val="17"/>
              </w:rPr>
              <w:t xml:space="preserve">— C-Suite, Professional advisory firm [Win — R13]</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implementation team that ran the POC was genuinely excellent — more technically fluent than the sales team and better at understanding our environment. If I could work with those people on day one of deployment, I’d have zero concerns.”</w:t>
            </w:r>
          </w:p>
          <w:p>
            <w:pPr>
              <w:spacing w:after="80" w:before="0"/>
              <w:jc w:val="left"/>
            </w:pPr>
            <w:r>
              <w:rPr>
                <w:rFonts w:ascii="Arial" w:cs="Arial" w:eastAsia="Arial" w:hAnsi="Arial"/>
                <w:b/>
                <w:bCs/>
                <w:i w:val="false"/>
                <w:iCs w:val="false"/>
                <w:color w:val="595959"/>
                <w:sz w:val="17"/>
                <w:szCs w:val="17"/>
              </w:rPr>
              <w:t xml:space="preserve">— VP, Healthcare system [Win — R11]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“They quoted us eight weeks for a proper pilot. We had sixty days to make a decision. The math didn’t work. If they’d offered a two-week scoped pilot, we would have taken it.”</w:t>
            </w:r>
          </w:p>
          <w:p>
            <w:pPr>
              <w:spacing w:after="80" w:before="0"/>
              <w:jc w:val="left"/>
            </w:pPr>
            <w:r>
              <w:rPr>
                <w:rFonts w:ascii="Arial" w:cs="Arial" w:eastAsia="Arial" w:hAnsi="Arial"/>
                <w:b/>
                <w:bCs/>
                <w:i w:val="false"/>
                <w:iCs w:val="false"/>
                <w:color w:val="595959"/>
                <w:sz w:val="17"/>
                <w:szCs w:val="17"/>
              </w:rPr>
              <w:t xml:space="preserve">— Manager, Retail group [Loss — R04]</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POC surfaced two integration gaps we hadn’t known about from the demo. We’d asked specifically about those systems in our requirements document. The sales team had said ‘yes’ without fully verifying. That broke the relationship.”</w:t>
            </w:r>
          </w:p>
          <w:p>
            <w:pPr>
              <w:spacing w:after="80" w:before="0"/>
              <w:jc w:val="left"/>
            </w:pPr>
            <w:r>
              <w:rPr>
                <w:rFonts w:ascii="Arial" w:cs="Arial" w:eastAsia="Arial" w:hAnsi="Arial"/>
                <w:b/>
                <w:bCs/>
                <w:i w:val="false"/>
                <w:iCs w:val="false"/>
                <w:color w:val="595959"/>
                <w:sz w:val="17"/>
                <w:szCs w:val="17"/>
              </w:rPr>
              <w:t xml:space="preserve">— VP, Biotechnology firm [Loss — R05]</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“Our IT team flagged issues during the technical review that the sales team said would be addressed in the next product release. We were being asked to buy on a roadmap promise, not a reality. That’s too much risk for us.”</w:t>
            </w:r>
          </w:p>
          <w:p>
            <w:pPr>
              <w:spacing w:after="80" w:before="0"/>
              <w:jc w:val="left"/>
            </w:pPr>
            <w:r>
              <w:rPr>
                <w:rFonts w:ascii="Arial" w:cs="Arial" w:eastAsia="Arial" w:hAnsi="Arial"/>
                <w:b/>
                <w:bCs/>
                <w:i w:val="false"/>
                <w:iCs w:val="false"/>
                <w:color w:val="595959"/>
                <w:sz w:val="17"/>
                <w:szCs w:val="17"/>
              </w:rPr>
              <w:t xml:space="preserve">— Director, Media company [Loss — R12]</w:t>
            </w:r>
          </w:p>
        </w:tc>
      </w:tr>
    </w:tbl>
    <w:p>
      <w:pPr>
        <w:spacing w:after="0" w:before="100"/>
      </w:pPr>
      <w:r>
        <w:t xml:space="preserve"/>
      </w:r>
    </w:p>
    <w:p>
      <w:pPr>
        <w:spacing w:after="60" w:before="160"/>
      </w:pPr>
      <w:r>
        <w:rPr>
          <w:rFonts w:ascii="Arial" w:cs="Arial" w:eastAsia="Arial" w:hAnsi="Arial"/>
          <w:b/>
          <w:bCs/>
          <w:i w:val="false"/>
          <w:iCs w:val="false"/>
          <w:color w:val="2E75B6"/>
          <w:sz w:val="20"/>
          <w:szCs w:val="20"/>
        </w:rPr>
        <w:t xml:space="preserve">The pilot access problem: time and scope</w:t>
      </w:r>
    </w:p>
    <w:p>
      <w:pPr>
        <w:spacing w:after="90" w:before="0"/>
        <w:jc w:val="left"/>
      </w:pPr>
      <w:r>
        <w:rPr>
          <w:rFonts w:ascii="Arial" w:cs="Arial" w:eastAsia="Arial" w:hAnsi="Arial"/>
          <w:b w:val="false"/>
          <w:bCs w:val="false"/>
          <w:i w:val="false"/>
          <w:iCs w:val="false"/>
          <w:color w:val="404040"/>
          <w:sz w:val="20"/>
          <w:szCs w:val="20"/>
        </w:rPr>
        <w:t xml:space="preserve">The pattern among loss accounts that did not complete a pilot reveals two distinct barriers: timeline compression (buyers with 30–60 day mandates could not accommodate an eight-week pilot) and scope uncertainty (buyers were unsure what a pilot would involve and defaulted to a longer demo-and-proposal path). Both barriers are solvable through sales process design rather than product changes.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14"/>
              <w:bottom w:val="none" w:color="FFFFFF" w:sz="0"/>
              <w:right w:val="none" w:color="FFFFFF" w:sz="0"/>
            </w:tcBorders>
            <w:shd w:fill="E2EFDA" w:val="clear"/>
            <w:tcMar>
              <w:top w:type="dxa" w:w="100"/>
              <w:left w:type="dxa" w:w="180"/>
              <w:bottom w:type="dxa" w:w="100"/>
              <w:right w:type="dxa" w:w="180"/>
            </w:tcMar>
          </w:tcPr>
          <w:p>
            <w:pPr>
              <w:spacing w:after="50" w:before="0"/>
              <w:jc w:val="left"/>
            </w:pPr>
            <w:r>
              <w:rPr>
                <w:rFonts w:ascii="Arial" w:cs="Arial" w:eastAsia="Arial" w:hAnsi="Arial"/>
                <w:b/>
                <w:bCs/>
                <w:i w:val="false"/>
                <w:iCs w:val="false"/>
                <w:color w:val="375623"/>
                <w:sz w:val="19"/>
                <w:szCs w:val="19"/>
              </w:rPr>
              <w:t xml:space="preserve">Recommended pilot framework</w:t>
            </w:r>
          </w:p>
          <w:p>
            <w:pPr>
              <w:spacing w:after="80" w:before="0"/>
              <w:jc w:val="left"/>
            </w:pPr>
            <w:r>
              <w:rPr>
                <w:rFonts w:ascii="Arial" w:cs="Arial" w:eastAsia="Arial" w:hAnsi="Arial"/>
                <w:b w:val="false"/>
                <w:bCs w:val="false"/>
                <w:i/>
                <w:iCs/>
                <w:color w:val="375623"/>
                <w:sz w:val="19"/>
                <w:szCs w:val="19"/>
              </w:rPr>
              <w:t xml:space="preserve">Design a “Rapid Value Sprint”: a 10-business-day, pre-scoped pilot with standardized success criteria templates organized by use case. Lower the onboarding friction enough that any buyer with a 30-day decision timeline can participate. This single change would likely shift 3–4 additional deals per quarter from loss to win without any product modification.</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5 — Must-Have Requirements &amp; Decision Factors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5  </w:t>
            </w:r>
            <w:r>
              <w:rPr>
                <w:rFonts w:ascii="Arial" w:cs="Arial" w:eastAsia="Arial" w:hAnsi="Arial"/>
                <w:b/>
                <w:bCs/>
                <w:i w:val="false"/>
                <w:iCs w:val="false"/>
                <w:color w:val="1F4E79"/>
                <w:sz w:val="21"/>
                <w:szCs w:val="21"/>
              </w:rPr>
              <w:t xml:space="preserve">Integration capability is the most frequently cited gap and the most common path to loss</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Native integrations and SOC 2 certification are table-stakes requirements, not differentiators</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Across all 15 interviews, no theme appeared more consistently than integration requirements. Native integration with existing systems was cited as a must-have by 47% of survey respondents — and surfaced in nearly every qualitative interview as either a source of concern (wins) or a decisive disqualifier (losses). SOC 2 Type II certification was similarly universal as a gate requirement, appearing as a hard blocker in three loss evaluations where the expected timeline for certification was not aligned with the buyer’s risk management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“Our must-haves were SOC 2 Type II, Salesforce integration, and flexible API access. They checked all three before we got to the demo. That cleared the gate. Everything after that was about preference, not qualification.”</w:t>
            </w:r>
          </w:p>
          <w:p>
            <w:pPr>
              <w:spacing w:after="80" w:before="0"/>
              <w:jc w:val="left"/>
            </w:pPr>
            <w:r>
              <w:rPr>
                <w:rFonts w:ascii="Arial" w:cs="Arial" w:eastAsia="Arial" w:hAnsi="Arial"/>
                <w:b/>
                <w:bCs/>
                <w:i w:val="false"/>
                <w:iCs w:val="false"/>
                <w:color w:val="595959"/>
                <w:sz w:val="17"/>
                <w:szCs w:val="17"/>
              </w:rPr>
              <w:t xml:space="preserve">— Director, Operations firm [Win — R06]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“We had a hard requirement for a native Workday integration. When I asked directly, the answer was ‘on the roadmap.’ That phrase has ended more evaluations in my career than I can count. It ended this one.”</w:t>
            </w:r>
          </w:p>
          <w:p>
            <w:pPr>
              <w:spacing w:after="80" w:before="0"/>
              <w:jc w:val="left"/>
            </w:pPr>
            <w:r>
              <w:rPr>
                <w:rFonts w:ascii="Arial" w:cs="Arial" w:eastAsia="Arial" w:hAnsi="Arial"/>
                <w:b/>
                <w:bCs/>
                <w:i w:val="false"/>
                <w:iCs w:val="false"/>
                <w:color w:val="595959"/>
                <w:sz w:val="17"/>
                <w:szCs w:val="17"/>
              </w:rPr>
              <w:t xml:space="preserve">— VP, Enterprise corporation [Loss — R08]</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“SOC 2 was non-negotiable for our legal and compliance team. They came back with a FedRAMP timeline. That’s a different standard. The conversation ended there.”</w:t>
            </w:r>
          </w:p>
          <w:p>
            <w:pPr>
              <w:spacing w:after="80" w:before="0"/>
              <w:jc w:val="left"/>
            </w:pPr>
            <w:r>
              <w:rPr>
                <w:rFonts w:ascii="Arial" w:cs="Arial" w:eastAsia="Arial" w:hAnsi="Arial"/>
                <w:b/>
                <w:bCs/>
                <w:i w:val="false"/>
                <w:iCs w:val="false"/>
                <w:color w:val="595959"/>
                <w:sz w:val="17"/>
                <w:szCs w:val="17"/>
              </w:rPr>
              <w:t xml:space="preserve">— Director, Capital management firm [Loss — R15]</w:t>
            </w:r>
          </w:p>
        </w:tc>
      </w:tr>
    </w:tbl>
    <w:p>
      <w:pPr>
        <w:spacing w:after="0" w:before="100"/>
      </w:pPr>
      <w:r>
        <w:t xml:space="preserve"/>
      </w:r>
    </w:p>
    <w:p>
      <w:pPr>
        <w:spacing w:after="60" w:before="160"/>
      </w:pPr>
      <w:r>
        <w:rPr>
          <w:rFonts w:ascii="Arial" w:cs="Arial" w:eastAsia="Arial" w:hAnsi="Arial"/>
          <w:b/>
          <w:bCs/>
          <w:i w:val="false"/>
          <w:iCs w:val="false"/>
          <w:color w:val="2E75B6"/>
          <w:sz w:val="20"/>
          <w:szCs w:val="20"/>
        </w:rPr>
        <w:t xml:space="preserve">Decision factor hierarchy: what wins and what blocks</w:t>
      </w:r>
    </w:p>
    <w:p>
      <w:pPr>
        <w:spacing w:after="90" w:before="0"/>
        <w:jc w:val="left"/>
      </w:pPr>
      <w:r>
        <w:rPr>
          <w:rFonts w:ascii="Arial" w:cs="Arial" w:eastAsia="Arial" w:hAnsi="Arial"/>
          <w:b w:val="false"/>
          <w:bCs w:val="false"/>
          <w:i w:val="false"/>
          <w:iCs w:val="false"/>
          <w:color w:val="404040"/>
          <w:sz w:val="20"/>
          <w:szCs w:val="20"/>
        </w:rPr>
        <w:t xml:space="preserve">The interviews clarify a hierarchy of decision factors: compliance and integration requirements function as gate criteria — mandatory thresholds that disqualify vendors who fail them regardless of other strengths. Product capabilities, sales team quality, and ease of implementation function as preference criteria — the factors that determine which qualified vendor wins. Price functions as a floor criterion: being priced out of consideration is a loss driver, but being the lowest-priced option is not a win driver.</w:t>
      </w:r>
    </w:p>
    <w:p>
      <w:pPr>
        <w:spacing w:after="90" w:before="0"/>
        <w:jc w:val="left"/>
      </w:pPr>
      <w:r>
        <w:rPr>
          <w:rFonts w:ascii="Arial" w:cs="Arial" w:eastAsia="Arial" w:hAnsi="Arial"/>
          <w:b w:val="false"/>
          <w:bCs w:val="false"/>
          <w:i w:val="false"/>
          <w:iCs w:val="false"/>
          <w:color w:val="404040"/>
          <w:sz w:val="20"/>
          <w:szCs w:val="20"/>
        </w:rPr>
        <w:t xml:space="preserve">This hierarchy has direct implications for how the sales team should sequence conversations. Surfacing integration and compliance coverage early — before investing in demo depth — prevents wasted cycles on disqualified opportunities and accelerates momentum in qualified ones.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80"/>
        <w:gridCol w:w="2680"/>
        <w:gridCol w:w="2500"/>
        <w:gridCol w:w="2500"/>
      </w:tblGrid>
      <w:tr>
        <w:tc>
          <w:tcPr>
            <w:tcW w:type="dxa" w:w="1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Factor Type</w:t>
            </w:r>
          </w:p>
        </w:tc>
        <w:tc>
          <w:tcPr>
            <w:tcW w:type="dxa" w:w="2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Examples</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Win Pattern</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Loss Pattern</w:t>
            </w:r>
          </w:p>
        </w:tc>
      </w:tr>
      <w:tr>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Gate (must-have)</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SOC 2, native integrations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Confirmed early, cleared quickly</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Often surfaced late; caused late-stage loss</w:t>
            </w:r>
          </w:p>
        </w:tc>
      </w:tr>
      <w:tr>
        <w:tc>
          <w:tcPr>
            <w:tcW w:type="dxa" w:w="1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Preference (differentiator)</w:t>
            </w:r>
          </w:p>
        </w:tc>
        <w:tc>
          <w:tcPr>
            <w:tcW w:type="dxa" w:w="26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Product capabilities, team quality</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Consistently praised in win accounts</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Rated lower but not the primary loss reason</w:t>
            </w:r>
          </w:p>
        </w:tc>
      </w:tr>
      <w:tr>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Floor (threshold)</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Price, contract terms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Viewed as fair relative to value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Primary loss factor when model doesn’t fit budget process</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6 — Pricing &amp; Commercial Terms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6  </w:t>
            </w:r>
            <w:r>
              <w:rPr>
                <w:rFonts w:ascii="Arial" w:cs="Arial" w:eastAsia="Arial" w:hAnsi="Arial"/>
                <w:b/>
                <w:bCs/>
                <w:i w:val="false"/>
                <w:iCs w:val="false"/>
                <w:color w:val="1F4E79"/>
                <w:sz w:val="21"/>
                <w:szCs w:val="21"/>
              </w:rPr>
              <w:t xml:space="preserve">The pricing model is a bigger barrier than the price level</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Usage-based pricing creates budget unpredictability that CFO approval processes cannot accommodate</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Pricing was a decisive factor in three of nine losses — but in no case was the objection primarily to the absolute price level. The consistent objection was to the pricing model: usage-based or variable structures that buyers could not confidently forecast for budget approval. At companies under $50M in revenue with lean finance functions, a contract that cannot be expressed as a fixed line item is functionally unapproven regardless of its potential ROI.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pricing was higher than two alternatives we looked at. But the value case was clear, we had an executive sponsor who trusted the investment, and the team made the commercial process easy. We signed within three weeks of the pilot completion.”</w:t>
            </w:r>
          </w:p>
          <w:p>
            <w:pPr>
              <w:spacing w:after="80" w:before="0"/>
              <w:jc w:val="left"/>
            </w:pPr>
            <w:r>
              <w:rPr>
                <w:rFonts w:ascii="Arial" w:cs="Arial" w:eastAsia="Arial" w:hAnsi="Arial"/>
                <w:b/>
                <w:bCs/>
                <w:i w:val="false"/>
                <w:iCs w:val="false"/>
                <w:color w:val="595959"/>
                <w:sz w:val="17"/>
                <w:szCs w:val="17"/>
              </w:rPr>
              <w:t xml:space="preserve">— C-Suite, Capital management group [Win — R03]</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“They were flexible on the contract term without us having to ask more than once. Annual with a ninety-day termination clause. That gave our CFO the confidence to approve it. The flexibility was worth more than a price concession.”</w:t>
            </w:r>
          </w:p>
          <w:p>
            <w:pPr>
              <w:spacing w:after="80" w:before="0"/>
              <w:jc w:val="left"/>
            </w:pPr>
            <w:r>
              <w:rPr>
                <w:rFonts w:ascii="Arial" w:cs="Arial" w:eastAsia="Arial" w:hAnsi="Arial"/>
                <w:b/>
                <w:bCs/>
                <w:i w:val="false"/>
                <w:iCs w:val="false"/>
                <w:color w:val="595959"/>
                <w:sz w:val="17"/>
                <w:szCs w:val="17"/>
              </w:rPr>
              <w:t xml:space="preserve">— Director, Mid-market analytics firm [Win — R01]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price itself was reasonable. The model was the problem. Usage-based means I cannot forecast what I will owe next quarter. My CFO will not approve a contract she cannot model. That is not a negotiation — it is a structural incompatibility.”</w:t>
            </w:r>
          </w:p>
          <w:p>
            <w:pPr>
              <w:spacing w:after="80" w:before="0"/>
              <w:jc w:val="left"/>
            </w:pPr>
            <w:r>
              <w:rPr>
                <w:rFonts w:ascii="Arial" w:cs="Arial" w:eastAsia="Arial" w:hAnsi="Arial"/>
                <w:b/>
                <w:bCs/>
                <w:i w:val="false"/>
                <w:iCs w:val="false"/>
                <w:color w:val="595959"/>
                <w:sz w:val="17"/>
                <w:szCs w:val="17"/>
              </w:rPr>
              <w:t xml:space="preserve">— Manager, Logistics firm [Loss — R10]</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“We were twenty percent apart on the annual price and they would not move. The competitor we selected closed the gap without being asked. It was not about the money — it was about the signal. If you won’t negotiate on price, what does that say about how you will negotiate on support issues?”</w:t>
            </w:r>
          </w:p>
          <w:p>
            <w:pPr>
              <w:spacing w:after="80" w:before="0"/>
              <w:jc w:val="left"/>
            </w:pPr>
            <w:r>
              <w:rPr>
                <w:rFonts w:ascii="Arial" w:cs="Arial" w:eastAsia="Arial" w:hAnsi="Arial"/>
                <w:b/>
                <w:bCs/>
                <w:i w:val="false"/>
                <w:iCs w:val="false"/>
                <w:color w:val="595959"/>
                <w:sz w:val="17"/>
                <w:szCs w:val="17"/>
              </w:rPr>
              <w:t xml:space="preserve">— Director, Media company [Loss — R12]</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legal redline process took four weeks. By the time we had a clean contract in front of legal, we had already signed with another vendor who moved faster. The product was competitive. The legal process lost the deal.”</w:t>
            </w:r>
          </w:p>
          <w:p>
            <w:pPr>
              <w:spacing w:after="80" w:before="0"/>
              <w:jc w:val="left"/>
            </w:pPr>
            <w:r>
              <w:rPr>
                <w:rFonts w:ascii="Arial" w:cs="Arial" w:eastAsia="Arial" w:hAnsi="Arial"/>
                <w:b/>
                <w:bCs/>
                <w:i w:val="false"/>
                <w:iCs w:val="false"/>
                <w:color w:val="595959"/>
                <w:sz w:val="17"/>
                <w:szCs w:val="17"/>
              </w:rPr>
              <w:t xml:space="preserve">— VP, Enterprise corporation [Loss — R08]</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Win respondents who mentioned pricing did so in the context of value justification — explaining why the price was worth it relative to alternatives, not why it was low. The pattern suggests that price competitiveness is necessary but not sufficient: what wins deals is a combination of value clarity, model flexibility, and commercial process speed.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5C00" w:sz="14"/>
              <w:bottom w:val="none" w:color="FFFFFF" w:sz="0"/>
              <w:right w:val="none" w:color="FFFFFF" w:sz="0"/>
            </w:tcBorders>
            <w:shd w:fill="FFF2CC" w:val="clear"/>
            <w:tcMar>
              <w:top w:type="dxa" w:w="100"/>
              <w:left w:type="dxa" w:w="180"/>
              <w:bottom w:type="dxa" w:w="100"/>
              <w:right w:type="dxa" w:w="180"/>
            </w:tcMar>
          </w:tcPr>
          <w:p>
            <w:pPr>
              <w:spacing w:after="50" w:before="0"/>
              <w:jc w:val="left"/>
            </w:pPr>
            <w:r>
              <w:rPr>
                <w:rFonts w:ascii="Arial" w:cs="Arial" w:eastAsia="Arial" w:hAnsi="Arial"/>
                <w:b/>
                <w:bCs/>
                <w:i w:val="false"/>
                <w:iCs w:val="false"/>
                <w:color w:val="C65C00"/>
                <w:sz w:val="19"/>
                <w:szCs w:val="19"/>
              </w:rPr>
              <w:t xml:space="preserve">Two commercial changes with the highest loss-prevention potential</w:t>
            </w:r>
          </w:p>
          <w:p>
            <w:pPr>
              <w:spacing w:after="80" w:before="0"/>
              <w:jc w:val="left"/>
            </w:pPr>
            <w:r>
              <w:rPr>
                <w:rFonts w:ascii="Arial" w:cs="Arial" w:eastAsia="Arial" w:hAnsi="Arial"/>
                <w:b w:val="false"/>
                <w:bCs w:val="false"/>
                <w:i/>
                <w:iCs/>
                <w:color w:val="C65C00"/>
                <w:sz w:val="19"/>
                <w:szCs w:val="19"/>
              </w:rPr>
              <w:t xml:space="preserve">(1) Introduce a fixed-fee pricing tier for organizations under 100 employees or $25M in revenue. Three loss accounts would likely have converted with predictable pricing. (2) Set a 10-business-day standard for clean contract delivery from term sheet. One enterprise loss was directly attributable to legal timeline, not product or price.</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7 — Sales Process &amp; Team Assessment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7  </w:t>
            </w:r>
            <w:r>
              <w:rPr>
                <w:rFonts w:ascii="Arial" w:cs="Arial" w:eastAsia="Arial" w:hAnsi="Arial"/>
                <w:b/>
                <w:bCs/>
                <w:i w:val="false"/>
                <w:iCs w:val="false"/>
                <w:color w:val="1F4E79"/>
                <w:sz w:val="21"/>
                <w:szCs w:val="21"/>
              </w:rPr>
              <w:t xml:space="preserve">The demo is universally praised; the process after the demo is where deals are won and lost</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Loss respondents frequently said: “great demo, then everything fell apart”</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The most revealing pattern in Section 7 was not a division between win and loss respondents but a consistent observation across both cohorts: the demonstration quality is high and is broadly recognized. Loss respondents praised the demo at roughly the same rate as win respondents. What diverged sharply was the process that followed the demo: follow-up quality, proposal relevance, timeline alignment, and the ability to maintain momentum through a multi-stakeholder buying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“They asked on the first call how we make decisions internally and what our approval timeline looked like. Then they built their entire process around our buying cycle. I have never had a vendor do that. It should be the default.”</w:t>
            </w:r>
          </w:p>
          <w:p>
            <w:pPr>
              <w:spacing w:after="80" w:before="0"/>
              <w:jc w:val="left"/>
            </w:pPr>
            <w:r>
              <w:rPr>
                <w:rFonts w:ascii="Arial" w:cs="Arial" w:eastAsia="Arial" w:hAnsi="Arial"/>
                <w:b/>
                <w:bCs/>
                <w:i w:val="false"/>
                <w:iCs w:val="false"/>
                <w:color w:val="595959"/>
                <w:sz w:val="17"/>
                <w:szCs w:val="17"/>
              </w:rPr>
              <w:t xml:space="preserve">— C-Suite, Professional advisory firm [Win — R13]</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sales rep was senior enough to speak my language, humble enough to loop in technical resources when she didn’t have the answer, and fast enough to keep pace with our evaluation. That combination is rare.”</w:t>
            </w:r>
          </w:p>
          <w:p>
            <w:pPr>
              <w:spacing w:after="80" w:before="0"/>
              <w:jc w:val="left"/>
            </w:pPr>
            <w:r>
              <w:rPr>
                <w:rFonts w:ascii="Arial" w:cs="Arial" w:eastAsia="Arial" w:hAnsi="Arial"/>
                <w:b/>
                <w:bCs/>
                <w:i w:val="false"/>
                <w:iCs w:val="false"/>
                <w:color w:val="595959"/>
                <w:sz w:val="17"/>
                <w:szCs w:val="17"/>
              </w:rPr>
              <w:t xml:space="preserve">— VP, Healthcare system [Win — R11]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proposal was specific to us. Our use case, our industry, our scale. Not a template with our name in the header. That told me they’d been listening.”</w:t>
            </w:r>
          </w:p>
          <w:p>
            <w:pPr>
              <w:spacing w:after="80" w:before="0"/>
              <w:jc w:val="left"/>
            </w:pPr>
            <w:r>
              <w:rPr>
                <w:rFonts w:ascii="Arial" w:cs="Arial" w:eastAsia="Arial" w:hAnsi="Arial"/>
                <w:b/>
                <w:bCs/>
                <w:i w:val="false"/>
                <w:iCs w:val="false"/>
                <w:color w:val="595959"/>
                <w:sz w:val="17"/>
                <w:szCs w:val="17"/>
              </w:rPr>
              <w:t xml:space="preserve">— Director, Operations firm [Win — R06]</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demo was excellent. Honestly, eight out of ten. But after the demo, the follow-up was slow, the commercial proposal was generic, and I got the sense we were not a priority account. The demo raised expectations that the rest of the process didn’t meet.”</w:t>
            </w:r>
          </w:p>
          <w:p>
            <w:pPr>
              <w:spacing w:after="80" w:before="0"/>
              <w:jc w:val="left"/>
            </w:pPr>
            <w:r>
              <w:rPr>
                <w:rFonts w:ascii="Arial" w:cs="Arial" w:eastAsia="Arial" w:hAnsi="Arial"/>
                <w:b/>
                <w:bCs/>
                <w:i w:val="false"/>
                <w:iCs w:val="false"/>
                <w:color w:val="595959"/>
                <w:sz w:val="17"/>
                <w:szCs w:val="17"/>
              </w:rPr>
              <w:t xml:space="preserve">— VP, Technology company [Loss — R02]</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“There were three different handoffs in the first thirty days. Every time someone new picked up the account, we started from the beginning. By the third time I was explaining our use case, I had already mentally moved to the next vendor.”</w:t>
            </w:r>
          </w:p>
          <w:p>
            <w:pPr>
              <w:spacing w:after="80" w:before="0"/>
              <w:jc w:val="left"/>
            </w:pPr>
            <w:r>
              <w:rPr>
                <w:rFonts w:ascii="Arial" w:cs="Arial" w:eastAsia="Arial" w:hAnsi="Arial"/>
                <w:b/>
                <w:bCs/>
                <w:i w:val="false"/>
                <w:iCs w:val="false"/>
                <w:color w:val="595959"/>
                <w:sz w:val="17"/>
                <w:szCs w:val="17"/>
              </w:rPr>
              <w:t xml:space="preserve">— C-Suite, Venture-backed firm [Loss — R07]</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“They kept pushing for an annual commitment when we had been very clear from the first call that we needed to start with a ninety-day pilot. It felt like their quota was driving the process, not our needs.”</w:t>
            </w:r>
          </w:p>
          <w:p>
            <w:pPr>
              <w:spacing w:after="80" w:before="0"/>
              <w:jc w:val="left"/>
            </w:pPr>
            <w:r>
              <w:rPr>
                <w:rFonts w:ascii="Arial" w:cs="Arial" w:eastAsia="Arial" w:hAnsi="Arial"/>
                <w:b/>
                <w:bCs/>
                <w:i w:val="false"/>
                <w:iCs w:val="false"/>
                <w:color w:val="595959"/>
                <w:sz w:val="17"/>
                <w:szCs w:val="17"/>
              </w:rPr>
              <w:t xml:space="preserve">— Manager, Retail group [Loss — R04]</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3500"/>
        <w:gridCol w:w="3500"/>
      </w:tblGrid>
      <w:tr>
        <w:tc>
          <w:tcPr>
            <w:tcW w:type="dxa" w:w="2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Process Element</w:t>
            </w:r>
          </w:p>
        </w:tc>
        <w:tc>
          <w:tcPr>
            <w:tcW w:type="dxa" w:w="3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Win Pattern</w:t>
            </w:r>
          </w:p>
        </w:tc>
        <w:tc>
          <w:tcPr>
            <w:tcW w:type="dxa" w:w="3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Loss Pattern</w:t>
            </w:r>
          </w:p>
        </w:tc>
      </w:tr>
      <w:tr>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Discovery questions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Asked about buyer’s decision process and timeline</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Led with product features and use cases</w:t>
            </w:r>
          </w:p>
        </w:tc>
      </w:tr>
      <w:tr>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Demo quality</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Excellent — consistently praised</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Excellent — also consistently praised</w:t>
            </w:r>
          </w:p>
        </w:tc>
      </w:tr>
      <w:tr>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Follow-up speed</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Same-day or next-morning responses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Multi-day or week-long gaps common</w:t>
            </w:r>
          </w:p>
        </w:tc>
      </w:tr>
      <w:tr>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Proposal quality</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Customized to buyer’s specific context</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Template-based with buyer name inserted</w:t>
            </w:r>
          </w:p>
        </w:tc>
      </w:tr>
      <w:tr>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Account continuity</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Single accountable owner throughout</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Multiple handoffs; repeated re-explanation required</w:t>
            </w:r>
          </w:p>
        </w:tc>
      </w:tr>
      <w:tr>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Commercial posture</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Flexible; led with buyer needs</w:t>
            </w:r>
          </w:p>
        </w:tc>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F4E79"/>
                <w:sz w:val="17"/>
                <w:szCs w:val="17"/>
              </w:rPr>
              <w:t xml:space="preserve">Fixed; led with vendor commercial terms</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8 — Competitive Landscape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100"/>
              <w:right w:type="dxa" w:w="180"/>
            </w:tcMar>
          </w:tcPr>
          <w:p>
            <w:pPr>
              <w:spacing w:after="80" w:before="0"/>
              <w:jc w:val="left"/>
            </w:pPr>
            <w:r>
              <w:rPr>
                <w:rFonts w:ascii="Arial" w:cs="Arial" w:eastAsia="Arial" w:hAnsi="Arial"/>
                <w:b/>
                <w:bCs/>
                <w:i w:val="false"/>
                <w:iCs w:val="false"/>
                <w:color w:val="2E75B6"/>
                <w:sz w:val="21"/>
                <w:szCs w:val="21"/>
              </w:rPr>
              <w:t xml:space="preserve">Finding 8  </w:t>
            </w:r>
            <w:r>
              <w:rPr>
                <w:rFonts w:ascii="Arial" w:cs="Arial" w:eastAsia="Arial" w:hAnsi="Arial"/>
                <w:b/>
                <w:bCs/>
                <w:i w:val="false"/>
                <w:iCs w:val="false"/>
                <w:color w:val="1F4E79"/>
                <w:sz w:val="21"/>
                <w:szCs w:val="21"/>
              </w:rPr>
              <w:t xml:space="preserve">Four competitors claimed nine deals; each won on a distinct basis requiring a distinct response</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Nine lost deals were distributed across four competitors, each winning on a different primary basis. This multi-front competitive profile requires differentiated response strategies by segment rather than a single product or pricing response. No single competitive fix addresses all four displacement vectors.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800"/>
        <w:gridCol w:w="3280"/>
        <w:gridCol w:w="3280"/>
      </w:tblGrid>
      <w:t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7"/>
                <w:szCs w:val="17"/>
              </w:rPr>
              <w:t xml:space="preserve">Competitor</w:t>
            </w:r>
          </w:p>
        </w:tc>
        <w:tc>
          <w:tcPr>
            <w:tcW w:type="dxa" w:w="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7"/>
                <w:szCs w:val="17"/>
              </w:rPr>
              <w:t xml:space="preserve">Deals</w:t>
            </w:r>
          </w:p>
        </w:tc>
        <w:tc>
          <w:tcPr>
            <w:tcW w:type="dxa" w:w="32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7"/>
                <w:szCs w:val="17"/>
              </w:rPr>
              <w:t xml:space="preserve">Primary Win Theme</w:t>
            </w:r>
          </w:p>
        </w:tc>
        <w:tc>
          <w:tcPr>
            <w:tcW w:type="dxa" w:w="32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7"/>
                <w:szCs w:val="17"/>
              </w:rPr>
              <w:t xml:space="preserve">wholesome.tech Gap Exploited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7"/>
                <w:szCs w:val="17"/>
              </w:rPr>
              <w:t xml:space="preserve">Synova Analytics</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404040"/>
                <w:sz w:val="17"/>
                <w:szCs w:val="17"/>
              </w:rPr>
              <w:t xml:space="preserve">3</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Deeper product capabilities in advanced analytics and workflow automation</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Feature gaps in 2–3 specific areas that appeared on daily-use checklists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7"/>
                <w:szCs w:val="17"/>
              </w:rPr>
              <w:t xml:space="preserve">Clearwave</w:t>
            </w:r>
          </w:p>
        </w:tc>
        <w:tc>
          <w:tcPr>
            <w:tcW w:type="dxa" w:w="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404040"/>
                <w:sz w:val="17"/>
                <w:szCs w:val="17"/>
              </w:rPr>
              <w:t xml:space="preserve">3</w:t>
            </w:r>
          </w:p>
        </w:tc>
        <w:tc>
          <w:tcPr>
            <w:tcW w:type="dxa" w:w="32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Price simplicity and flat-fee model accessible to Series A–B companies</w:t>
            </w:r>
          </w:p>
        </w:tc>
        <w:tc>
          <w:tcPr>
            <w:tcW w:type="dxa" w:w="32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Pricing model complexity and absence of a budget-predictable tier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7"/>
                <w:szCs w:val="17"/>
              </w:rPr>
              <w:t xml:space="preserve">Prism Platform</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404040"/>
                <w:sz w:val="17"/>
                <w:szCs w:val="17"/>
              </w:rPr>
              <w:t xml:space="preserve">2</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Pre-built native connector ecosystem (7+ integrations)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Integration breadth: 3 native connectors vs. Prism’s 7+</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7"/>
                <w:szCs w:val="17"/>
              </w:rPr>
              <w:t xml:space="preserve">Velo Enterprise</w:t>
            </w:r>
          </w:p>
        </w:tc>
        <w:tc>
          <w:tcPr>
            <w:tcW w:type="dxa" w:w="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404040"/>
                <w:sz w:val="17"/>
                <w:szCs w:val="17"/>
              </w:rPr>
              <w:t xml:space="preserve">1</w:t>
            </w:r>
          </w:p>
        </w:tc>
        <w:tc>
          <w:tcPr>
            <w:tcW w:type="dxa" w:w="32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20-year brand credibility and enterprise security posture</w:t>
            </w:r>
          </w:p>
        </w:tc>
        <w:tc>
          <w:tcPr>
            <w:tcW w:type="dxa" w:w="32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Perceived stage risk and FedRAMP certification gap</w:t>
            </w:r>
          </w:p>
        </w:tc>
      </w:tr>
    </w:tbl>
    <w:p>
      <w:pPr>
        <w:spacing w:after="0" w:before="120"/>
      </w:pPr>
      <w:r>
        <w:t xml:space="preserve"/>
      </w:r>
    </w:p>
    <w:p>
      <w:pPr>
        <w:spacing w:after="60" w:before="160"/>
      </w:pPr>
      <w:r>
        <w:rPr>
          <w:rFonts w:ascii="Arial" w:cs="Arial" w:eastAsia="Arial" w:hAnsi="Arial"/>
          <w:b/>
          <w:bCs/>
          <w:i w:val="false"/>
          <w:iCs w:val="false"/>
          <w:color w:val="2E75B6"/>
          <w:sz w:val="20"/>
          <w:szCs w:val="20"/>
        </w:rPr>
        <w:t xml:space="preserve">Synova Analytics: the feature-depth threat</w:t>
      </w:r>
    </w:p>
    <w:p>
      <w:pPr>
        <w:spacing w:after="90" w:before="0"/>
        <w:jc w:val="left"/>
      </w:pPr>
      <w:r>
        <w:rPr>
          <w:rFonts w:ascii="Arial" w:cs="Arial" w:eastAsia="Arial" w:hAnsi="Arial"/>
          <w:b w:val="false"/>
          <w:bCs w:val="false"/>
          <w:i w:val="false"/>
          <w:iCs w:val="false"/>
          <w:color w:val="404040"/>
          <w:sz w:val="20"/>
          <w:szCs w:val="20"/>
        </w:rPr>
        <w:t xml:space="preserve">Three loss accounts cited specific product features that Synova offered and wholesome.tech did not. In two of three cases, the missing features were described as daily-use requirements — not nice-to-haves. This suggests a product gap that is concrete and bounded: a feature audit against Synova’s advertised and demonstrated capabilities would likely identify 3–5 specific development targets that would close these deals.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“Synova does two things that wholesome.tech doesn’t do. Both of those two things are on my daily checklist. The decision made itself. It wasn’t close.”</w:t>
            </w:r>
          </w:p>
          <w:p>
            <w:pPr>
              <w:spacing w:after="80" w:before="0"/>
              <w:jc w:val="left"/>
            </w:pPr>
            <w:r>
              <w:rPr>
                <w:rFonts w:ascii="Arial" w:cs="Arial" w:eastAsia="Arial" w:hAnsi="Arial"/>
                <w:b/>
                <w:bCs/>
                <w:i w:val="false"/>
                <w:iCs w:val="false"/>
                <w:color w:val="595959"/>
                <w:sz w:val="17"/>
                <w:szCs w:val="17"/>
              </w:rPr>
              <w:t xml:space="preserve">— VP, Technology company [Loss — R02]</w:t>
            </w:r>
          </w:p>
        </w:tc>
      </w:tr>
    </w:tbl>
    <w:p>
      <w:pPr>
        <w:spacing w:after="0" w:before="80"/>
      </w:pPr>
      <w:r>
        <w:t xml:space="preserve"/>
      </w:r>
    </w:p>
    <w:p>
      <w:pPr>
        <w:spacing w:after="60" w:before="160"/>
      </w:pPr>
      <w:r>
        <w:rPr>
          <w:rFonts w:ascii="Arial" w:cs="Arial" w:eastAsia="Arial" w:hAnsi="Arial"/>
          <w:b/>
          <w:bCs/>
          <w:i w:val="false"/>
          <w:iCs w:val="false"/>
          <w:color w:val="2E75B6"/>
          <w:sz w:val="20"/>
          <w:szCs w:val="20"/>
        </w:rPr>
        <w:t xml:space="preserve">Clearwave: the price simplicity threat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“Clearwave was half the price and covered eighty percent of our use case. For a company at our stage, eighty percent at half the price wins every time. That math isn’t going to change until we’re much bigger.”</w:t>
            </w:r>
          </w:p>
          <w:p>
            <w:pPr>
              <w:spacing w:after="80" w:before="0"/>
              <w:jc w:val="left"/>
            </w:pPr>
            <w:r>
              <w:rPr>
                <w:rFonts w:ascii="Arial" w:cs="Arial" w:eastAsia="Arial" w:hAnsi="Arial"/>
                <w:b/>
                <w:bCs/>
                <w:i w:val="false"/>
                <w:iCs w:val="false"/>
                <w:color w:val="595959"/>
                <w:sz w:val="17"/>
                <w:szCs w:val="17"/>
              </w:rPr>
              <w:t xml:space="preserve">— Manager, Retail group [Loss — R04]</w:t>
            </w:r>
          </w:p>
        </w:tc>
      </w:tr>
    </w:tbl>
    <w:p>
      <w:pPr>
        <w:spacing w:after="0" w:before="80"/>
      </w:pPr>
      <w:r>
        <w:t xml:space="preserve"/>
      </w:r>
    </w:p>
    <w:p>
      <w:pPr>
        <w:spacing w:after="90" w:before="0"/>
        <w:jc w:val="left"/>
      </w:pPr>
      <w:r>
        <w:rPr>
          <w:rFonts w:ascii="Arial" w:cs="Arial" w:eastAsia="Arial" w:hAnsi="Arial"/>
          <w:b w:val="false"/>
          <w:bCs w:val="false"/>
          <w:i w:val="false"/>
          <w:iCs w:val="false"/>
          <w:color w:val="404040"/>
          <w:sz w:val="20"/>
          <w:szCs w:val="20"/>
        </w:rPr>
        <w:t xml:space="preserve">The Clearwave displacement pattern is concentrated in accounts under $25M in revenue and 100 employees. These buyers are not choosing Clearwave because it is better; they are choosing it because it is “good enough” at a price their approval process can accommodate. A purpose-built entry-tier pricing structure would likely reclaim this segment without cannibalizing the mid-market.</w:t>
      </w:r>
    </w:p>
    <w:p>
      <w:pPr>
        <w:spacing w:after="0" w:before="80"/>
      </w:pPr>
      <w:r>
        <w:t xml:space="preserve"/>
      </w:r>
    </w:p>
    <w:p>
      <w:pPr>
        <w:spacing w:after="60" w:before="160"/>
      </w:pPr>
      <w:r>
        <w:rPr>
          <w:rFonts w:ascii="Arial" w:cs="Arial" w:eastAsia="Arial" w:hAnsi="Arial"/>
          <w:b/>
          <w:bCs/>
          <w:i w:val="false"/>
          <w:iCs w:val="false"/>
          <w:color w:val="2E75B6"/>
          <w:sz w:val="20"/>
          <w:szCs w:val="20"/>
        </w:rPr>
        <w:t xml:space="preserve">Prism Platform: the integration-first threat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“Prism had pre-built connectors for all seven of our core systems. wholesome.tech had native connectors for three of them and said the other four were ‘API-accessible.’ That means my team has to build and maintain four custom integrations. That’s not a product — that’s a project.”</w:t>
            </w:r>
          </w:p>
          <w:p>
            <w:pPr>
              <w:spacing w:after="80" w:before="0"/>
              <w:jc w:val="left"/>
            </w:pPr>
            <w:r>
              <w:rPr>
                <w:rFonts w:ascii="Arial" w:cs="Arial" w:eastAsia="Arial" w:hAnsi="Arial"/>
                <w:b/>
                <w:bCs/>
                <w:i w:val="false"/>
                <w:iCs w:val="false"/>
                <w:color w:val="595959"/>
                <w:sz w:val="17"/>
                <w:szCs w:val="17"/>
              </w:rPr>
              <w:t xml:space="preserve">— Director, Media company [Loss — R12]</w:t>
            </w:r>
          </w:p>
        </w:tc>
      </w:tr>
    </w:tbl>
    <w:p>
      <w:pPr>
        <w:spacing w:after="0" w:before="80"/>
      </w:pPr>
      <w:r>
        <w:t xml:space="preserve"/>
      </w:r>
    </w:p>
    <w:p>
      <w:pPr>
        <w:spacing w:after="90" w:before="0"/>
        <w:jc w:val="left"/>
      </w:pPr>
      <w:r>
        <w:rPr>
          <w:rFonts w:ascii="Arial" w:cs="Arial" w:eastAsia="Arial" w:hAnsi="Arial"/>
          <w:b w:val="false"/>
          <w:bCs w:val="false"/>
          <w:i w:val="false"/>
          <w:iCs w:val="false"/>
          <w:color w:val="404040"/>
          <w:sz w:val="20"/>
          <w:szCs w:val="20"/>
        </w:rPr>
        <w:t xml:space="preserve">Prism’s win thesis is integration completeness. Buyers with complex existing stacks are choosing a vendor based on day-one connector coverage, not roadmap promises. The implication is that each additional native connector built reduces the addressable Prism win by a measurable amount. Integration investment should be prioritized by which connectors appear most frequently in deal cycles — Salesforce, Workday, HubSpot, and Slack appeared across multiple accounts.</w:t>
      </w:r>
    </w:p>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Section 9 — Advice for Management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100"/>
              <w:left w:type="dxa" w:w="180"/>
              <w:bottom w:type="dxa" w:w="40"/>
              <w:right w:type="dxa" w:w="180"/>
            </w:tcMar>
          </w:tcPr>
          <w:p>
            <w:pPr>
              <w:spacing w:after="80" w:before="0"/>
              <w:jc w:val="left"/>
            </w:pPr>
            <w:r>
              <w:rPr>
                <w:rFonts w:ascii="Arial" w:cs="Arial" w:eastAsia="Arial" w:hAnsi="Arial"/>
                <w:b/>
                <w:bCs/>
                <w:i w:val="false"/>
                <w:iCs w:val="false"/>
                <w:color w:val="2E75B6"/>
                <w:sz w:val="21"/>
                <w:szCs w:val="21"/>
              </w:rPr>
              <w:t xml:space="preserve">Finding 9  </w:t>
            </w:r>
            <w:r>
              <w:rPr>
                <w:rFonts w:ascii="Arial" w:cs="Arial" w:eastAsia="Arial" w:hAnsi="Arial"/>
                <w:b/>
                <w:bCs/>
                <w:i w:val="false"/>
                <w:iCs w:val="false"/>
                <w:color w:val="1F4E79"/>
                <w:sz w:val="21"/>
                <w:szCs w:val="21"/>
              </w:rPr>
              <w:t xml:space="preserve">Respondents delivered consistent, unprompted advice across five distinct themes</w:t>
            </w:r>
          </w:p>
        </w:tc>
      </w:tr>
      <w:tr>
        <w:tc>
          <w:tcPr>
            <w:tcW w:type="dxa" w:w="9360"/>
            <w:tcBorders>
              <w:top w:val="none" w:color="FFFFFF" w:sz="0"/>
              <w:left w:val="none" w:color="FFFFFF" w:sz="0"/>
              <w:bottom w:val="none" w:color="FFFFFF" w:sz="0"/>
              <w:right w:val="none" w:color="FFFFFF" w:sz="0"/>
            </w:tcBorders>
            <w:shd w:fill="D6E4F0" w:val="clear"/>
            <w:tcMar>
              <w:top w:type="dxa" w:w="0"/>
              <w:left w:type="dxa" w:w="180"/>
              <w:bottom w:type="dxa" w:w="100"/>
              <w:right w:type="dxa" w:w="180"/>
            </w:tcMar>
          </w:tcPr>
          <w:p>
            <w:pPr>
              <w:spacing w:after="80" w:before="0"/>
              <w:jc w:val="left"/>
            </w:pPr>
            <w:r>
              <w:rPr>
                <w:rFonts w:ascii="Arial" w:cs="Arial" w:eastAsia="Arial" w:hAnsi="Arial"/>
                <w:b w:val="false"/>
                <w:bCs w:val="false"/>
                <w:i/>
                <w:iCs/>
                <w:color w:val="595959"/>
                <w:sz w:val="18"/>
                <w:szCs w:val="18"/>
              </w:rPr>
              <w:t xml:space="preserve">Section 9 produced the most candid and actionable feedback in the entire interview program</w:t>
            </w:r>
          </w:p>
        </w:tc>
      </w:tr>
    </w:tbl>
    <w:p>
      <w:pPr>
        <w:spacing w:after="0" w:before="100"/>
      </w:pPr>
      <w:r>
        <w:t xml:space="preserve"/>
      </w:r>
    </w:p>
    <w:p>
      <w:pPr>
        <w:spacing w:after="90" w:before="0"/>
        <w:jc w:val="left"/>
      </w:pPr>
      <w:r>
        <w:rPr>
          <w:rFonts w:ascii="Arial" w:cs="Arial" w:eastAsia="Arial" w:hAnsi="Arial"/>
          <w:b w:val="false"/>
          <w:bCs w:val="false"/>
          <w:i w:val="false"/>
          <w:iCs w:val="false"/>
          <w:color w:val="404040"/>
          <w:sz w:val="20"/>
          <w:szCs w:val="20"/>
        </w:rPr>
        <w:t xml:space="preserve">The management advice section (Q9.1–9.4) generated the richest qualitative content in the entire guide. When framed as expert advice rather than criticism, respondents — including several loss accounts — offered specific, concrete, and often surprisingly generous recommendations. Five themes emerged with enough consistency across both win and loss cohorts to be considered signal rather than noise.</w:t>
      </w:r>
    </w:p>
    <w:p>
      <w:pPr>
        <w:spacing w:after="60" w:before="160"/>
      </w:pPr>
      <w:r>
        <w:rPr>
          <w:rFonts w:ascii="Arial" w:cs="Arial" w:eastAsia="Arial" w:hAnsi="Arial"/>
          <w:b/>
          <w:bCs/>
          <w:i w:val="false"/>
          <w:iCs w:val="false"/>
          <w:color w:val="2E75B6"/>
          <w:sz w:val="20"/>
          <w:szCs w:val="20"/>
        </w:rPr>
        <w:t xml:space="preserve">Advice Theme 1: Fix the integrations (cited by 9 of 15)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“Fix the integrations. Even as a happy customer, this is the thing that keeps me up at night. What happens when we need to connect the next tool in our stack? It shouldn’t be a conversation that goes through professional services. It should just work.”</w:t>
            </w:r>
          </w:p>
          <w:p>
            <w:pPr>
              <w:spacing w:after="80" w:before="0"/>
              <w:jc w:val="left"/>
            </w:pPr>
            <w:r>
              <w:rPr>
                <w:rFonts w:ascii="Arial" w:cs="Arial" w:eastAsia="Arial" w:hAnsi="Arial"/>
                <w:b/>
                <w:bCs/>
                <w:i w:val="false"/>
                <w:iCs w:val="false"/>
                <w:color w:val="595959"/>
                <w:sz w:val="17"/>
                <w:szCs w:val="17"/>
              </w:rPr>
              <w:t xml:space="preserve">— C-Suite, Capital management group [Win — R03]</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“Your biggest gap is integrations and everyone knows it. The question I’d ask your product team is: why hasn’t this been the number one priority for the last two years?”</w:t>
            </w:r>
          </w:p>
          <w:p>
            <w:pPr>
              <w:spacing w:after="80" w:before="0"/>
              <w:jc w:val="left"/>
            </w:pPr>
            <w:r>
              <w:rPr>
                <w:rFonts w:ascii="Arial" w:cs="Arial" w:eastAsia="Arial" w:hAnsi="Arial"/>
                <w:b/>
                <w:bCs/>
                <w:i w:val="false"/>
                <w:iCs w:val="false"/>
                <w:color w:val="595959"/>
                <w:sz w:val="17"/>
                <w:szCs w:val="17"/>
              </w:rPr>
              <w:t xml:space="preserve">— VP, Technology company [Loss — R02]</w:t>
            </w:r>
          </w:p>
        </w:tc>
      </w:tr>
    </w:tbl>
    <w:p>
      <w:pPr>
        <w:spacing w:after="0" w:before="80"/>
      </w:pPr>
      <w:r>
        <w:t xml:space="preserve"/>
      </w:r>
    </w:p>
    <w:p>
      <w:pPr>
        <w:spacing w:after="60" w:before="160"/>
      </w:pPr>
      <w:r>
        <w:rPr>
          <w:rFonts w:ascii="Arial" w:cs="Arial" w:eastAsia="Arial" w:hAnsi="Arial"/>
          <w:b/>
          <w:bCs/>
          <w:i w:val="false"/>
          <w:iCs w:val="false"/>
          <w:color w:val="2E75B6"/>
          <w:sz w:val="20"/>
          <w:szCs w:val="20"/>
        </w:rPr>
        <w:t xml:space="preserve">Advice Theme 2: Make the POC easier to start (cited by 7 of 15)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“Don’t change the sales team. Don’t change the product roadmap. Just make it dramatically easier to get a pilot started. The friction of setting up the trial environment almost lost you our business. That’s a solvable problem.”</w:t>
            </w:r>
          </w:p>
          <w:p>
            <w:pPr>
              <w:spacing w:after="80" w:before="0"/>
              <w:jc w:val="left"/>
            </w:pPr>
            <w:r>
              <w:rPr>
                <w:rFonts w:ascii="Arial" w:cs="Arial" w:eastAsia="Arial" w:hAnsi="Arial"/>
                <w:b/>
                <w:bCs/>
                <w:i w:val="false"/>
                <w:iCs w:val="false"/>
                <w:color w:val="595959"/>
                <w:sz w:val="17"/>
                <w:szCs w:val="17"/>
              </w:rPr>
              <w:t xml:space="preserve">— VP, Healthcare system [Win — R11]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“If you had offered a two-week scoped pilot instead of an eight-week full implementation, we would have taken it. I would have had time. You would have had a deal. Instead, I had to make a decision on a demo.”</w:t>
            </w:r>
          </w:p>
          <w:p>
            <w:pPr>
              <w:spacing w:after="80" w:before="0"/>
              <w:jc w:val="left"/>
            </w:pPr>
            <w:r>
              <w:rPr>
                <w:rFonts w:ascii="Arial" w:cs="Arial" w:eastAsia="Arial" w:hAnsi="Arial"/>
                <w:b/>
                <w:bCs/>
                <w:i w:val="false"/>
                <w:iCs w:val="false"/>
                <w:color w:val="595959"/>
                <w:sz w:val="17"/>
                <w:szCs w:val="17"/>
              </w:rPr>
              <w:t xml:space="preserve">— Manager, Retail group [Loss — R04]</w:t>
            </w:r>
          </w:p>
        </w:tc>
      </w:tr>
    </w:tbl>
    <w:p>
      <w:pPr>
        <w:spacing w:after="0" w:before="80"/>
      </w:pPr>
      <w:r>
        <w:t xml:space="preserve"/>
      </w:r>
    </w:p>
    <w:p>
      <w:pPr>
        <w:spacing w:after="60" w:before="160"/>
      </w:pPr>
      <w:r>
        <w:rPr>
          <w:rFonts w:ascii="Arial" w:cs="Arial" w:eastAsia="Arial" w:hAnsi="Arial"/>
          <w:b/>
          <w:bCs/>
          <w:i w:val="false"/>
          <w:iCs w:val="false"/>
          <w:color w:val="2E75B6"/>
          <w:sz w:val="20"/>
          <w:szCs w:val="20"/>
        </w:rPr>
        <w:t xml:space="preserve">Advice Theme 3: Introduce flat-fee pricing (cited by 5 loss respondents)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“Build a flat-fee tier for companies under a hundred employees. You would win deals you are currently losing without touching your core revenue model. The buyers you lose to Clearwave are not choosing them because they love them. They’re choosing them because they can get CFO approval.”</w:t>
            </w:r>
          </w:p>
          <w:p>
            <w:pPr>
              <w:spacing w:after="80" w:before="0"/>
              <w:jc w:val="left"/>
            </w:pPr>
            <w:r>
              <w:rPr>
                <w:rFonts w:ascii="Arial" w:cs="Arial" w:eastAsia="Arial" w:hAnsi="Arial"/>
                <w:b/>
                <w:bCs/>
                <w:i w:val="false"/>
                <w:iCs w:val="false"/>
                <w:color w:val="595959"/>
                <w:sz w:val="17"/>
                <w:szCs w:val="17"/>
              </w:rPr>
              <w:t xml:space="preserve">— Manager, Retail group [Loss — R04]</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“Stop trying to close annual variable contracts with Series A and Series B companies. It’s not that we don’t want to pay. It’s that our finance process literally cannot approve something we can’t model. Give us a flat number and we can move.”</w:t>
            </w:r>
          </w:p>
          <w:p>
            <w:pPr>
              <w:spacing w:after="80" w:before="0"/>
              <w:jc w:val="left"/>
            </w:pPr>
            <w:r>
              <w:rPr>
                <w:rFonts w:ascii="Arial" w:cs="Arial" w:eastAsia="Arial" w:hAnsi="Arial"/>
                <w:b/>
                <w:bCs/>
                <w:i w:val="false"/>
                <w:iCs w:val="false"/>
                <w:color w:val="595959"/>
                <w:sz w:val="17"/>
                <w:szCs w:val="17"/>
              </w:rPr>
              <w:t xml:space="preserve">— Manager, Logistics firm [Loss — R10]</w:t>
            </w:r>
          </w:p>
        </w:tc>
      </w:tr>
    </w:tbl>
    <w:p>
      <w:pPr>
        <w:spacing w:after="0" w:before="80"/>
      </w:pPr>
      <w:r>
        <w:t xml:space="preserve"/>
      </w:r>
    </w:p>
    <w:p>
      <w:pPr>
        <w:spacing w:after="60" w:before="160"/>
      </w:pPr>
      <w:r>
        <w:rPr>
          <w:rFonts w:ascii="Arial" w:cs="Arial" w:eastAsia="Arial" w:hAnsi="Arial"/>
          <w:b/>
          <w:bCs/>
          <w:i w:val="false"/>
          <w:iCs w:val="false"/>
          <w:color w:val="2E75B6"/>
          <w:sz w:val="20"/>
          <w:szCs w:val="20"/>
        </w:rPr>
        <w:t xml:space="preserve">Advice Theme 4: Shorten and simplify the demo-to-contract path (cited by 6 respondents)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“Your demo is genuinely excellent. Whatever you are teaching the people who run demos — keep doing it. But something breaks down between the demo and the contract. That gap is costing you deals.”</w:t>
            </w:r>
          </w:p>
          <w:p>
            <w:pPr>
              <w:spacing w:after="80" w:before="0"/>
              <w:jc w:val="left"/>
            </w:pPr>
            <w:r>
              <w:rPr>
                <w:rFonts w:ascii="Arial" w:cs="Arial" w:eastAsia="Arial" w:hAnsi="Arial"/>
                <w:b/>
                <w:bCs/>
                <w:i w:val="false"/>
                <w:iCs w:val="false"/>
                <w:color w:val="595959"/>
                <w:sz w:val="17"/>
                <w:szCs w:val="17"/>
              </w:rPr>
              <w:t xml:space="preserve">— C-Suite, Venture-backed firm [Loss — R07]</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“Stop trying to close annual commitments in the first meeting. Give buyers a 90-day pilot, let them prove value internally, then convert them. You’ll lose fewer deals and the ones you do close will have real champions behind them.”</w:t>
            </w:r>
          </w:p>
          <w:p>
            <w:pPr>
              <w:spacing w:after="80" w:before="0"/>
              <w:jc w:val="left"/>
            </w:pPr>
            <w:r>
              <w:rPr>
                <w:rFonts w:ascii="Arial" w:cs="Arial" w:eastAsia="Arial" w:hAnsi="Arial"/>
                <w:b/>
                <w:bCs/>
                <w:i w:val="false"/>
                <w:iCs w:val="false"/>
                <w:color w:val="595959"/>
                <w:sz w:val="17"/>
                <w:szCs w:val="17"/>
              </w:rPr>
              <w:t xml:space="preserve">— Director, Media company [Loss — R12]</w:t>
            </w:r>
          </w:p>
        </w:tc>
      </w:tr>
    </w:tbl>
    <w:p>
      <w:pPr>
        <w:spacing w:after="0" w:before="80"/>
      </w:pPr>
      <w:r>
        <w:t xml:space="preserve"/>
      </w:r>
    </w:p>
    <w:p>
      <w:pPr>
        <w:spacing w:after="60" w:before="160"/>
      </w:pPr>
      <w:r>
        <w:rPr>
          <w:rFonts w:ascii="Arial" w:cs="Arial" w:eastAsia="Arial" w:hAnsi="Arial"/>
          <w:b/>
          <w:bCs/>
          <w:i w:val="false"/>
          <w:iCs w:val="false"/>
          <w:color w:val="2E75B6"/>
          <w:sz w:val="20"/>
          <w:szCs w:val="20"/>
        </w:rPr>
        <w:t xml:space="preserve">Advice Theme 5: Build a stronger ROI and business case narrative (cited by 5 respondents)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“The ROI conversation was the weakest part of your pitch. When I asked what a typical payback period looks like, I got a generic answer. Bring me three real customer examples with specific numbers. That’s what I bring to my CFO, not your marketing copy.”</w:t>
            </w:r>
          </w:p>
          <w:p>
            <w:pPr>
              <w:spacing w:after="80" w:before="0"/>
              <w:jc w:val="left"/>
            </w:pPr>
            <w:r>
              <w:rPr>
                <w:rFonts w:ascii="Arial" w:cs="Arial" w:eastAsia="Arial" w:hAnsi="Arial"/>
                <w:b/>
                <w:bCs/>
                <w:i w:val="false"/>
                <w:iCs w:val="false"/>
                <w:color w:val="595959"/>
                <w:sz w:val="17"/>
                <w:szCs w:val="17"/>
              </w:rPr>
              <w:t xml:space="preserve">— Manager, Logistics firm [Loss — R10]</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2E75B6" w:val="clear"/>
          </w:tcPr>
          <w:p>
            <w:pPr>
              <w:spacing w:after="80" w:before="0"/>
              <w:jc w:val="left"/>
            </w:pPr>
            <w:r>
              <w:rPr>
                <w:rFonts w:ascii="Arial" w:cs="Arial" w:eastAsia="Arial" w:hAnsi="Arial"/>
                <w:b w:val="false"/>
                <w:bCs w:val="false"/>
                <w:i w:val="false"/>
                <w:iCs w:val="false"/>
                <w:color w:val="404040"/>
                <w:sz w:val="20"/>
                <w:szCs w:val="20"/>
              </w:rPr>
              <w:t xml:space="preserve"/>
            </w:r>
          </w:p>
        </w:tc>
        <w:tc>
          <w:tcPr>
            <w:tcW w:type="dxa" w:w="9120"/>
            <w:tcBorders>
              <w:top w:val="none" w:color="FFFFFF" w:sz="0"/>
              <w:left w:val="none" w:color="FFFFFF" w:sz="0"/>
              <w:bottom w:val="none" w:color="FFFFFF" w:sz="0"/>
              <w:right w:val="none" w:color="FFFFFF" w:sz="0"/>
            </w:tcBorders>
            <w:shd w:fill="EEF4FB" w:val="clear"/>
            <w:tcMar>
              <w:top w:type="dxa" w:w="100"/>
              <w:left w:type="dxa" w:w="200"/>
              <w:bottom w:type="dxa" w:w="100"/>
              <w:right w:type="dxa" w:w="160"/>
            </w:tcMar>
          </w:tcPr>
          <w:p>
            <w:pPr>
              <w:spacing w:after="60" w:before="0"/>
              <w:jc w:val="left"/>
            </w:pPr>
            <w:r>
              <w:rPr>
                <w:rFonts w:ascii="Arial" w:cs="Arial" w:eastAsia="Arial" w:hAnsi="Arial"/>
                <w:b w:val="false"/>
                <w:bCs w:val="false"/>
                <w:i/>
                <w:iCs/>
                <w:color w:val="404040"/>
                <w:sz w:val="20"/>
                <w:szCs w:val="20"/>
              </w:rPr>
              <w:t xml:space="preserve">“I wanted to be a champion internally for this product. But I needed ammunition. The business case materials were thin. Give me a template I can take to the CFO and the board. Make it easy for me to sell internally on your behalf.”</w:t>
            </w:r>
          </w:p>
          <w:p>
            <w:pPr>
              <w:spacing w:after="80" w:before="0"/>
              <w:jc w:val="left"/>
            </w:pPr>
            <w:r>
              <w:rPr>
                <w:rFonts w:ascii="Arial" w:cs="Arial" w:eastAsia="Arial" w:hAnsi="Arial"/>
                <w:b/>
                <w:bCs/>
                <w:i w:val="false"/>
                <w:iCs w:val="false"/>
                <w:color w:val="595959"/>
                <w:sz w:val="17"/>
                <w:szCs w:val="17"/>
              </w:rPr>
              <w:t xml:space="preserve">— Director, Capital management firm [Loss — R15]</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Win / Loss Diagnostic Summary</w:t>
      </w:r>
    </w:p>
    <w:p>
      <w:pPr>
        <w:spacing w:after="0" w:before="80"/>
      </w:pPr>
      <w:r>
        <w:t xml:space="preserve"/>
      </w:r>
    </w:p>
    <w:p>
      <w:pPr>
        <w:spacing w:after="90" w:before="120"/>
        <w:jc w:val="left"/>
      </w:pPr>
      <w:r>
        <w:rPr>
          <w:rFonts w:ascii="Arial" w:cs="Arial" w:eastAsia="Arial" w:hAnsi="Arial"/>
          <w:b w:val="false"/>
          <w:bCs w:val="false"/>
          <w:i w:val="false"/>
          <w:iCs w:val="false"/>
          <w:color w:val="404040"/>
          <w:sz w:val="20"/>
          <w:szCs w:val="20"/>
        </w:rPr>
        <w:t xml:space="preserve">The following table consolidates the qualitative patterns observed across all 15 interviews, organized by the nine sections of the discussion guide. Each dimension is rated by signal strength and presented with its primary win and loss pattern.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160"/>
        <w:gridCol w:w="3000"/>
        <w:gridCol w:w="300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Section</w:t>
            </w:r>
          </w:p>
        </w:tc>
        <w:tc>
          <w:tcPr>
            <w:tcW w:type="dxa" w:w="21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Dimension</w:t>
            </w:r>
          </w:p>
        </w:tc>
        <w:tc>
          <w:tcPr>
            <w:tcW w:type="dxa" w:w="3000"/>
            <w:tcBorders>
              <w:top w:val="single" w:color="CCCCCC" w:sz="1"/>
              <w:left w:val="single" w:color="CCCCCC" w:sz="1"/>
              <w:bottom w:val="single" w:color="CCCCCC" w:sz="1"/>
              <w:right w:val="single" w:color="CCCCCC" w:sz="1"/>
            </w:tcBorders>
            <w:shd w:fill="375623"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Win Pattern</w:t>
            </w:r>
          </w:p>
        </w:tc>
        <w:tc>
          <w:tcPr>
            <w:tcW w:type="dxa" w:w="3000"/>
            <w:tcBorders>
              <w:top w:val="single" w:color="CCCCCC" w:sz="1"/>
              <w:left w:val="single" w:color="CCCCCC" w:sz="1"/>
              <w:bottom w:val="single" w:color="CCCCCC" w:sz="1"/>
              <w:right w:val="single" w:color="CCCCCC" w:sz="1"/>
            </w:tcBorders>
            <w:shd w:fill="9B2335"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Loss Pattern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01</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Triggering event</w:t>
            </w:r>
          </w:p>
        </w:tc>
        <w:tc>
          <w:tcPr>
            <w:tcW w:type="dxa" w:w="3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Strategic, planned, executive-sponsored</w:t>
            </w:r>
          </w:p>
        </w:tc>
        <w:tc>
          <w:tcPr>
            <w:tcW w:type="dxa" w:w="3000"/>
            <w:tcBorders>
              <w:top w:val="single" w:color="CCCCCC" w:sz="1"/>
              <w:left w:val="single" w:color="CCCCCC" w:sz="1"/>
              <w:bottom w:val="single" w:color="CCCCCC" w:sz="1"/>
              <w:right w:val="single" w:color="CCCCCC" w:sz="1"/>
            </w:tcBorders>
            <w:shd w:fill="FDF0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Reactive, time-compressed, externally forced</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02</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Discovery channel</w:t>
            </w:r>
          </w:p>
        </w:tc>
        <w:tc>
          <w:tcPr>
            <w:tcW w:type="dxa" w:w="30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Peer referral; high-credibility networks</w:t>
            </w:r>
          </w:p>
        </w:tc>
        <w:tc>
          <w:tcPr>
            <w:tcW w:type="dxa" w:w="30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Web search or LinkedIn; transactional intent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03</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Team interactions</w:t>
            </w:r>
          </w:p>
        </w:tc>
        <w:tc>
          <w:tcPr>
            <w:tcW w:type="dxa" w:w="3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Consultative, personalized, senior-accessible</w:t>
            </w:r>
          </w:p>
        </w:tc>
        <w:tc>
          <w:tcPr>
            <w:tcW w:type="dxa" w:w="3000"/>
            <w:tcBorders>
              <w:top w:val="single" w:color="CCCCCC" w:sz="1"/>
              <w:left w:val="single" w:color="CCCCCC" w:sz="1"/>
              <w:bottom w:val="single" w:color="CCCCCC" w:sz="1"/>
              <w:right w:val="single" w:color="CCCCCC" w:sz="1"/>
            </w:tcBorders>
            <w:shd w:fill="FDF0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Generic, reactive, handoff-prone</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04</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Evaluation / pilot</w:t>
            </w:r>
          </w:p>
        </w:tc>
        <w:tc>
          <w:tcPr>
            <w:tcW w:type="dxa" w:w="30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Pilot completed; product met or exceeded demo</w:t>
            </w:r>
          </w:p>
        </w:tc>
        <w:tc>
          <w:tcPr>
            <w:tcW w:type="dxa" w:w="30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No pilot or pilot surfaced undisclosed gaps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05</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Decision criteria</w:t>
            </w:r>
          </w:p>
        </w:tc>
        <w:tc>
          <w:tcPr>
            <w:tcW w:type="dxa" w:w="3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Gate criteria confirmed early; preference criteria led</w:t>
            </w:r>
          </w:p>
        </w:tc>
        <w:tc>
          <w:tcPr>
            <w:tcW w:type="dxa" w:w="3000"/>
            <w:tcBorders>
              <w:top w:val="single" w:color="CCCCCC" w:sz="1"/>
              <w:left w:val="single" w:color="CCCCCC" w:sz="1"/>
              <w:bottom w:val="single" w:color="CCCCCC" w:sz="1"/>
              <w:right w:val="single" w:color="CCCCCC" w:sz="1"/>
            </w:tcBorders>
            <w:shd w:fill="FDF0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Gate criteria surfaced late; hard blockers emerged late-stage</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06</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Pricing &amp; terms</w:t>
            </w:r>
          </w:p>
        </w:tc>
        <w:tc>
          <w:tcPr>
            <w:tcW w:type="dxa" w:w="30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Value justified; model predictable; legal fast</w:t>
            </w:r>
          </w:p>
        </w:tc>
        <w:tc>
          <w:tcPr>
            <w:tcW w:type="dxa" w:w="30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Model unpredictable; price inflexible; legal slow</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07</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Sales process</w:t>
            </w:r>
          </w:p>
        </w:tc>
        <w:tc>
          <w:tcPr>
            <w:tcW w:type="dxa" w:w="3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Buyer-cycle aligned; consistent ownership; tailored proposals</w:t>
            </w:r>
          </w:p>
        </w:tc>
        <w:tc>
          <w:tcPr>
            <w:tcW w:type="dxa" w:w="3000"/>
            <w:tcBorders>
              <w:top w:val="single" w:color="CCCCCC" w:sz="1"/>
              <w:left w:val="single" w:color="CCCCCC" w:sz="1"/>
              <w:bottom w:val="single" w:color="CCCCCC" w:sz="1"/>
              <w:right w:val="single" w:color="CCCCCC" w:sz="1"/>
            </w:tcBorders>
            <w:shd w:fill="FDF0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Vendor-cycle driven; multiple handoffs; generic materials</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08</w:t>
            </w:r>
          </w:p>
        </w:tc>
        <w:tc>
          <w:tcPr>
            <w:tcW w:type="dxa" w:w="21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Competitive outcome</w:t>
            </w:r>
          </w:p>
        </w:tc>
        <w:tc>
          <w:tcPr>
            <w:tcW w:type="dxa" w:w="30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Differentiated on product quality and team experience</w:t>
            </w:r>
          </w:p>
        </w:tc>
        <w:tc>
          <w:tcPr>
            <w:tcW w:type="dxa" w:w="30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Displaced on features (Synova), price (Clearwave), integrations (Prism), brand (Velo)</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09</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Management advice</w:t>
            </w:r>
          </w:p>
        </w:tc>
        <w:tc>
          <w:tcPr>
            <w:tcW w:type="dxa" w:w="3000"/>
            <w:tcBorders>
              <w:top w:val="single" w:color="CCCCCC" w:sz="1"/>
              <w:left w:val="single" w:color="CCCCCC" w:sz="1"/>
              <w:bottom w:val="single" w:color="CCCCCC" w:sz="1"/>
              <w:right w:val="single" w:color="CCCCCC" w:sz="1"/>
            </w:tcBorders>
            <w:shd w:fill="F0FAF4"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6"/>
                <w:szCs w:val="16"/>
              </w:rPr>
              <w:t xml:space="preserve">Expand integrations; reduce POC friction</w:t>
            </w:r>
          </w:p>
        </w:tc>
        <w:tc>
          <w:tcPr>
            <w:tcW w:type="dxa" w:w="3000"/>
            <w:tcBorders>
              <w:top w:val="single" w:color="CCCCCC" w:sz="1"/>
              <w:left w:val="single" w:color="CCCCCC" w:sz="1"/>
              <w:bottom w:val="single" w:color="CCCCCC" w:sz="1"/>
              <w:right w:val="single" w:color="CCCCCC" w:sz="1"/>
            </w:tcBorders>
            <w:shd w:fill="FDF0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9B2335"/>
                <w:sz w:val="16"/>
                <w:szCs w:val="16"/>
              </w:rPr>
              <w:t xml:space="preserve">Add flat-fee tier; shorten close path; build ROI materials</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Prioritized Recommendations</w:t>
      </w:r>
    </w:p>
    <w:p>
      <w:pPr>
        <w:spacing w:after="0" w:before="80"/>
      </w:pPr>
      <w:r>
        <w:t xml:space="preserve"/>
      </w:r>
    </w:p>
    <w:p>
      <w:pPr>
        <w:spacing w:after="90" w:before="120"/>
        <w:jc w:val="left"/>
      </w:pPr>
      <w:r>
        <w:rPr>
          <w:rFonts w:ascii="Arial" w:cs="Arial" w:eastAsia="Arial" w:hAnsi="Arial"/>
          <w:b w:val="false"/>
          <w:bCs w:val="false"/>
          <w:i w:val="false"/>
          <w:iCs w:val="false"/>
          <w:color w:val="404040"/>
          <w:sz w:val="20"/>
          <w:szCs w:val="20"/>
        </w:rPr>
        <w:t xml:space="preserve">The following recommendations are ranked by estimated revenue impact and implementation feasibility. Each is anchored to specific interview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2040"/>
        <w:gridCol w:w="4000"/>
        <w:gridCol w:w="2800"/>
      </w:tblGrid>
      <w:tr>
        <w:tc>
          <w:tcPr>
            <w:tcW w:type="dxa" w:w="5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6"/>
                <w:szCs w:val="16"/>
              </w:rPr>
              <w:t xml:space="preserve">#</w:t>
            </w:r>
          </w:p>
        </w:tc>
        <w:tc>
          <w:tcPr>
            <w:tcW w:type="dxa" w:w="20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Recommendation</w:t>
            </w:r>
          </w:p>
        </w:tc>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Rationale</w:t>
            </w:r>
          </w:p>
        </w:tc>
        <w:tc>
          <w:tcPr>
            <w:tcW w:type="dxa" w:w="2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Expected Impact</w:t>
            </w:r>
          </w:p>
        </w:tc>
      </w:tr>
      <w:tr>
        <w:tc>
          <w:tcPr>
            <w:tcW w:type="dxa" w:w="52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C65C00"/>
                <w:sz w:val="16"/>
                <w:szCs w:val="16"/>
              </w:rPr>
              <w:t xml:space="preserve">1</w:t>
            </w:r>
          </w:p>
        </w:tc>
        <w:tc>
          <w:tcPr>
            <w:tcW w:type="dxa" w:w="204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C65C00"/>
                <w:sz w:val="16"/>
                <w:szCs w:val="16"/>
              </w:rPr>
              <w:t xml:space="preserve">Systematize POC initiation</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100% of buyers who completed a pilot converted. Reduce pilot setup from 8 weeks to 10 business days with pre-scoped templates by use case.</w:t>
            </w:r>
          </w:p>
        </w:tc>
        <w:tc>
          <w:tcPr>
            <w:tcW w:type="dxa" w:w="28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5"/>
                <w:szCs w:val="15"/>
              </w:rPr>
              <w:t xml:space="preserve">Estimated 3–4 additional closed deals per quarter</w:t>
            </w:r>
          </w:p>
        </w:tc>
      </w:tr>
      <w:tr>
        <w:tc>
          <w:tcPr>
            <w:tcW w:type="dxa" w:w="52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C65C00"/>
                <w:sz w:val="16"/>
                <w:szCs w:val="16"/>
              </w:rPr>
              <w:t xml:space="preserve">2</w:t>
            </w:r>
          </w:p>
        </w:tc>
        <w:tc>
          <w:tcPr>
            <w:tcW w:type="dxa" w:w="204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C65C00"/>
                <w:sz w:val="16"/>
                <w:szCs w:val="16"/>
              </w:rPr>
              <w:t xml:space="preserve">Prioritize integration roadmap</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Cited as a concern by 60% of all respondents including wins. Salesforce, Workday, HubSpot, and Slack appeared across multiple accounts. Each connector closes deals without any other change.</w:t>
            </w:r>
          </w:p>
        </w:tc>
        <w:tc>
          <w:tcPr>
            <w:tcW w:type="dxa" w:w="28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5"/>
                <w:szCs w:val="15"/>
              </w:rPr>
              <w:t xml:space="preserve">Reclaims Prism displacement vector (2 deals lost)</w:t>
            </w:r>
          </w:p>
        </w:tc>
      </w:tr>
      <w:tr>
        <w:tc>
          <w:tcPr>
            <w:tcW w:type="dxa" w:w="52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C65C00"/>
                <w:sz w:val="16"/>
                <w:szCs w:val="16"/>
              </w:rPr>
              <w:t xml:space="preserve">3</w:t>
            </w:r>
          </w:p>
        </w:tc>
        <w:tc>
          <w:tcPr>
            <w:tcW w:type="dxa" w:w="204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C65C00"/>
                <w:sz w:val="16"/>
                <w:szCs w:val="16"/>
              </w:rPr>
              <w:t xml:space="preserve">Introduce flat-fee entry tier</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Three Clearwave losses were not price-level objections — they were model objections. A fixed-fee tier at &lt;100 employee scale removes the CFO approval barrier without touching core pricing.</w:t>
            </w:r>
          </w:p>
        </w:tc>
        <w:tc>
          <w:tcPr>
            <w:tcW w:type="dxa" w:w="28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375623"/>
                <w:sz w:val="15"/>
                <w:szCs w:val="15"/>
              </w:rPr>
              <w:t xml:space="preserve">Reclaims Clearwave displacement (3 deals lost)</w:t>
            </w:r>
          </w:p>
        </w:tc>
      </w:tr>
      <w:tr>
        <w:tc>
          <w:tcPr>
            <w:tcW w:type="dxa" w:w="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95959"/>
                <w:sz w:val="16"/>
                <w:szCs w:val="16"/>
              </w:rPr>
              <w:t xml:space="preserve">4</w:t>
            </w:r>
          </w:p>
        </w:tc>
        <w:tc>
          <w:tcPr>
            <w:tcW w:type="dxa" w:w="2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Set a 10-day contract delivery standard</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One enterprise loss was directly attributable to a 4-week legal redline process. A lean contract template for standard terms would eliminate this class of avoidable loss.</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Recovers 1–2 enterprise deals per half</w:t>
            </w:r>
          </w:p>
        </w:tc>
      </w:tr>
      <w:tr>
        <w:tc>
          <w:tcPr>
            <w:tcW w:type="dxa" w:w="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95959"/>
                <w:sz w:val="16"/>
                <w:szCs w:val="16"/>
              </w:rPr>
              <w:t xml:space="preserve">5</w:t>
            </w:r>
          </w:p>
        </w:tc>
        <w:tc>
          <w:tcPr>
            <w:tcW w:type="dxa" w:w="2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Build a structured customer reference program</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Peer referral is the highest-converting channel and all peer-referral accounts were positive interactions. A formal advocate program would amplify the highest-ROI acquisition channel.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Compound pipeline benefit over 2–4 quarters</w:t>
            </w:r>
          </w:p>
        </w:tc>
      </w:tr>
      <w:tr>
        <w:tc>
          <w:tcPr>
            <w:tcW w:type="dxa" w:w="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95959"/>
                <w:sz w:val="16"/>
                <w:szCs w:val="16"/>
              </w:rPr>
              <w:t xml:space="preserve">6</w:t>
            </w:r>
          </w:p>
        </w:tc>
        <w:tc>
          <w:tcPr>
            <w:tcW w:type="dxa" w:w="2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Develop industry-specific ROI materials</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Five respondents asked for business case templates they could use to champion internally. The absence of ready-made ROI evidence was cited as a barrier to internal selling.</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Improves champion effectiveness across all deals</w:t>
            </w:r>
          </w:p>
        </w:tc>
      </w:tr>
      <w:tr>
        <w:tc>
          <w:tcPr>
            <w:tcW w:type="dxa" w:w="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95959"/>
                <w:sz w:val="16"/>
                <w:szCs w:val="16"/>
              </w:rPr>
              <w:t xml:space="preserve">7</w:t>
            </w:r>
          </w:p>
        </w:tc>
        <w:tc>
          <w:tcPr>
            <w:tcW w:type="dxa" w:w="2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Institute a post-demo follow-up standard</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Loss respondents consistently described a drop-off in quality between the demo and the contract. A structured 48-hour follow-up with tailored next-steps would close this gap.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Improves conversion rate from demo to POC stage</w:t>
            </w:r>
          </w:p>
        </w:tc>
      </w:tr>
      <w:tr>
        <w:tc>
          <w:tcPr>
            <w:tcW w:type="dxa" w:w="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95959"/>
                <w:sz w:val="16"/>
                <w:szCs w:val="16"/>
              </w:rPr>
              <w:t xml:space="preserve">8</w:t>
            </w:r>
          </w:p>
        </w:tc>
        <w:tc>
          <w:tcPr>
            <w:tcW w:type="dxa" w:w="20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404040"/>
                <w:sz w:val="16"/>
                <w:szCs w:val="16"/>
              </w:rPr>
              <w:t xml:space="preserve">Develop a Synova feature gap response</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3 deals lost to Synova on specific feature gaps cited as daily-use requirements. A feature audit against Synova’s public capabilities would identify a bounded development target.</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Reclaims Synova displacement (3 deals lost)</w:t>
            </w:r>
          </w:p>
        </w:tc>
      </w:tr>
    </w:tbl>
    <w:p>
      <w:pPr>
        <w:pageBreakBefore/>
      </w:pPr>
      <w:r>
        <w:t xml:space="preserve"/>
      </w:r>
    </w:p>
    <w:p>
      <w:pPr>
        <w:pStyle w:val="Heading1"/>
        <w:shd w:fill="1F4E79" w:val="clear"/>
        <w:spacing w:after="100" w:before="280"/>
        <w:ind w:left="160" w:right="160"/>
      </w:pPr>
      <w:r>
        <w:rPr>
          <w:rFonts w:ascii="Arial" w:cs="Arial" w:eastAsia="Arial" w:hAnsi="Arial"/>
          <w:b/>
          <w:bCs/>
          <w:i w:val="false"/>
          <w:iCs w:val="false"/>
          <w:color w:val="FFFFFF"/>
          <w:sz w:val="28"/>
          <w:szCs w:val="28"/>
        </w:rPr>
        <w:t xml:space="preserve">Appendix: Individual Respondent Profiles</w:t>
      </w:r>
    </w:p>
    <w:p>
      <w:pPr>
        <w:spacing w:after="0" w:before="80"/>
      </w:pPr>
      <w:r>
        <w:t xml:space="preserve"/>
      </w:r>
    </w:p>
    <w:p>
      <w:pPr>
        <w:spacing w:after="90" w:before="120"/>
        <w:jc w:val="left"/>
      </w:pPr>
      <w:r>
        <w:rPr>
          <w:rFonts w:ascii="Arial" w:cs="Arial" w:eastAsia="Arial" w:hAnsi="Arial"/>
          <w:b w:val="false"/>
          <w:bCs w:val="false"/>
          <w:i w:val="false"/>
          <w:iCs w:val="false"/>
          <w:color w:val="404040"/>
          <w:sz w:val="20"/>
          <w:szCs w:val="20"/>
        </w:rPr>
        <w:t xml:space="preserve">Brief interview summaries for all 15 respondents. Each profile covers the triggering context, a characterizing interaction quality observation, the decisive factor, and the final outcome rationale.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2EFDA" w:val="clear"/>
            <w:tcMar>
              <w:top w:type="dxa" w:w="80"/>
              <w:left w:type="dxa" w:w="180"/>
              <w:bottom w:type="dxa" w:w="80"/>
              <w:right w:type="dxa" w:w="180"/>
            </w:tcMar>
          </w:tcPr>
          <w:p>
            <w:pPr>
              <w:spacing w:after="80" w:before="0"/>
              <w:jc w:val="left"/>
            </w:pPr>
            <w:r>
              <w:rPr>
                <w:rFonts w:ascii="Arial" w:cs="Arial" w:eastAsia="Arial" w:hAnsi="Arial"/>
                <w:b/>
                <w:bCs/>
                <w:i w:val="false"/>
                <w:iCs w:val="false"/>
                <w:color w:val="375623"/>
                <w:sz w:val="19"/>
                <w:szCs w:val="19"/>
              </w:rPr>
              <w:t xml:space="preserve">R01 — </w:t>
            </w:r>
            <w:r>
              <w:rPr>
                <w:rFonts w:ascii="Arial" w:cs="Arial" w:eastAsia="Arial" w:hAnsi="Arial"/>
                <w:b/>
                <w:bCs/>
                <w:i w:val="false"/>
                <w:iCs w:val="false"/>
                <w:color w:val="404040"/>
                <w:sz w:val="19"/>
                <w:szCs w:val="19"/>
              </w:rPr>
              <w:t xml:space="preserve">Meridian Analytics</w:t>
            </w:r>
            <w:r>
              <w:rPr>
                <w:rFonts w:ascii="Arial" w:cs="Arial" w:eastAsia="Arial" w:hAnsi="Arial"/>
                <w:b w:val="false"/>
                <w:bCs w:val="false"/>
                <w:i/>
                <w:iCs/>
                <w:color w:val="595959"/>
                <w:sz w:val="17"/>
                <w:szCs w:val="17"/>
              </w:rPr>
              <w:t xml:space="preserve">  |  Director, $25M–$100M  |  Win</w:t>
            </w:r>
          </w:p>
        </w:tc>
      </w:tr>
    </w:tbl>
    <w:p>
      <w:pPr>
        <w:spacing w:after="80" w:before="0"/>
        <w:jc w:val="left"/>
      </w:pPr>
      <w:r>
        <w:rPr>
          <w:rFonts w:ascii="Arial" w:cs="Arial" w:eastAsia="Arial" w:hAnsi="Arial"/>
          <w:b w:val="false"/>
          <w:bCs w:val="false"/>
          <w:i w:val="false"/>
          <w:iCs w:val="false"/>
          <w:color w:val="404040"/>
          <w:sz w:val="20"/>
          <w:szCs w:val="20"/>
        </w:rPr>
        <w:t xml:space="preserve">Triggered by strategic expansion following Series B funding. Arrived via peer referral with high initial trust. The evaluation team’s preparation — notably reviewing the company’s annual report before the first call — was cited as a defining moment. Completed a scoped two-week pilot with clear success criteria that the product met in full. Cited product capabilities and team engagement quality as co-equal win factors. Satisfaction: Very High. NPS: 8.</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R02 — </w:t>
            </w:r>
            <w:r>
              <w:rPr>
                <w:rFonts w:ascii="Arial" w:cs="Arial" w:eastAsia="Arial" w:hAnsi="Arial"/>
                <w:b/>
                <w:bCs/>
                <w:i w:val="false"/>
                <w:iCs w:val="false"/>
                <w:color w:val="404040"/>
                <w:sz w:val="19"/>
                <w:szCs w:val="19"/>
              </w:rPr>
              <w:t xml:space="preserve">Cascade Systems</w:t>
            </w:r>
            <w:r>
              <w:rPr>
                <w:rFonts w:ascii="Arial" w:cs="Arial" w:eastAsia="Arial" w:hAnsi="Arial"/>
                <w:b w:val="false"/>
                <w:bCs w:val="false"/>
                <w:i/>
                <w:iCs/>
                <w:color w:val="595959"/>
                <w:sz w:val="17"/>
                <w:szCs w:val="17"/>
              </w:rPr>
              <w:t xml:space="preserve">  |  VP, $5M–$25M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 vendor performance failure with a compressed evaluation window. Arrived via web search without prior context. A significant follow-up delay of eleven days after submitting the requirements document eroded confidence before the evaluation reached a POC stage. No pilot was conducted. Synova Analytics was selected for superior product capabilities in two specific daily-use feature areas. Noted that the demo quality was high but the process quality did not match it. NPS: 4.</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2EFDA" w:val="clear"/>
            <w:tcMar>
              <w:top w:type="dxa" w:w="80"/>
              <w:left w:type="dxa" w:w="180"/>
              <w:bottom w:type="dxa" w:w="80"/>
              <w:right w:type="dxa" w:w="180"/>
            </w:tcMar>
          </w:tcPr>
          <w:p>
            <w:pPr>
              <w:spacing w:after="80" w:before="0"/>
              <w:jc w:val="left"/>
            </w:pPr>
            <w:r>
              <w:rPr>
                <w:rFonts w:ascii="Arial" w:cs="Arial" w:eastAsia="Arial" w:hAnsi="Arial"/>
                <w:b/>
                <w:bCs/>
                <w:i w:val="false"/>
                <w:iCs w:val="false"/>
                <w:color w:val="375623"/>
                <w:sz w:val="19"/>
                <w:szCs w:val="19"/>
              </w:rPr>
              <w:t xml:space="preserve">R03 — </w:t>
            </w:r>
            <w:r>
              <w:rPr>
                <w:rFonts w:ascii="Arial" w:cs="Arial" w:eastAsia="Arial" w:hAnsi="Arial"/>
                <w:b/>
                <w:bCs/>
                <w:i w:val="false"/>
                <w:iCs w:val="false"/>
                <w:color w:val="404040"/>
                <w:sz w:val="19"/>
                <w:szCs w:val="19"/>
              </w:rPr>
              <w:t xml:space="preserve">Vantage Capital Group</w:t>
            </w:r>
            <w:r>
              <w:rPr>
                <w:rFonts w:ascii="Arial" w:cs="Arial" w:eastAsia="Arial" w:hAnsi="Arial"/>
                <w:b w:val="false"/>
                <w:bCs w:val="false"/>
                <w:i/>
                <w:iCs/>
                <w:color w:val="595959"/>
                <w:sz w:val="17"/>
                <w:szCs w:val="17"/>
              </w:rPr>
              <w:t xml:space="preserve">  |  C-Suite, $100M–$500M  |  Win</w:t>
            </w:r>
          </w:p>
        </w:tc>
      </w:tr>
    </w:tbl>
    <w:p>
      <w:pPr>
        <w:spacing w:after="80" w:before="0"/>
        <w:jc w:val="left"/>
      </w:pPr>
      <w:r>
        <w:rPr>
          <w:rFonts w:ascii="Arial" w:cs="Arial" w:eastAsia="Arial" w:hAnsi="Arial"/>
          <w:b w:val="false"/>
          <w:bCs w:val="false"/>
          <w:i w:val="false"/>
          <w:iCs w:val="false"/>
          <w:color w:val="404040"/>
          <w:sz w:val="20"/>
          <w:szCs w:val="20"/>
        </w:rPr>
        <w:t xml:space="preserve">Triggered by a strategic roadmap decision to move upmarket, with board support and dedicated budget. Arrived via analyst report. Conducted a full three-month evaluation including a structured pilot across a five-vendor field. Cited the product’s performance advantage and the team’s ability to match enterprise-level engagement requirements. Integration concerns were noted but not disqualifying. Satisfaction: Very High. NPS: 9.</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R04 — </w:t>
            </w:r>
            <w:r>
              <w:rPr>
                <w:rFonts w:ascii="Arial" w:cs="Arial" w:eastAsia="Arial" w:hAnsi="Arial"/>
                <w:b/>
                <w:bCs/>
                <w:i w:val="false"/>
                <w:iCs w:val="false"/>
                <w:color w:val="404040"/>
                <w:sz w:val="19"/>
                <w:szCs w:val="19"/>
              </w:rPr>
              <w:t xml:space="preserve">Apex Retail Group</w:t>
            </w:r>
            <w:r>
              <w:rPr>
                <w:rFonts w:ascii="Arial" w:cs="Arial" w:eastAsia="Arial" w:hAnsi="Arial"/>
                <w:b w:val="false"/>
                <w:bCs w:val="false"/>
                <w:i/>
                <w:iCs/>
                <w:color w:val="595959"/>
                <w:sz w:val="17"/>
                <w:szCs w:val="17"/>
              </w:rPr>
              <w:t xml:space="preserve">  |  Manager, under $5M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 budget planning cycle rather than a pressing operational need. Arrived via direct outreach with limited prior context. A flat-fee pricing requirement could not be met and the evaluation timeline did not accommodate a pilot. Clearwave was selected primarily on price predictability and implementation speed. Expressed genuine interest in reconsidering if a fixed-fee entry tier became available. NPS: 2.</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R05 — </w:t>
            </w:r>
            <w:r>
              <w:rPr>
                <w:rFonts w:ascii="Arial" w:cs="Arial" w:eastAsia="Arial" w:hAnsi="Arial"/>
                <w:b/>
                <w:bCs/>
                <w:i w:val="false"/>
                <w:iCs w:val="false"/>
                <w:color w:val="404040"/>
                <w:sz w:val="19"/>
                <w:szCs w:val="19"/>
              </w:rPr>
              <w:t xml:space="preserve">Helix Biotech Inc</w:t>
            </w:r>
            <w:r>
              <w:rPr>
                <w:rFonts w:ascii="Arial" w:cs="Arial" w:eastAsia="Arial" w:hAnsi="Arial"/>
                <w:b w:val="false"/>
                <w:bCs w:val="false"/>
                <w:i/>
                <w:iCs/>
                <w:color w:val="595959"/>
                <w:sz w:val="17"/>
                <w:szCs w:val="17"/>
              </w:rPr>
              <w:t xml:space="preserve">  |  VP, $25M–$100M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an organizational restructuring and competitive pressure. Arrived via G2 with informed expectations. Completed a pilot that surfaced two integration gaps the sales team had confirmed would not be a concern. The undisclosed gaps destroyed confidence in the vendor relationship. Prism Platform was selected for its pre-built connector ecosystem. Described the breakdown as preventable had the integration gaps been disclosed and addressed earlier in the process. NPS: 5.</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2EFDA" w:val="clear"/>
            <w:tcMar>
              <w:top w:type="dxa" w:w="80"/>
              <w:left w:type="dxa" w:w="180"/>
              <w:bottom w:type="dxa" w:w="80"/>
              <w:right w:type="dxa" w:w="180"/>
            </w:tcMar>
          </w:tcPr>
          <w:p>
            <w:pPr>
              <w:spacing w:after="80" w:before="0"/>
              <w:jc w:val="left"/>
            </w:pPr>
            <w:r>
              <w:rPr>
                <w:rFonts w:ascii="Arial" w:cs="Arial" w:eastAsia="Arial" w:hAnsi="Arial"/>
                <w:b/>
                <w:bCs/>
                <w:i w:val="false"/>
                <w:iCs w:val="false"/>
                <w:color w:val="375623"/>
                <w:sz w:val="19"/>
                <w:szCs w:val="19"/>
              </w:rPr>
              <w:t xml:space="preserve">R06 — </w:t>
            </w:r>
            <w:r>
              <w:rPr>
                <w:rFonts w:ascii="Arial" w:cs="Arial" w:eastAsia="Arial" w:hAnsi="Arial"/>
                <w:b/>
                <w:bCs/>
                <w:i w:val="false"/>
                <w:iCs w:val="false"/>
                <w:color w:val="404040"/>
                <w:sz w:val="19"/>
                <w:szCs w:val="19"/>
              </w:rPr>
              <w:t xml:space="preserve">Streamline Operations</w:t>
            </w:r>
            <w:r>
              <w:rPr>
                <w:rFonts w:ascii="Arial" w:cs="Arial" w:eastAsia="Arial" w:hAnsi="Arial"/>
                <w:b w:val="false"/>
                <w:bCs w:val="false"/>
                <w:i/>
                <w:iCs/>
                <w:color w:val="595959"/>
                <w:sz w:val="17"/>
                <w:szCs w:val="17"/>
              </w:rPr>
              <w:t xml:space="preserve">  |  Director, $100M–$500M  |  Win</w:t>
            </w:r>
          </w:p>
        </w:tc>
      </w:tr>
    </w:tbl>
    <w:p>
      <w:pPr>
        <w:spacing w:after="80" w:before="0"/>
        <w:jc w:val="left"/>
      </w:pPr>
      <w:r>
        <w:rPr>
          <w:rFonts w:ascii="Arial" w:cs="Arial" w:eastAsia="Arial" w:hAnsi="Arial"/>
          <w:b w:val="false"/>
          <w:bCs w:val="false"/>
          <w:i w:val="false"/>
          <w:iCs w:val="false"/>
          <w:color w:val="404040"/>
          <w:sz w:val="20"/>
          <w:szCs w:val="20"/>
        </w:rPr>
        <w:t xml:space="preserve">Triggered by an incumbent vendor failure, creating urgency within a defined evaluation. Arrived via peer referral. Completed a rapid two-vendor evaluation with a structured pilot. The proposal quality — described as the most tailored proposal received — was a decisive signal that the team understood the business context. SOC 2 and Salesforce integration coverage were confirmed in the first meeting. Satisfaction: Very High. NPS: 8.</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R07 — </w:t>
            </w:r>
            <w:r>
              <w:rPr>
                <w:rFonts w:ascii="Arial" w:cs="Arial" w:eastAsia="Arial" w:hAnsi="Arial"/>
                <w:b/>
                <w:bCs/>
                <w:i w:val="false"/>
                <w:iCs w:val="false"/>
                <w:color w:val="404040"/>
                <w:sz w:val="19"/>
                <w:szCs w:val="19"/>
              </w:rPr>
              <w:t xml:space="preserve">BluePeak Ventures</w:t>
            </w:r>
            <w:r>
              <w:rPr>
                <w:rFonts w:ascii="Arial" w:cs="Arial" w:eastAsia="Arial" w:hAnsi="Arial"/>
                <w:b w:val="false"/>
                <w:bCs w:val="false"/>
                <w:i/>
                <w:iCs/>
                <w:color w:val="595959"/>
                <w:sz w:val="17"/>
                <w:szCs w:val="17"/>
              </w:rPr>
              <w:t xml:space="preserve">  |  C-Suite, $5M–$25M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 major client ultimatum creating a 90-day evaluation deadline. Arrived via LinkedIn with generic intent. Multiple account handoffs — three contacts in thirty days — required repeated re-explanation of core requirements and eroded trust progressively. No pilot was conducted. Synova Analytics was selected for a specific workflow automation capability that appeared on the respondent’s daily checklist. The demo was praised despite the overall negative evaluation experience. NPS: 3.</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R08 — </w:t>
            </w:r>
            <w:r>
              <w:rPr>
                <w:rFonts w:ascii="Arial" w:cs="Arial" w:eastAsia="Arial" w:hAnsi="Arial"/>
                <w:b/>
                <w:bCs/>
                <w:i w:val="false"/>
                <w:iCs w:val="false"/>
                <w:color w:val="404040"/>
                <w:sz w:val="19"/>
                <w:szCs w:val="19"/>
              </w:rPr>
              <w:t xml:space="preserve">OmniPath Corporation</w:t>
            </w:r>
            <w:r>
              <w:rPr>
                <w:rFonts w:ascii="Arial" w:cs="Arial" w:eastAsia="Arial" w:hAnsi="Arial"/>
                <w:b w:val="false"/>
                <w:bCs w:val="false"/>
                <w:i/>
                <w:iCs/>
                <w:color w:val="595959"/>
                <w:sz w:val="17"/>
                <w:szCs w:val="17"/>
              </w:rPr>
              <w:t xml:space="preserve">  |  VP, over $500M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 post-merger consolidation mandate with a board-set ninety-day timeline. Arrived via analyst report with well-formed requirements. A hard Workday integration requirement was flagged as a must-have but could not be confirmed as an existing native capability. A four-week legal redline process then resulted in the evaluation expiring before contract review was complete. Velo Enterprise was selected on the basis of its twenty-year industry presence and FedRAMP certification. NPS: 4.</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2EFDA" w:val="clear"/>
            <w:tcMar>
              <w:top w:type="dxa" w:w="80"/>
              <w:left w:type="dxa" w:w="180"/>
              <w:bottom w:type="dxa" w:w="80"/>
              <w:right w:type="dxa" w:w="180"/>
            </w:tcMar>
          </w:tcPr>
          <w:p>
            <w:pPr>
              <w:spacing w:after="80" w:before="0"/>
              <w:jc w:val="left"/>
            </w:pPr>
            <w:r>
              <w:rPr>
                <w:rFonts w:ascii="Arial" w:cs="Arial" w:eastAsia="Arial" w:hAnsi="Arial"/>
                <w:b/>
                <w:bCs/>
                <w:i w:val="false"/>
                <w:iCs w:val="false"/>
                <w:color w:val="375623"/>
                <w:sz w:val="19"/>
                <w:szCs w:val="19"/>
              </w:rPr>
              <w:t xml:space="preserve">R09 — </w:t>
            </w:r>
            <w:r>
              <w:rPr>
                <w:rFonts w:ascii="Arial" w:cs="Arial" w:eastAsia="Arial" w:hAnsi="Arial"/>
                <w:b/>
                <w:bCs/>
                <w:i w:val="false"/>
                <w:iCs w:val="false"/>
                <w:color w:val="404040"/>
                <w:sz w:val="19"/>
                <w:szCs w:val="19"/>
              </w:rPr>
              <w:t xml:space="preserve">Clearfront Inc</w:t>
            </w:r>
            <w:r>
              <w:rPr>
                <w:rFonts w:ascii="Arial" w:cs="Arial" w:eastAsia="Arial" w:hAnsi="Arial"/>
                <w:b w:val="false"/>
                <w:bCs w:val="false"/>
                <w:i/>
                <w:iCs/>
                <w:color w:val="595959"/>
                <w:sz w:val="17"/>
                <w:szCs w:val="17"/>
              </w:rPr>
              <w:t xml:space="preserve">  |  Director, $25M–$100M  |  Win</w:t>
            </w:r>
          </w:p>
        </w:tc>
      </w:tr>
    </w:tbl>
    <w:p>
      <w:pPr>
        <w:spacing w:after="80" w:before="0"/>
        <w:jc w:val="left"/>
      </w:pPr>
      <w:r>
        <w:rPr>
          <w:rFonts w:ascii="Arial" w:cs="Arial" w:eastAsia="Arial" w:hAnsi="Arial"/>
          <w:b w:val="false"/>
          <w:bCs w:val="false"/>
          <w:i w:val="false"/>
          <w:iCs w:val="false"/>
          <w:color w:val="404040"/>
          <w:sz w:val="20"/>
          <w:szCs w:val="20"/>
        </w:rPr>
        <w:t xml:space="preserve">Triggered by competitive pressure in the respondent’s market requiring a new capability. Arrived via G2 with informed, specific expectations. Conducted a structured pilot following an initial demo. Response quality and speed were cited as primary relationship signals. Cited the product’s API flexibility as the differentiating capability that made the decision easy. Satisfaction: Very High. NPS: 7.</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R10 — </w:t>
            </w:r>
            <w:r>
              <w:rPr>
                <w:rFonts w:ascii="Arial" w:cs="Arial" w:eastAsia="Arial" w:hAnsi="Arial"/>
                <w:b/>
                <w:bCs/>
                <w:i w:val="false"/>
                <w:iCs w:val="false"/>
                <w:color w:val="404040"/>
                <w:sz w:val="19"/>
                <w:szCs w:val="19"/>
              </w:rPr>
              <w:t xml:space="preserve">Triton Logistics</w:t>
            </w:r>
            <w:r>
              <w:rPr>
                <w:rFonts w:ascii="Arial" w:cs="Arial" w:eastAsia="Arial" w:hAnsi="Arial"/>
                <w:b w:val="false"/>
                <w:bCs w:val="false"/>
                <w:i/>
                <w:iCs/>
                <w:color w:val="595959"/>
                <w:sz w:val="17"/>
                <w:szCs w:val="17"/>
              </w:rPr>
              <w:t xml:space="preserve">  |  Manager, $5M–$25M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 vendor contract renewal and concurrent vendor underperformance. Arrived via web search. Cited pricing model unpredictability — not price level — as the primary commercial objection. Multiple follow-up handoffs prevented a coherent relationship from forming. No pilot was conducted. Clearwave was selected at approximately half the price with a flat-fee structure the respondent’s CFO could approve without an escalation. Expressed interest in reconsidering if commercial model flexibility improved. NPS: 3.</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2EFDA" w:val="clear"/>
            <w:tcMar>
              <w:top w:type="dxa" w:w="80"/>
              <w:left w:type="dxa" w:w="180"/>
              <w:bottom w:type="dxa" w:w="80"/>
              <w:right w:type="dxa" w:w="180"/>
            </w:tcMar>
          </w:tcPr>
          <w:p>
            <w:pPr>
              <w:spacing w:after="80" w:before="0"/>
              <w:jc w:val="left"/>
            </w:pPr>
            <w:r>
              <w:rPr>
                <w:rFonts w:ascii="Arial" w:cs="Arial" w:eastAsia="Arial" w:hAnsi="Arial"/>
                <w:b/>
                <w:bCs/>
                <w:i w:val="false"/>
                <w:iCs w:val="false"/>
                <w:color w:val="375623"/>
                <w:sz w:val="19"/>
                <w:szCs w:val="19"/>
              </w:rPr>
              <w:t xml:space="preserve">R11 — </w:t>
            </w:r>
            <w:r>
              <w:rPr>
                <w:rFonts w:ascii="Arial" w:cs="Arial" w:eastAsia="Arial" w:hAnsi="Arial"/>
                <w:b/>
                <w:bCs/>
                <w:i w:val="false"/>
                <w:iCs w:val="false"/>
                <w:color w:val="404040"/>
                <w:sz w:val="19"/>
                <w:szCs w:val="19"/>
              </w:rPr>
              <w:t xml:space="preserve">Pinecrest Health Systems</w:t>
            </w:r>
            <w:r>
              <w:rPr>
                <w:rFonts w:ascii="Arial" w:cs="Arial" w:eastAsia="Arial" w:hAnsi="Arial"/>
                <w:b w:val="false"/>
                <w:bCs w:val="false"/>
                <w:i/>
                <w:iCs/>
                <w:color w:val="595959"/>
                <w:sz w:val="17"/>
                <w:szCs w:val="17"/>
              </w:rPr>
              <w:t xml:space="preserve">  |  VP, $100M–$500M  |  Win</w:t>
            </w:r>
          </w:p>
        </w:tc>
      </w:tr>
    </w:tbl>
    <w:p>
      <w:pPr>
        <w:spacing w:after="80" w:before="0"/>
        <w:jc w:val="left"/>
      </w:pPr>
      <w:r>
        <w:rPr>
          <w:rFonts w:ascii="Arial" w:cs="Arial" w:eastAsia="Arial" w:hAnsi="Arial"/>
          <w:b w:val="false"/>
          <w:bCs w:val="false"/>
          <w:i w:val="false"/>
          <w:iCs w:val="false"/>
          <w:color w:val="404040"/>
          <w:sz w:val="20"/>
          <w:szCs w:val="20"/>
        </w:rPr>
        <w:t xml:space="preserve">Triggered by a strategic new capability initiative with board-level support and a twelve-month timeline. Arrived via a conference encounter and subsequent follow-up. The evaluation team’s decision to bring the head of product to a technical architecture session was described as the defining interaction quality moment in the entire evaluation. Completed a full pilot with a dedicated implementation team. The pilot team’s quality was noted as even stronger than the sales team. Satisfaction: Very High. NPS: 9.</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R12 — </w:t>
            </w:r>
            <w:r>
              <w:rPr>
                <w:rFonts w:ascii="Arial" w:cs="Arial" w:eastAsia="Arial" w:hAnsi="Arial"/>
                <w:b/>
                <w:bCs/>
                <w:i w:val="false"/>
                <w:iCs w:val="false"/>
                <w:color w:val="404040"/>
                <w:sz w:val="19"/>
                <w:szCs w:val="19"/>
              </w:rPr>
              <w:t xml:space="preserve">DeltaForce Media</w:t>
            </w:r>
            <w:r>
              <w:rPr>
                <w:rFonts w:ascii="Arial" w:cs="Arial" w:eastAsia="Arial" w:hAnsi="Arial"/>
                <w:b w:val="false"/>
                <w:bCs w:val="false"/>
                <w:i/>
                <w:iCs/>
                <w:color w:val="595959"/>
                <w:sz w:val="17"/>
                <w:szCs w:val="17"/>
              </w:rPr>
              <w:t xml:space="preserve">  |  Director, $25M–$100M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 vendor underperformance issue and a concurrent organizational change. Arrived via peer referral. Completed a pilot that was technically acceptable but revealed that two of seven required integrations were not available natively. The ROI conversation was described as the weakest part of the engagement — the respondent wanted business case materials to champion internally and received generic messaging. Prism Platform was selected for its complete integration coverage. Noted that a 15-20% price reduction combined with two additional integrations would have changed the outcome. NPS: 5.</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2EFDA" w:val="clear"/>
            <w:tcMar>
              <w:top w:type="dxa" w:w="80"/>
              <w:left w:type="dxa" w:w="180"/>
              <w:bottom w:type="dxa" w:w="80"/>
              <w:right w:type="dxa" w:w="180"/>
            </w:tcMar>
          </w:tcPr>
          <w:p>
            <w:pPr>
              <w:spacing w:after="80" w:before="0"/>
              <w:jc w:val="left"/>
            </w:pPr>
            <w:r>
              <w:rPr>
                <w:rFonts w:ascii="Arial" w:cs="Arial" w:eastAsia="Arial" w:hAnsi="Arial"/>
                <w:b/>
                <w:bCs/>
                <w:i w:val="false"/>
                <w:iCs w:val="false"/>
                <w:color w:val="375623"/>
                <w:sz w:val="19"/>
                <w:szCs w:val="19"/>
              </w:rPr>
              <w:t xml:space="preserve">R13 — </w:t>
            </w:r>
            <w:r>
              <w:rPr>
                <w:rFonts w:ascii="Arial" w:cs="Arial" w:eastAsia="Arial" w:hAnsi="Arial"/>
                <w:b/>
                <w:bCs/>
                <w:i w:val="false"/>
                <w:iCs w:val="false"/>
                <w:color w:val="404040"/>
                <w:sz w:val="19"/>
                <w:szCs w:val="19"/>
              </w:rPr>
              <w:t xml:space="preserve">Keystone Advisory</w:t>
            </w:r>
            <w:r>
              <w:rPr>
                <w:rFonts w:ascii="Arial" w:cs="Arial" w:eastAsia="Arial" w:hAnsi="Arial"/>
                <w:b w:val="false"/>
                <w:bCs w:val="false"/>
                <w:i/>
                <w:iCs/>
                <w:color w:val="595959"/>
                <w:sz w:val="17"/>
                <w:szCs w:val="17"/>
              </w:rPr>
              <w:t xml:space="preserve">  |  C-Suite, under $25M  |  Win</w:t>
            </w:r>
          </w:p>
        </w:tc>
      </w:tr>
    </w:tbl>
    <w:p>
      <w:pPr>
        <w:spacing w:after="80" w:before="0"/>
        <w:jc w:val="left"/>
      </w:pPr>
      <w:r>
        <w:rPr>
          <w:rFonts w:ascii="Arial" w:cs="Arial" w:eastAsia="Arial" w:hAnsi="Arial"/>
          <w:b w:val="false"/>
          <w:bCs w:val="false"/>
          <w:i w:val="false"/>
          <w:iCs w:val="false"/>
          <w:color w:val="404040"/>
          <w:sz w:val="20"/>
          <w:szCs w:val="20"/>
        </w:rPr>
        <w:t xml:space="preserve">Triggered by a budget availability signal at the end of the fiscal year, creating a compressed 30-day evaluation timeline. Arrived via direct sales outreach. The team’s industry preparation — including specific knowledge of the respondent’s client segments — was cited as the defining differentiation. No formal pilot was conducted due to timeline; the evaluation proceeded on demo quality and reference conversations. The product performed better than expected post-implementation. Satisfaction: Very High. NPS: 8.</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R14 — </w:t>
            </w:r>
            <w:r>
              <w:rPr>
                <w:rFonts w:ascii="Arial" w:cs="Arial" w:eastAsia="Arial" w:hAnsi="Arial"/>
                <w:b/>
                <w:bCs/>
                <w:i w:val="false"/>
                <w:iCs w:val="false"/>
                <w:color w:val="404040"/>
                <w:sz w:val="19"/>
                <w:szCs w:val="19"/>
              </w:rPr>
              <w:t xml:space="preserve">Fenwick Solutions</w:t>
            </w:r>
            <w:r>
              <w:rPr>
                <w:rFonts w:ascii="Arial" w:cs="Arial" w:eastAsia="Arial" w:hAnsi="Arial"/>
                <w:b w:val="false"/>
                <w:bCs w:val="false"/>
                <w:i/>
                <w:iCs/>
                <w:color w:val="595959"/>
                <w:sz w:val="17"/>
                <w:szCs w:val="17"/>
              </w:rPr>
              <w:t xml:space="preserve">  |  Manager, under $5M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an organizational leadership change that mandated a technology stack review. Arrived via web search with limited prior context. A hard flat-fee pricing requirement could not be met and the respondent did not have the organizational standing to escalate a custom commercial request. No pilot was conducted. Clearwave was selected on price and implementation simplicity. Expressed no strong negative sentiment toward the product; the loss was characterized as a budget process incompatibility rather than a product deficiency. NPS: 2.</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ADBD8" w:val="clear"/>
            <w:tcMar>
              <w:top w:type="dxa" w:w="80"/>
              <w:left w:type="dxa" w:w="180"/>
              <w:bottom w:type="dxa" w:w="80"/>
              <w:right w:type="dxa" w:w="180"/>
            </w:tcMar>
          </w:tcPr>
          <w:p>
            <w:pPr>
              <w:spacing w:after="80" w:before="0"/>
              <w:jc w:val="left"/>
            </w:pPr>
            <w:r>
              <w:rPr>
                <w:rFonts w:ascii="Arial" w:cs="Arial" w:eastAsia="Arial" w:hAnsi="Arial"/>
                <w:b/>
                <w:bCs/>
                <w:i w:val="false"/>
                <w:iCs w:val="false"/>
                <w:color w:val="9B2335"/>
                <w:sz w:val="19"/>
                <w:szCs w:val="19"/>
              </w:rPr>
              <w:t xml:space="preserve">R15 — </w:t>
            </w:r>
            <w:r>
              <w:rPr>
                <w:rFonts w:ascii="Arial" w:cs="Arial" w:eastAsia="Arial" w:hAnsi="Arial"/>
                <w:b/>
                <w:bCs/>
                <w:i w:val="false"/>
                <w:iCs w:val="false"/>
                <w:color w:val="404040"/>
                <w:sz w:val="19"/>
                <w:szCs w:val="19"/>
              </w:rPr>
              <w:t xml:space="preserve">Northgate Capital</w:t>
            </w:r>
            <w:r>
              <w:rPr>
                <w:rFonts w:ascii="Arial" w:cs="Arial" w:eastAsia="Arial" w:hAnsi="Arial"/>
                <w:b w:val="false"/>
                <w:bCs w:val="false"/>
                <w:i/>
                <w:iCs/>
                <w:color w:val="595959"/>
                <w:sz w:val="17"/>
                <w:szCs w:val="17"/>
              </w:rPr>
              <w:t xml:space="preserve">  |  Director, $25M–$100M  |  Loss</w:t>
            </w:r>
          </w:p>
        </w:tc>
      </w:tr>
    </w:tbl>
    <w:p>
      <w:pPr>
        <w:spacing w:after="80" w:before="0"/>
        <w:jc w:val="left"/>
      </w:pPr>
      <w:r>
        <w:rPr>
          <w:rFonts w:ascii="Arial" w:cs="Arial" w:eastAsia="Arial" w:hAnsi="Arial"/>
          <w:b w:val="false"/>
          <w:bCs w:val="false"/>
          <w:i w:val="false"/>
          <w:iCs w:val="false"/>
          <w:color w:val="404040"/>
          <w:sz w:val="20"/>
          <w:szCs w:val="20"/>
        </w:rPr>
        <w:t xml:space="preserve">Triggered by competitive pressure in the respondent’s market and a net-new capability need. Arrived via LinkedIn with general category interest. A SOC 2 Type II certification requirement could not be confirmed within the compliance timeline required by the respondent’s legal team. The integration breadth gap was also a factor, with four of seven required integrations unavailable natively. Synova Analytics was selected for product depth and a cleaner compliance posture. Offered specific advice about the quality of LinkedIn content as a credibility signal that did not carry through to the product experience. NPS: 4.</w:t>
      </w:r>
    </w:p>
    <w:p>
      <w:pPr>
        <w:spacing w:after="0" w:before="60"/>
      </w:pPr>
      <w:r>
        <w:t xml:space="preserve"/>
      </w:r>
    </w:p>
    <w:p>
      <w:pPr>
        <w:spacing w:after="0" w:before="80"/>
      </w:pPr>
      <w:r>
        <w:t xml:space="preserve"/>
      </w:r>
    </w:p>
    <w:p>
      <w:pPr>
        <w:pBdr>
          <w:top w:val="single" w:color="CCCCCC" w:sz="4" w:space="1"/>
        </w:pBdr>
        <w:spacing w:after="40" w:before="80"/>
      </w:pPr>
      <w:r>
        <w:rPr>
          <w:rFonts w:ascii="Arial" w:cs="Arial" w:eastAsia="Arial" w:hAnsi="Arial"/>
          <w:b w:val="false"/>
          <w:bCs w:val="false"/>
          <w:i/>
          <w:iCs/>
          <w:color w:val="595959"/>
          <w:sz w:val="16"/>
          <w:szCs w:val="16"/>
        </w:rPr>
        <w:t xml:space="preserve">Prepared by DevelopmentCorporate LLC  |  Confidential and Proprietary  |  Q1 2026</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b w:val="false"/>
        <w:bCs w:val="false"/>
        <w:i w:val="false"/>
        <w:iCs w:val="false"/>
        <w:color w:val="595959"/>
        <w:sz w:val="16"/>
        <w:szCs w:val="16"/>
      </w:rPr>
      <w:t xml:space="preserve">Confidential — For Internal Use Only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b w:val="false"/>
        <w:bCs w:val="false"/>
        <w:i w:val="false"/>
        <w:iCs w:val="false"/>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720"/>
      <w:gridCol w:w="3000"/>
    </w:tblGrid>
    <w:tr>
      <w:tc>
        <w:tcPr>
          <w:tcW w:type="dxa" w:w="6720"/>
          <w:tcBorders>
            <w:top w:val="none" w:color="FFFFFF" w:sz="0"/>
            <w:left w:val="none" w:color="FFFFFF" w:sz="0"/>
            <w:bottom w:val="none" w:color="FFFFFF" w:sz="0"/>
            <w:right w:val="none" w:color="FFFFFF" w:sz="0"/>
          </w:tcBorders>
        </w:tcPr>
        <w:p>
          <w:pPr>
            <w:spacing w:after="80" w:before="0"/>
            <w:jc w:val="left"/>
          </w:pPr>
          <w:r>
            <w:rPr>
              <w:rFonts w:ascii="Arial" w:cs="Arial" w:eastAsia="Arial" w:hAnsi="Arial"/>
              <w:b/>
              <w:bCs/>
              <w:i w:val="false"/>
              <w:iCs w:val="false"/>
              <w:color w:val="1F4E79"/>
              <w:sz w:val="18"/>
              <w:szCs w:val="18"/>
            </w:rPr>
            <w:t xml:space="preserve">Win/Loss Interview Analysis Report</w:t>
          </w:r>
        </w:p>
      </w:tc>
      <w:tc>
        <w:tcPr>
          <w:tcW w:type="dxa" w:w="3000"/>
          <w:tcBorders>
            <w:top w:val="none" w:color="FFFFFF" w:sz="0"/>
            <w:left w:val="none" w:color="FFFFFF" w:sz="0"/>
            <w:bottom w:val="none" w:color="FFFFFF" w:sz="0"/>
            <w:right w:val="none" w:color="FFFFFF" w:sz="0"/>
          </w:tcBorders>
        </w:tcPr>
        <w:p>
          <w:pPr>
            <w:spacing w:after="0"/>
            <w:jc w:val="right"/>
          </w:pPr>
          <w:r>
            <w:rPr>
              <w:rFonts w:ascii="Arial" w:cs="Arial" w:eastAsia="Arial" w:hAnsi="Arial"/>
              <w:b w:val="false"/>
              <w:bCs w:val="false"/>
              <w:i w:val="false"/>
              <w:iCs w:val="false"/>
              <w:color w:val="595959"/>
              <w:sz w:val="18"/>
              <w:szCs w:val="18"/>
            </w:rPr>
            <w:t xml:space="preserve">wholesome.tech  |  Q1 2026</w:t>
          </w:r>
        </w:p>
      </w:tc>
    </w:tr>
  </w:tbl>
  <w:p>
    <w:pPr>
      <w:pBdr>
        <w:bottom w:val="single" w:color="2E75B6" w:sz="6"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lvl w:ilvl="1" w15:tentative="1">
      <w:start w:val="1"/>
      <w:numFmt w:val="bullet"/>
      <w:lvlText w:val="–"/>
      <w:lvlJc w:val="left"/>
      <w:pPr>
        <w:ind w:left="90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0404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FFFFFF"/>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1F4E7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2026-05-12T22:45:56.440Z</dcterms:created>
  <dcterms:modified xsi:type="dcterms:W3CDTF">2026-05-12T22:45:56.453Z</dcterms:modified>
</cp:coreProperties>
</file>

<file path=docProps/custom.xml><?xml version="1.0" encoding="utf-8"?>
<Properties xmlns="http://schemas.openxmlformats.org/officeDocument/2006/custom-properties" xmlns:vt="http://schemas.openxmlformats.org/officeDocument/2006/docPropsVTypes"/>
</file>