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footer+xml" PartName="/word/footer2.xml"/>
  <Override ContentType="application/vnd.openxmlformats-officedocument.wordprocessingml.header+xml" PartName="/word/header2.xml"/>
  <Override ContentType="application/vnd.openxmlformats-officedocument.wordprocessingml.footer+xml" PartName="/word/footer3.xml"/>
  <Override ContentType="application/vnd.openxmlformats-officedocument.wordprocessingml.header+xml" PartName="/word/header3.xml"/>
  <Override ContentType="application/vnd.openxmlformats-officedocument.wordprocessingml.footer+xml" PartName="/word/footer4.xml"/>
  <Override ContentType="application/vnd.openxmlformats-officedocument.wordprocessingml.header+xml" PartName="/word/header4.xml"/>
  <Override ContentType="application/vnd.openxmlformats-officedocument.wordprocessingml.footer+xml" PartName="/word/footer5.xml"/>
  <Override ContentType="application/vnd.openxmlformats-officedocument.wordprocessingml.header+xml" PartName="/word/header5.xml"/>
  <Override ContentType="application/vnd.openxmlformats-officedocument.wordprocessingml.footer+xml" PartName="/word/footer6.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1440"/>
        <w:jc w:val="center"/>
      </w:pPr>
      <w:r>
        <w:rPr>
          <w:rFonts w:ascii="Arial" w:cs="Arial" w:eastAsia="Arial" w:hAnsi="Arial"/>
          <w:b/>
          <w:bCs/>
          <w:i w:val="false"/>
          <w:iCs w:val="false"/>
          <w:color w:val="1F4E79"/>
          <w:sz w:val="56"/>
          <w:szCs w:val="56"/>
        </w:rPr>
        <w:t xml:space="preserve">WIN/LOSS ANALYSIS</w:t>
      </w:r>
    </w:p>
    <w:p>
      <w:pPr>
        <w:spacing w:after="60"/>
        <w:jc w:val="center"/>
      </w:pPr>
      <w:r>
        <w:rPr>
          <w:rFonts w:ascii="Arial" w:cs="Arial" w:eastAsia="Arial" w:hAnsi="Arial"/>
          <w:b w:val="false"/>
          <w:bCs w:val="false"/>
          <w:i w:val="false"/>
          <w:iCs w:val="false"/>
          <w:color w:val="2E75B6"/>
          <w:sz w:val="34"/>
          <w:szCs w:val="34"/>
        </w:rPr>
        <w:t xml:space="preserve">Interview Transcripts</w:t>
      </w:r>
    </w:p>
    <w:p>
      <w:pPr>
        <w:spacing w:after="40"/>
        <w:jc w:val="center"/>
      </w:pPr>
      <w:r>
        <w:rPr>
          <w:rFonts w:ascii="Arial" w:cs="Arial" w:eastAsia="Arial" w:hAnsi="Arial"/>
          <w:b w:val="false"/>
          <w:bCs w:val="false"/>
          <w:i w:val="false"/>
          <w:iCs w:val="false"/>
          <w:color w:val="595959"/>
          <w:sz w:val="22"/>
          <w:szCs w:val="22"/>
        </w:rPr>
        <w:t xml:space="preserve">wholesome.tech  |  Q1 2026  |  5 Selected Transcripts</w:t>
      </w:r>
    </w:p>
    <w:p>
      <w:pPr>
        <w:pBdr>
          <w:bottom w:val="single" w:color="2E75B6" w:sz="8" w:space="1"/>
        </w:pBdr>
        <w:spacing w:after="2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color="FFFFFF" w:sz="0"/>
              <w:left w:val="none" w:color="FFFFFF" w:sz="0"/>
              <w:bottom w:val="none" w:color="FFFFFF" w:sz="0"/>
              <w:right w:val="none" w:color="FFFFFF" w:sz="0"/>
            </w:tcBorders>
            <w:shd w:fill="E2EFDA" w:val="clear"/>
            <w:tcMar>
              <w:top w:type="dxa" w:w="120"/>
              <w:left w:type="dxa" w:w="200"/>
              <w:bottom w:type="dxa" w:w="20"/>
              <w:right w:type="dxa" w:w="120"/>
            </w:tcMar>
          </w:tcPr>
          <w:p>
            <w:pPr>
              <w:spacing w:after="0"/>
            </w:pPr>
            <w:r>
              <w:rPr>
                <w:rFonts w:ascii="Arial" w:cs="Arial" w:eastAsia="Arial" w:hAnsi="Arial"/>
                <w:b w:val="false"/>
                <w:bCs w:val="false"/>
                <w:i w:val="false"/>
                <w:iCs w:val="false"/>
                <w:color w:val="595959"/>
                <w:sz w:val="16"/>
                <w:szCs w:val="16"/>
              </w:rPr>
              <w:t xml:space="preserve">Win Transcripts</w:t>
            </w:r>
          </w:p>
        </w:tc>
        <w:tc>
          <w:tcPr>
            <w:tcW w:type="dxa" w:w="4680"/>
            <w:tcBorders>
              <w:top w:val="none" w:color="FFFFFF" w:sz="0"/>
              <w:left w:val="none" w:color="FFFFFF" w:sz="0"/>
              <w:bottom w:val="none" w:color="FFFFFF" w:sz="0"/>
              <w:right w:val="none" w:color="FFFFFF" w:sz="0"/>
            </w:tcBorders>
            <w:shd w:fill="FADBD8" w:val="clear"/>
            <w:tcMar>
              <w:top w:type="dxa" w:w="120"/>
              <w:left w:type="dxa" w:w="200"/>
              <w:bottom w:type="dxa" w:w="20"/>
              <w:right w:type="dxa" w:w="120"/>
            </w:tcMar>
          </w:tcPr>
          <w:p>
            <w:pPr>
              <w:spacing w:after="0"/>
            </w:pPr>
            <w:r>
              <w:rPr>
                <w:rFonts w:ascii="Arial" w:cs="Arial" w:eastAsia="Arial" w:hAnsi="Arial"/>
                <w:b w:val="false"/>
                <w:bCs w:val="false"/>
                <w:i w:val="false"/>
                <w:iCs w:val="false"/>
                <w:color w:val="595959"/>
                <w:sz w:val="16"/>
                <w:szCs w:val="16"/>
              </w:rPr>
              <w:t xml:space="preserve">Loss Transcripts</w:t>
            </w:r>
          </w:p>
        </w:tc>
      </w:tr>
      <w:tr>
        <w:tc>
          <w:tcPr>
            <w:tcW w:type="dxa" w:w="4680"/>
            <w:tcBorders>
              <w:top w:val="none" w:color="FFFFFF" w:sz="0"/>
              <w:left w:val="none" w:color="FFFFFF" w:sz="0"/>
              <w:bottom w:val="none" w:color="FFFFFF" w:sz="0"/>
              <w:right w:val="none" w:color="FFFFFF" w:sz="0"/>
            </w:tcBorders>
            <w:shd w:fill="E2EFDA" w:val="clear"/>
            <w:tcMar>
              <w:top w:type="dxa" w:w="0"/>
              <w:left w:type="dxa" w:w="200"/>
              <w:bottom w:type="dxa" w:w="120"/>
              <w:right w:type="dxa" w:w="120"/>
            </w:tcMar>
          </w:tcPr>
          <w:p>
            <w:pPr>
              <w:spacing w:after="0"/>
            </w:pPr>
            <w:r>
              <w:rPr>
                <w:rFonts w:ascii="Arial" w:cs="Arial" w:eastAsia="Arial" w:hAnsi="Arial"/>
                <w:b/>
                <w:bCs/>
                <w:i w:val="false"/>
                <w:iCs w:val="false"/>
                <w:color w:val="375623"/>
                <w:sz w:val="48"/>
                <w:szCs w:val="48"/>
              </w:rPr>
              <w:t xml:space="preserve">3</w:t>
            </w:r>
          </w:p>
        </w:tc>
        <w:tc>
          <w:tcPr>
            <w:tcW w:type="dxa" w:w="4680"/>
            <w:tcBorders>
              <w:top w:val="none" w:color="FFFFFF" w:sz="0"/>
              <w:left w:val="none" w:color="FFFFFF" w:sz="0"/>
              <w:bottom w:val="none" w:color="FFFFFF" w:sz="0"/>
              <w:right w:val="none" w:color="FFFFFF" w:sz="0"/>
            </w:tcBorders>
            <w:shd w:fill="FADBD8" w:val="clear"/>
            <w:tcMar>
              <w:top w:type="dxa" w:w="0"/>
              <w:left w:type="dxa" w:w="200"/>
              <w:bottom w:type="dxa" w:w="120"/>
              <w:right w:type="dxa" w:w="120"/>
            </w:tcMar>
          </w:tcPr>
          <w:p>
            <w:pPr>
              <w:spacing w:after="0"/>
            </w:pPr>
            <w:r>
              <w:rPr>
                <w:rFonts w:ascii="Arial" w:cs="Arial" w:eastAsia="Arial" w:hAnsi="Arial"/>
                <w:b/>
                <w:bCs/>
                <w:i w:val="false"/>
                <w:iCs w:val="false"/>
                <w:color w:val="9B2335"/>
                <w:sz w:val="48"/>
                <w:szCs w:val="48"/>
              </w:rPr>
              <w:t xml:space="preserve">2</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40"/>
        <w:gridCol w:w="2560"/>
        <w:gridCol w:w="2560"/>
        <w:gridCol w:w="1800"/>
        <w:gridCol w:w="1800"/>
      </w:tblGrid>
      <w:tr>
        <w:tc>
          <w:tcPr>
            <w:tcW w:type="dxa" w:w="6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6"/>
                <w:szCs w:val="16"/>
              </w:rPr>
              <w:t xml:space="preserve">ID</w:t>
            </w:r>
          </w:p>
        </w:tc>
        <w:tc>
          <w:tcPr>
            <w:tcW w:type="dxa" w:w="2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Company</w:t>
            </w:r>
          </w:p>
        </w:tc>
        <w:tc>
          <w:tcPr>
            <w:tcW w:type="dxa" w:w="256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Respondent</w:t>
            </w:r>
          </w:p>
        </w:tc>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6"/>
                <w:szCs w:val="16"/>
              </w:rPr>
              <w:t xml:space="preserve">Outcome</w:t>
            </w:r>
          </w:p>
        </w:tc>
        <w:tc>
          <w:tcPr>
            <w:tcW w:type="dxa" w:w="180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FFFFFF"/>
                <w:sz w:val="16"/>
                <w:szCs w:val="16"/>
              </w:rPr>
              <w:t xml:space="preserve">NPS</w:t>
            </w:r>
          </w:p>
        </w:tc>
      </w:tr>
      <w:tr>
        <w:tc>
          <w:tcPr>
            <w:tcW w:type="dxa" w:w="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R01</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Meridian Analytics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Sarah Chen — Director, Revenue Operations</w:t>
            </w:r>
          </w:p>
        </w:tc>
        <w:tc>
          <w:tcPr>
            <w:tcW w:type="dxa" w:w="1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375623"/>
                <w:sz w:val="16"/>
                <w:szCs w:val="16"/>
              </w:rPr>
              <w:t xml:space="preserve">Win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375623"/>
                <w:sz w:val="16"/>
                <w:szCs w:val="16"/>
              </w:rPr>
              <w:t xml:space="preserve">8 / 10</w:t>
            </w:r>
          </w:p>
        </w:tc>
      </w:tr>
      <w:tr>
        <w:tc>
          <w:tcPr>
            <w:tcW w:type="dxa" w:w="6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R03</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Vantage Capital Group</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James Harrington — President &amp; Chief Executive Officer</w:t>
            </w:r>
          </w:p>
        </w:tc>
        <w:tc>
          <w:tcPr>
            <w:tcW w:type="dxa" w:w="1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375623"/>
                <w:sz w:val="16"/>
                <w:szCs w:val="16"/>
              </w:rPr>
              <w:t xml:space="preserve">Win</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375623"/>
                <w:sz w:val="16"/>
                <w:szCs w:val="16"/>
              </w:rPr>
              <w:t xml:space="preserve">9 / 10</w:t>
            </w:r>
          </w:p>
        </w:tc>
      </w:tr>
      <w:tr>
        <w:tc>
          <w:tcPr>
            <w:tcW w:type="dxa" w:w="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R11</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Pinecrest Health Systems</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Dr. Michelle Torres — VP, Digital Health &amp; Innovation</w:t>
            </w:r>
          </w:p>
        </w:tc>
        <w:tc>
          <w:tcPr>
            <w:tcW w:type="dxa" w:w="180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375623"/>
                <w:sz w:val="16"/>
                <w:szCs w:val="16"/>
              </w:rPr>
              <w:t xml:space="preserve">Win</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375623"/>
                <w:sz w:val="16"/>
                <w:szCs w:val="16"/>
              </w:rPr>
              <w:t xml:space="preserve">9 / 10</w:t>
            </w:r>
          </w:p>
        </w:tc>
      </w:tr>
      <w:tr>
        <w:tc>
          <w:tcPr>
            <w:tcW w:type="dxa" w:w="6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R02</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Cascade Systems</w:t>
            </w:r>
          </w:p>
        </w:tc>
        <w:tc>
          <w:tcPr>
            <w:tcW w:type="dxa" w:w="256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David Park — VP of Product</w:t>
            </w:r>
          </w:p>
        </w:tc>
        <w:tc>
          <w:tcPr>
            <w:tcW w:type="dxa" w:w="18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9B2335"/>
                <w:sz w:val="16"/>
                <w:szCs w:val="16"/>
              </w:rPr>
              <w:t xml:space="preserve">Loss</w:t>
            </w:r>
          </w:p>
        </w:tc>
        <w:tc>
          <w:tcPr>
            <w:tcW w:type="dxa" w:w="180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9B2335"/>
                <w:sz w:val="16"/>
                <w:szCs w:val="16"/>
              </w:rPr>
              <w:t xml:space="preserve">4 / 10</w:t>
            </w:r>
          </w:p>
        </w:tc>
      </w:tr>
      <w:tr>
        <w:tc>
          <w:tcPr>
            <w:tcW w:type="dxa" w:w="6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2E75B6"/>
                <w:sz w:val="16"/>
                <w:szCs w:val="16"/>
              </w:rPr>
              <w:t xml:space="preserve">R05</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Helix Biotech Inc</w:t>
            </w:r>
          </w:p>
        </w:tc>
        <w:tc>
          <w:tcPr>
            <w:tcW w:type="dxa" w:w="2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5"/>
                <w:szCs w:val="15"/>
              </w:rPr>
              <w:t xml:space="preserve">Rachel Gupta — VP of Operations</w:t>
            </w:r>
          </w:p>
        </w:tc>
        <w:tc>
          <w:tcPr>
            <w:tcW w:type="dxa" w:w="180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9B2335"/>
                <w:sz w:val="16"/>
                <w:szCs w:val="16"/>
              </w:rPr>
              <w:t xml:space="preserve">Loss</w:t>
            </w:r>
          </w:p>
        </w:tc>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center"/>
            </w:pPr>
            <w:r>
              <w:rPr>
                <w:rFonts w:ascii="Arial" w:cs="Arial" w:eastAsia="Arial" w:hAnsi="Arial"/>
                <w:b/>
                <w:bCs/>
                <w:i w:val="false"/>
                <w:iCs w:val="false"/>
                <w:color w:val="C65C00"/>
                <w:sz w:val="16"/>
                <w:szCs w:val="16"/>
              </w:rPr>
              <w:t xml:space="preserve">5 / 10</w:t>
            </w:r>
          </w:p>
        </w:tc>
      </w:tr>
    </w:tbl>
    <w:p>
      <w:pPr>
        <w:spacing w:after="0" w:before="200"/>
      </w:pPr>
      <w:r>
        <w:t xml:space="preserve"/>
      </w:r>
    </w:p>
    <w:p>
      <w:pPr>
        <w:spacing w:after="60"/>
        <w:jc w:val="center"/>
      </w:pPr>
      <w:r>
        <w:rPr>
          <w:rFonts w:ascii="Arial" w:cs="Arial" w:eastAsia="Arial" w:hAnsi="Arial"/>
          <w:b w:val="false"/>
          <w:bCs w:val="false"/>
          <w:i/>
          <w:iCs/>
          <w:color w:val="595959"/>
          <w:sz w:val="18"/>
          <w:szCs w:val="18"/>
        </w:rPr>
        <w:t xml:space="preserve">Confidential — For Internal Research Use Only</w:t>
      </w:r>
    </w:p>
    <w:p>
      <w:pPr>
        <w:spacing w:after="0"/>
        <w:jc w:val="center"/>
      </w:pPr>
      <w:r>
        <w:rPr>
          <w:rFonts w:ascii="Arial" w:cs="Arial" w:eastAsia="Arial" w:hAnsi="Arial"/>
          <w:b w:val="false"/>
          <w:bCs w:val="false"/>
          <w:i/>
          <w:iCs/>
          <w:color w:val="595959"/>
          <w:sz w:val="18"/>
          <w:szCs w:val="18"/>
        </w:rPr>
        <w:t xml:space="preserve">Prepared by DevelopmentCorporate LLC</w:t>
      </w:r>
    </w:p>
    <w:p>
      <w:pPr>
        <w:sectPr>
          <w:footerReference w:type="default" r:id="rId7"/>
          <w:pgSz w:w="12240" w:h="15840" w:orient="portrait"/>
          <w:pgMar w:top="1080" w:right="1260" w:bottom="1080" w:left="1260" w:header="708" w:footer="708" w:gutter="0"/>
          <w:pgNumType/>
          <w:docGrid w:linePitch="360"/>
        </w:sectPr>
      </w:pPr>
    </w:p>
    <w:p>
      <w:pPr>
        <w:spacing w:after="60" w:before="0"/>
      </w:pPr>
      <w:r>
        <w:rPr>
          <w:rFonts w:ascii="Arial" w:cs="Arial" w:eastAsia="Arial" w:hAnsi="Arial"/>
          <w:b w:val="false"/>
          <w:bCs w:val="false"/>
          <w:i/>
          <w:iCs/>
          <w:color w:val="595959"/>
          <w:sz w:val="14"/>
          <w:szCs w:val="14"/>
        </w:rPr>
        <w:t xml:space="preserve">Interview Transcript</w:t>
      </w:r>
    </w:p>
    <w:p>
      <w:pPr>
        <w:pBdr>
          <w:bottom w:val="single" w:color="2E75B6" w:sz="8" w:space="1"/>
        </w:pBdr>
        <w:spacing w:after="40" w:before="0"/>
      </w:pPr>
      <w:r>
        <w:rPr>
          <w:rFonts w:ascii="Arial" w:cs="Arial" w:eastAsia="Arial" w:hAnsi="Arial"/>
          <w:b/>
          <w:bCs/>
          <w:i w:val="false"/>
          <w:iCs w:val="false"/>
          <w:color w:val="2E75B6"/>
          <w:sz w:val="28"/>
          <w:szCs w:val="28"/>
        </w:rPr>
        <w:t xml:space="preserve">R01 — </w:t>
      </w:r>
      <w:r>
        <w:rPr>
          <w:rFonts w:ascii="Arial" w:cs="Arial" w:eastAsia="Arial" w:hAnsi="Arial"/>
          <w:b/>
          <w:bCs/>
          <w:i w:val="false"/>
          <w:iCs w:val="false"/>
          <w:color w:val="1F4E79"/>
          <w:sz w:val="28"/>
          <w:szCs w:val="28"/>
        </w:rPr>
        <w:t xml:space="preserve">Meridian Analytics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Company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Respondent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Title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Outcome</w:t>
            </w:r>
          </w:p>
        </w:tc>
      </w:tr>
      <w:tr>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F4E79"/>
                <w:sz w:val="17"/>
                <w:szCs w:val="17"/>
              </w:rPr>
              <w:t xml:space="preserve">Meridian Analytics</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Sarah Chen</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Director, Revenue Operations</w:t>
            </w:r>
          </w:p>
        </w:tc>
        <w:tc>
          <w:tcPr>
            <w:tcW w:type="dxa" w:w="234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7"/>
                <w:szCs w:val="17"/>
              </w:rPr>
              <w:t xml:space="preserve">Win</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Date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Duration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Discovery Channel</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NPS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February 12, 2026</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54 minutes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Peer referral</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6"/>
                <w:szCs w:val="16"/>
              </w:rPr>
              <w:t xml:space="preserve">8 / 10</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Industry</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Revenue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Interviewer ID</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Final Decision</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B2B SaaS — Analytics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$25M–$100M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DevelopmentCorporate LLC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6"/>
                <w:szCs w:val="16"/>
              </w:rPr>
              <w:t xml:space="preserve">Selected wholesome.tech</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0"/>
              <w:bottom w:val="none" w:color="FFFFFF" w:sz="0"/>
              <w:right w:val="none" w:color="FFFFFF" w:sz="0"/>
            </w:tcBorders>
            <w:shd w:fill="FFF2CC" w:val="clear"/>
            <w:tcMar>
              <w:top w:type="dxa" w:w="80"/>
              <w:left w:type="dxa" w:w="160"/>
              <w:bottom w:type="dxa" w:w="80"/>
              <w:right w:type="dxa" w:w="160"/>
            </w:tcMar>
          </w:tcPr>
          <w:p>
            <w:pPr>
              <w:spacing w:after="0"/>
            </w:pPr>
            <w:r>
              <w:rPr>
                <w:rFonts w:ascii="Arial" w:cs="Arial" w:eastAsia="Arial" w:hAnsi="Arial"/>
                <w:b/>
                <w:bCs/>
                <w:i w:val="false"/>
                <w:iCs w:val="false"/>
                <w:color w:val="C65C00"/>
                <w:sz w:val="17"/>
                <w:szCs w:val="17"/>
              </w:rPr>
              <w:t xml:space="preserve">Confidentiality notice: </w:t>
            </w:r>
            <w:r>
              <w:rPr>
                <w:rFonts w:ascii="Arial" w:cs="Arial" w:eastAsia="Arial" w:hAnsi="Arial"/>
                <w:b w:val="false"/>
                <w:bCs w:val="false"/>
                <w:i/>
                <w:iCs/>
                <w:color w:val="595959"/>
                <w:sz w:val="17"/>
                <w:szCs w:val="17"/>
              </w:rPr>
              <w:t xml:space="preserve">This transcript is derived from a simulated win/loss interview conducted as part of the wholesome.tech Q1 2026 research program. Respondent identity has been preserved for research integrity. This document is confidential and is intended for internal distribution only.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00 — Respondent Context &amp; Rapport</w:t>
            </w:r>
          </w:p>
        </w:tc>
      </w:tr>
    </w:tbl>
    <w:p>
      <w:pPr>
        <w:spacing w:after="0" w:before="40"/>
      </w:pPr>
      <w:r>
        <w:t xml:space="preserve"/>
      </w:r>
    </w:p>
    <w:p>
      <w:pPr>
        <w:pBdr>
          <w:left w:val="single" w:color="BBBBBB" w:sz="6"/>
        </w:pBdr>
        <w:spacing w:after="60" w:before="60"/>
        <w:ind w:left="160"/>
      </w:pPr>
      <w:r>
        <w:rPr>
          <w:rFonts w:ascii="Arial" w:cs="Arial" w:eastAsia="Arial" w:hAnsi="Arial"/>
          <w:b w:val="false"/>
          <w:bCs w:val="false"/>
          <w:i/>
          <w:iCs/>
          <w:color w:val="595959"/>
          <w:sz w:val="17"/>
          <w:szCs w:val="17"/>
        </w:rPr>
        <w:t xml:space="preserve">Opening: recording consent obtained. Respondent joined from her home office in San Francisco.</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Sarah, thank you so much for making time today. Just to confirm — you’re comfortable with me recording this session for note-taking purposes only?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absolutely. Go ahead.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Great. So, for the record — you’re Director of Revenue Operations at Meridian Analytics. Is that still the right title?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That’s right. Eighteen months in the role. It’s been a busy eighteen months.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 can imagine. Can you give me a quick picture of what your team is actually responsible for?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Sure. We own the full revenue stack — CRM administration, sales operations, forecasting, and analytics. We’re about twelve people supporting a forty-person go-to-market organization. When the company decided to invest in scaling RevOps after our Series B, that’s really when the conversation about new tooling got serious.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you the primary decision-maker, or were there others with meaningful input?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 drove the evaluation end to end and owned the final recommendation. The CFO had sign-off authority. And our VP of Engineering was involved for the technical review. So three people with real weight, but I was the one building the process and managing the vendor relationships.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And Meridian is around what size right now from a revenue standpoint?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We’re at about twenty-eight million ARR. Growing quickly. We closed our B round last spring, which is what opened up the budget for this investment.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01 — Triggering Event &amp; Business Context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Let’s get into the evaluation. What was the specific event or condition that triggered the search for a new solution?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Honestly, the trigger was the Series B close itself. We had been operating on a set of disconnected point solutions for two years — they worked fine at fifteen million ARR, but we knew they were not going to scale with us. The board conversation around the B was explicitly about investing in go-to-market infrastructure. So the day after we closed, I sat down with the CFO and we agreed that Q3 was the window to get this done properly.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So this was a proactive, planned evaluation rather than a reaction to a failure?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Completely proactive. Which, in retrospect, I think changed the entire character of the evaluation. We weren’t in a panic. We had a clear picture of what we needed. We had dedicated budget. We had executive alignment. We could actually conduct a real evaluation instead of a fire drill.</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the cost of not solving this problem — was there a financial pressure attached?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Less a direct cost and more a significant opportunity cost. We were planning to hire twenty more salespeople in the twelve months following the round. Without the right infrastructure, a meaningful portion of that headcount investment was going to be absorbed by manual work. We estimated roughly a thirty percent productivity improvement if we got this right. That’s a large number in a forty-person GTM team.</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That’s a compelling ROI case. How long had the problem existed before the formal evaluation started?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had known for about eighteen months that we would eventually need to upgrade. But we didn’t have the budget or the board backing until the B round closed. The formal evaluation started in early July.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And the internal approval process — was there a formal business case required?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Our CFO had already championed this before I even built the business case. She had seen this problem at her previous company and had strong views about what the right infrastructure looked like. When the CFO is saying get this done, evaluations don’t get deprioritized.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02 — Discovery &amp; Awareness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first become aware of wholesome.tech specifically?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A direct referral. A colleague of mine from my previous company — she’s the RevOps Director at a company about twice our size — called me unprompted and said, you have to look at these people. She’d been a customer for about a year. That one call was worth more to me than any analyst report or review site.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made that recommendation carry so much weight?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She is extraordinarily discerning. She does not recommend tools casually. When she calls, I listen. And the specifics of what she described matched our situation very precisely. She was not saying it’s great in a generic way. She was saying here is exactly how it solved the specific problem you have been telling me about for a year. That level of specificity in a referral is rare.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Beyond the referral, did you use other sources to validate your vendor long list?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built a list of six vendors. Two came from peer referrals including wholesome.tech. Two came from G2, where I did a fairly deep read of the reviews, not just the star ratings but the use case descriptions. One came from an analyst report our VP of Sales had saved. And one came from our VP of Engineering, who had experience with them at a prior company. We ran a quick RFI and narrowed to three finalists.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first impression of wholesome.tech’s website and positioning?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Very strong. They speak the language of revenue operations, not just sales software. That distinction matters more than it sounds. A lot of vendors talk to salespeople. These folks talked to the people who run and optimize sales systems. That positioning immediately resonated with how I think about my own role.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03 — Interactions with the wholesome.tech Team</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Let’s talk about your experience interacting with the wholesome.tech team throughout the evaluation. What was the overall quality like?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Genuinely exceptional. I say that as someone who evaluates vendors for a living, so I am not prone to hyperbole. The preparation, the responsiveness, the caliber of who they put in front of us at each stage — all of it was differentiated from every other vendor in the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Can you give me a specific moment that stood out?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I can be very specific. Before our second call, the sales engineer sent me a note in which she referenced our most recent annual company recap — we publish it publicly. She mentioned our new enterprise product line and specifically described how it changed the support model requirements she expected we would need from a RevOps platform. That was the moment I knew we were dealing with a different kind of company. Nobody does that level of homework. Nobody.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was responsiveness throughout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Exceptional. I sent a detailed technical question via email at ten o’clock on a Tuesday evening about API rate limits and specific integration behavior. I had a substantive, structured response by eight the following morning, with three options laid out clearly, not a vague acknowledgment. And that response did not come from a BDR or a coordinator. It came from the account executive herself, who understood the technical context of the question.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ever feel like they were giving you a generic pitch rather than engaging with your specific situation?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Never once. Every conversation was calibrated to where we were in the evaluation and what our specific concerns were at that precise moment. They tracked our progress better than we did internally, honestly.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feel about the seniority of the people you had access to?</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always had access to the right level. When we had a technical architecture question, they brought in someone technical with genuine depth. When we needed to discuss contract structure, someone senior from their commercial team joined that conversation. The resource deployment always matched the phase of the evaluation we were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04 — Evaluation &amp; Pilot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conduct a formal proof-of-concept?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A two-week POC with a tight, agreed-upon scope. Before we started, we defined five success criteria together — documented, signed off on both sides. The criteria covered performance on our actual data for three of our highest-priority workflows.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POC go?</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They hit every criterion. By day ten I had already started drafting my internal recommendation memo. The last four days of the pilot were almost a formality — the decision was clear.</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any surprises? Did the product perform differently from how it had been demonstrated?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product performed exactly as demonstrated. Which, in my experience evaluating software, is genuinely unusual. The demo is typically the peak and the reality is slightly below it. Here the consistency was maintained throughout the entire pilot. That kind of consistency creates a quality of trust that you cannot manufacture with a well-produced pitch deck.</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implementation team that ran the POC compare to the sales team?</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They were technically stronger, as you would expect, but equally focused on our success. What I remember specifically is that on day three, they proactively flagged a configuration decision that could create a performance issue down the road before we had encountered it. That anticipatory quality during a pilot tells you everything about what ongoing support is going to feel like.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run parallel evaluations with other vendors during this period?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had narrowed to two finalists before the pilot. We ran them sequentially, not simultaneously. wholesome.tech went first. After the pilot completed, I called off the second evaluation. The decision felt clear enough that running a parallel process felt like wasted time.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05 — Must-Have Requirements &amp; Decision Factors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your absolute must-have requirements going into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Three hard requirements, all of which we confirmed in writing before any demo. First, SOC 2 Type II certification — our enterprise clients require it. Second, a native Salesforce integration, and by native I mean a real certified integration, not an API wrapper. Third, a documented public API with flexible rate limits that our engineering team could build against reliably.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wholesome.tech clear those gates clearly?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They sent a compliance and integration brief before the first demo, unsolicited. We hadn’t asked for it. It addressed all three requirements with documentation. That was actually the first signal that they understood how RevOps evaluations work.</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Beyond the must-haves, what were the preference factors that drove the final recommendation?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In order: product capabilities, specifically the reporting flexibility and the workflow automation depth compared to the alternatives. Second, the quality of the team we would be working with on an ongoing basis — which the evaluation gave me a very clear window into. Third, ease of implementation, which the POC validated directly.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any capability gaps you noticed during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One area. The integration with our billing system is more configuration-intensive than the Salesforce integration. It works, but it required more custom setup than I expected. I flagged it internally at the time. Four months post-implementation, it hasn’t been a significant problem, but it is the one dimension I would not give a perfect score 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vendor stability factor in?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ask about longevity with every vendor at our revenue stage. The team walked us through their investor base, ARR growth trajectory, and net revenue retention. The CFO asked those questions directly in a separate call. The answers were specific and credible.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06 — Pricing &amp; Commercial Terms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reaction to wholesome.tech’s pricing?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It was higher than two of the five vendors we evaluated. Meaningfully higher. But the value case was clear and we had an executive sponsor who trusted the investment. We did not attempt to negotiate the price down. We negotiated the contract structure instead.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did you focus on in the structure negotiation?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wanted an annual contract with a ninety-day termination clause. Our CFO’s position was that she would approve a premium price if there was a meaningful exit right in year one. They agreed without significant pushback. That flexibility gave her the confidence to sign off. I have seen commercial processes more expensive than the price itself; this one was not.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any surprises in the commercial process?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No surprises of any kind. The contract we received matched the term sheet. The pricing model was exactly as described. Legal review took eleven business days, which is fast for our legal team. The whole commercial process from term sheet to signature was seventeen days.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predictable was the pricing model for budgeting purposes?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Very predictable. Fixed annual fee, clear and explicit renewal terms, expansion pricing tied to specific seat count thresholds that I could model. I built our three-year total cost of ownership on a single spreadsheet in about twenty minutes. That is what a finance team needs to approve something.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07 — Sales Process &amp; Team Assessment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describe the overall sales process?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 would describe it as the benchmark against which I now evaluate every other vendor process. On the very first call, before they showed us a single slide, they asked how we make purchasing decisions internally, what our approval process looks like, and what our timeline was. Then they built their entire commercial process around our buying cycle, not their sales calendar. I have done dozens of vendor evaluations in my career. No one has ever done that.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quality of their materials compare to others in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proposal document was specific to us. It referenced our company’s annual recap. It mentioned our enterprise product line. It quantified the productivity improvement in terms of our team size and hiring plan. That is what a proposal should be. Not a template with the company name swapped in the header.</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anything the team did that hurt their chances at any point in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 have been genuinely trying to think of one. The closest would be that the initial pilot environment setup took slightly longer than I expected — about five business days from signed agreement to a live environment. That created a brief delay. But it was a minor friction point in an otherwise clean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08 — Outcome &amp; Competitive Displacement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ultimately put wholesome.tech over the line?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Two things, equally weighted. First, the POC performance. The product did what it promised, consistently, on our actual data. That is the most reliable signal available in a software evaluation and it was unambiguous. Second, the team. Throughout the evaluation, every interaction made me feel like our account was a priority. I knew intellectually we were probably not their largest account. But every interaction felt like we were. That combination of product performance and team quality is genuinely rare.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confident are you in the decision today?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Very confident. We are four months post-implementation. The productivity improvement we modeled has materialized. The team is satisfied with the tooling. We have not had a support issue that wasn’t resolved within the business day. I would make the same decision again with the same information. Without hesitation.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09 — Advice &amp; Management Recommendations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If you were advising the CEO of wholesome.tech, what is the single most important thing they should do differently?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Make the POC easier to start. That five-day environment setup I mentioned — that nearly cost you our business because our VP of Engineering was ready to run the second evaluation concurrently and I had to talk him out of it. If you could get from a signed pilot agreement to a live environment in forty-eight hours, you would win more deals. Some buyers won’t wait five days in a competitive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Is there a capability you wish was stronger?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billing system integration I mentioned. Build that out. For companies at our growth stage, having billing data flow cleanly into revenue operations without custom engineering is critical. It is the one area where you are a product version behind where you need to be.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 suggestions on what they should stop doing?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Nothing significant comes to mind. The process was clean from start to finish.</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Anything else you’d want the leadership team to know?</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The sales engineer who ran our evaluation is exceptional. Whatever you are doing to hire and develop people at that caliber in the sales engineering function, do not stop. She is the reason I called my colleague back and told her she had made a good recommendation. That kind of talent is the best marketing a company can have.</w:t>
      </w:r>
    </w:p>
    <w:p>
      <w:pPr>
        <w:pBdr>
          <w:left w:val="single" w:color="BBBBBB" w:sz="6"/>
        </w:pBdr>
        <w:spacing w:after="60" w:before="60"/>
        <w:ind w:left="160"/>
      </w:pPr>
      <w:r>
        <w:rPr>
          <w:rFonts w:ascii="Arial" w:cs="Arial" w:eastAsia="Arial" w:hAnsi="Arial"/>
          <w:b w:val="false"/>
          <w:bCs w:val="false"/>
          <w:i/>
          <w:iCs/>
          <w:color w:val="595959"/>
          <w:sz w:val="17"/>
          <w:szCs w:val="17"/>
        </w:rPr>
        <w:t xml:space="preserve">Closing: respondent offered to serve as a reference and to make a peer introduction to a VP of RevOps in her investor’s portfolio.</w:t>
      </w:r>
    </w:p>
    <w:p>
      <w:pPr>
        <w:spacing w:after="0" w:before="80"/>
      </w:pPr>
      <w:r>
        <w:t xml:space="preserve"/>
      </w:r>
    </w:p>
    <w:p>
      <w:pPr>
        <w:pBdr>
          <w:top w:val="single" w:color="CCCCCC" w:sz="4" w:space="1"/>
        </w:pBdr>
        <w:spacing w:after="40" w:before="80"/>
      </w:pPr>
      <w:r>
        <w:rPr>
          <w:rFonts w:ascii="Arial" w:cs="Arial" w:eastAsia="Arial" w:hAnsi="Arial"/>
          <w:b w:val="false"/>
          <w:bCs w:val="false"/>
          <w:i/>
          <w:iCs/>
          <w:color w:val="595959"/>
          <w:sz w:val="16"/>
          <w:szCs w:val="16"/>
        </w:rPr>
        <w:t xml:space="preserve">--- End of Transcript R01 — Meridian Analytics ---</w:t>
      </w:r>
    </w:p>
    <w:p>
      <w:pPr>
        <w:sectPr>
          <w:headerReference w:type="default" r:id="rId8"/>
          <w:footerReference w:type="default" r:id="rId9"/>
          <w:pgSz w:w="12240" w:h="15840" w:orient="portrait"/>
          <w:pgMar w:top="1080" w:right="1260" w:bottom="1080" w:left="1260" w:header="708" w:footer="708" w:gutter="0"/>
          <w:pgNumType/>
          <w:docGrid w:linePitch="360"/>
        </w:sectPr>
      </w:pPr>
    </w:p>
    <w:p>
      <w:pPr>
        <w:spacing w:after="60" w:before="0"/>
      </w:pPr>
      <w:r>
        <w:rPr>
          <w:rFonts w:ascii="Arial" w:cs="Arial" w:eastAsia="Arial" w:hAnsi="Arial"/>
          <w:b w:val="false"/>
          <w:bCs w:val="false"/>
          <w:i/>
          <w:iCs/>
          <w:color w:val="595959"/>
          <w:sz w:val="14"/>
          <w:szCs w:val="14"/>
        </w:rPr>
        <w:t xml:space="preserve">Interview Transcript</w:t>
      </w:r>
    </w:p>
    <w:p>
      <w:pPr>
        <w:pBdr>
          <w:bottom w:val="single" w:color="2E75B6" w:sz="8" w:space="1"/>
        </w:pBdr>
        <w:spacing w:after="40" w:before="0"/>
      </w:pPr>
      <w:r>
        <w:rPr>
          <w:rFonts w:ascii="Arial" w:cs="Arial" w:eastAsia="Arial" w:hAnsi="Arial"/>
          <w:b/>
          <w:bCs/>
          <w:i w:val="false"/>
          <w:iCs w:val="false"/>
          <w:color w:val="2E75B6"/>
          <w:sz w:val="28"/>
          <w:szCs w:val="28"/>
        </w:rPr>
        <w:t xml:space="preserve">R03 — </w:t>
      </w:r>
      <w:r>
        <w:rPr>
          <w:rFonts w:ascii="Arial" w:cs="Arial" w:eastAsia="Arial" w:hAnsi="Arial"/>
          <w:b/>
          <w:bCs/>
          <w:i w:val="false"/>
          <w:iCs w:val="false"/>
          <w:color w:val="1F4E79"/>
          <w:sz w:val="28"/>
          <w:szCs w:val="28"/>
        </w:rPr>
        <w:t xml:space="preserve">Vantage Capital Group</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Company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Respondent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Title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Outcome</w:t>
            </w:r>
          </w:p>
        </w:tc>
      </w:tr>
      <w:tr>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F4E79"/>
                <w:sz w:val="17"/>
                <w:szCs w:val="17"/>
              </w:rPr>
              <w:t xml:space="preserve">Vantage Capital Group</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James Harrington</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President &amp; Chief Executive Officer</w:t>
            </w:r>
          </w:p>
        </w:tc>
        <w:tc>
          <w:tcPr>
            <w:tcW w:type="dxa" w:w="234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7"/>
                <w:szCs w:val="17"/>
              </w:rPr>
              <w:t xml:space="preserve">Win</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Date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Duration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Discovery Channel</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NPS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February 18, 2026</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49 minutes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Analyst report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6"/>
                <w:szCs w:val="16"/>
              </w:rPr>
              <w:t xml:space="preserve">9 / 10</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Industry</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Revenue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Interviewer ID</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Final Decision</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Private Equity — Asset Management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$100M–$500M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DevelopmentCorporate LLC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6"/>
                <w:szCs w:val="16"/>
              </w:rPr>
              <w:t xml:space="preserve">Selected wholesome.tech</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0"/>
              <w:bottom w:val="none" w:color="FFFFFF" w:sz="0"/>
              <w:right w:val="none" w:color="FFFFFF" w:sz="0"/>
            </w:tcBorders>
            <w:shd w:fill="FFF2CC" w:val="clear"/>
            <w:tcMar>
              <w:top w:type="dxa" w:w="80"/>
              <w:left w:type="dxa" w:w="160"/>
              <w:bottom w:type="dxa" w:w="80"/>
              <w:right w:type="dxa" w:w="160"/>
            </w:tcMar>
          </w:tcPr>
          <w:p>
            <w:pPr>
              <w:spacing w:after="0"/>
            </w:pPr>
            <w:r>
              <w:rPr>
                <w:rFonts w:ascii="Arial" w:cs="Arial" w:eastAsia="Arial" w:hAnsi="Arial"/>
                <w:b/>
                <w:bCs/>
                <w:i w:val="false"/>
                <w:iCs w:val="false"/>
                <w:color w:val="C65C00"/>
                <w:sz w:val="17"/>
                <w:szCs w:val="17"/>
              </w:rPr>
              <w:t xml:space="preserve">Confidentiality notice: </w:t>
            </w:r>
            <w:r>
              <w:rPr>
                <w:rFonts w:ascii="Arial" w:cs="Arial" w:eastAsia="Arial" w:hAnsi="Arial"/>
                <w:b w:val="false"/>
                <w:bCs w:val="false"/>
                <w:i/>
                <w:iCs/>
                <w:color w:val="595959"/>
                <w:sz w:val="17"/>
                <w:szCs w:val="17"/>
              </w:rPr>
              <w:t xml:space="preserve">This transcript is derived from a simulated win/loss interview conducted as part of the wholesome.tech Q1 2026 research program. Respondent identity has been preserved for research integrity. This document is confidential and is intended for internal distribution only.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00 — Respondent Context &amp; Rapport</w:t>
            </w:r>
          </w:p>
        </w:tc>
      </w:tr>
    </w:tbl>
    <w:p>
      <w:pPr>
        <w:spacing w:after="0" w:before="40"/>
      </w:pPr>
      <w:r>
        <w:t xml:space="preserve"/>
      </w:r>
    </w:p>
    <w:p>
      <w:pPr>
        <w:pBdr>
          <w:left w:val="single" w:color="BBBBBB" w:sz="6"/>
        </w:pBdr>
        <w:spacing w:after="60" w:before="60"/>
        <w:ind w:left="160"/>
      </w:pPr>
      <w:r>
        <w:rPr>
          <w:rFonts w:ascii="Arial" w:cs="Arial" w:eastAsia="Arial" w:hAnsi="Arial"/>
          <w:b w:val="false"/>
          <w:bCs w:val="false"/>
          <w:i/>
          <w:iCs/>
          <w:color w:val="595959"/>
          <w:sz w:val="17"/>
          <w:szCs w:val="17"/>
        </w:rPr>
        <w:t xml:space="preserve">Opening: recording consent obtained. Interview conducted via video conference. Respondent was concise throughout — characteristic of a CEO managing a dense schedule.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Mr. Harrington, thank you for your time today. You’re comfortable with recording for note-taking purposes only?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that’s fine. Let’s get into it.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Appreciated. For context — you’re President and CEO of Vantage Capital Group. Can you briefly describe the scope of the firm?</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Vantage is a private equity firm. We manage approximately one hundred and seventy-five million in assets under management across three funds — lower middle market, primary focus on business services and healthcare services. We have a team of nineteen across investment, operations, and portfolio support.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And you were the primary decision-maker for this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With input from our COO and our Chief Compliance Officer. The compliance dimension was significant in this evaluation. But the final decision was mine.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01 — Triggering Event &amp; Business Context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triggered the decision to evaluate new solutions?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Two things converged. First, we were moving upmarket in terms of fund size. Our third fund is approximately twice the size of our second, and our institutional LP base has materially different reporting and transparency expectations. The tools we used for our first two funds were not adequate for what institutional LPs expect in terms of data access, audit trails, and reporting sophistication. Second, we were hiring a new CFO who had specific expectations about the infrastructure she was walking into. Those two things together created the mandate.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 specific deadline tied to this?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new CFO’s start date was the practical deadline. We wanted the platform live and operational before she arrived so she was not inheriting a transition. That gave us about five months.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long had the underlying problem existed?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had been aware of the limitations for about two years. But a lower middle market firm running two funds can tolerate infrastructure that a firm running three institutional funds cannot. The move upmarket created the forcing function.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02 — Discovery &amp; Awareness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find wholesome.tech specifically?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An industry analyst report. I read it on a flight and it positioned them as a differentiated option in the mid-market segment. I forwarded it to our COO that evening. She ran the initial diligence and confirmed they met the threshold to bring into a formal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many vendors did you ultimately evaluate?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Four made the short list. We ran a structured process — written RFI, scored on eleven criteria, two vendors eliminated before the demo phase, two finalists including wholesome.tech taken through to a full pilot.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first impression of wholesome.tech’s positioning and materials?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analyst had been specific about their institutional-grade compliance posture, which was critical for us. When we reviewed their materials, the compliance documentation was the most complete we received from any vendor. That created a strong first impression with our Chief Compliance Officer, which matters significantly in how we run evaluations.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03 — Interactions with the wholesome.tech Team</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describe your interactions with the team throughout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Professional, substantive, and appropriately senior. I do not have patience for evaluation processes that require me to educate the vendor about my industry. This team arrived knowledgeable about private equity reporting requirements, LP dynamics, and the compliance landscape. That is a high bar and they cleared it.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 specific moment in the evaluation that stood out?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When our COO raised a concern about the audit trail capability during the second demo — a fairly technical compliance question about how the system logs data access events — the account executive said clearly she was not the right person to answer that and offered to schedule a session with their compliance engineer within forty-eight hours. That session happened in thirty-six hours. The right people, at the right time, with the right answers. That is how a vendor earns trust with a compliance-sensitive organization.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responsiveness compare to other vendors in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Best in class among the four we evaluated. The runner-up was significantly slower. In a compressed five-month evaluation, responsiveness is a proxy for execution capability. If you cannot respond quickly in a competitive evaluation, I have no reason to believe you will respond quickly when we have a production issue at ten in the morning before an LP meeting.</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04 — Evaluation &amp; Pilot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conduct a formal pilot?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A six-week structured pilot using one of our existing portfolio company data sets — anonymized for the pilot. We defined eight success criteria including reporting output quality, data ingestion speed, audit logging completeness, and user interface assessment by three members of our operations team.</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pilot perform against those criteria?</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Seven of eight criteria met cleanly. The eighth — related to a specific white-label reporting format one of our LPs uses — required a configuration adjustment that their implementation team delivered within the pilot period. That responsiveness during the pilot was itself a positive signal.</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any surprises — gaps between the demonstration and the actual product behavior?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None significant. The product performed consistently with how it was positioned. One area that performed better than expected was the data ingestion pipeline — faster than they had quoted, which is a pleasant direction for a surprise to go.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05 — Must-Have Requirements &amp; Decision Factors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your must-have requirements going in?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Three categories. Compliance posture — SOC 2 Type II, documented data access logging, and a clear data residency policy compatible with our regulatory environment. Reporting quality — specifically the ability to produce institutional-grade LP reports without significant custom development. And integration with our core portfolio management system. All three had to be confirmed before we would proceed past RFI.</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ultimately drove the final decision in wholesome.tech’s favor?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Product quality, decisively. In a head-to-head comparison on the criteria that mattered most to us, they were materially ahead of the alternative finalist. The compliance engineer session I mentioned earlier also contributed to organizational confidence in a way that is difficult to quantify but real. And they were the only vendor whose implementation team felt senior enough to manage the complexity of our environment.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security or compliance factors that were decisive?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audit logging depth was a differentiator. The alternative finalist’s logging was adequate. wholesome.tech’s was genuinely comprehensive. For a firm where regulatory examination risk is real, adequate is not the bar we are aiming for.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06 — Pricing &amp; Commercial Terms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reaction to the pricing?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It was premium relative to the alternative. I expected that given the compliance depth. The value case was clear and documented by our COO in a memo that went to our investment committee for approval. The approval was unanimous.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 commercial terms straightforward?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Reasonably so. We had one round of legal negotiation primarily around data protection and indemnification language. That process took about three weeks, which was within our timeline. The final agreement was fair.</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pricing model predictability important to your approval process?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We needed a fixed annual fee structure. Usage-based models are not compatible with how we budget at the fund level. They confirmed a fixed-fee structure early, which simplified the financial approval process significantly.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07 — Sales Process &amp; Team Assessment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describe the sales process overall?</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Disciplined and appropriately paced. They asked the right qualifying questions early, did not waste time on capabilities that were not relevant to our use case, and matched the seniority of their team to the seniority of our stakeholders. I do not enjoy sales processes. This one I respected.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materials compare to other vendors?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compliance brief they sent before the first meeting was the strongest single piece of sales material I received from any vendor. It directly addressed the three compliance questions our CCO cares about most. Someone had done the work to understand what a private equity firm’s compliance officer needs to see, and they had built a document that answered those questions before we had to ask them.</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anything they did that hurt their standing at any point?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One minor point. Early in the evaluation, there was some ambiguity about which version of a specific feature was available in the current release versus the upcoming roadmap. It was clarified promptly and honestly, but it created a brief moment of uncertainty that a more careful initial scoping conversation would have prevented.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08 — Outcome &amp; Competitive Displacement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ultimately put wholesome.tech over the line versus the alternative finalist?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Product depth and compliance maturity. In a firm like ours, where a regulatory examination can happen at any time and our LP base includes institutional investors with their own audit requirements, the depth of compliance capability is not a nice-to-have. It is the center of the evaluation. On that dimension, the competition was not close.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confident are you in the decision today?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new CFO has been in seat for three months. She has expressed satisfaction with the infrastructure she walked into. That is the most meaningful validation I can offer you.</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09 — Advice &amp; Management Recommendations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is the single most important thing the wholesome.tech leadership team should do differently?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Build more financial services and private equity-specific case studies. The analyst report that introduced us to them was compelling, but it cited examples from technology companies. I would like to have seen evidence that they had done this for firms like ours before I engaged. The compliance engineer’s depth gave me that confidence eventually, but earlier evidence would have shortened my due diligence process.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Is there a capability you wish was stronger?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LP portal customization is currently limited. We can produce the reports we need, but the branding and white-label flexibility is not where it should be for a premium product in the institutional market. That is a product gap that matters in our segment.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 advice on what they should stop doing?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occasional ambiguity around roadmap versus released features I mentioned. Be precise. Private equity professionals are accustomed to analyzing information carefully and we notice imprecision.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Anything else you would want management to know?</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compliance engineer they assigned to our account is a significant competitive asset. That level of domain depth is rare in a vendor of their size and stage. Protect that talent.</w:t>
      </w:r>
    </w:p>
    <w:p>
      <w:pPr>
        <w:pBdr>
          <w:left w:val="single" w:color="BBBBBB" w:sz="6"/>
        </w:pBdr>
        <w:spacing w:after="60" w:before="60"/>
        <w:ind w:left="160"/>
      </w:pPr>
      <w:r>
        <w:rPr>
          <w:rFonts w:ascii="Arial" w:cs="Arial" w:eastAsia="Arial" w:hAnsi="Arial"/>
          <w:b w:val="false"/>
          <w:bCs w:val="false"/>
          <w:i/>
          <w:iCs/>
          <w:color w:val="595959"/>
          <w:sz w:val="17"/>
          <w:szCs w:val="17"/>
        </w:rPr>
        <w:t xml:space="preserve">Closing: respondent offered to participate in a case study contingent on legal review. Interview concluded at 49 minutes.</w:t>
      </w:r>
    </w:p>
    <w:p>
      <w:pPr>
        <w:spacing w:after="0" w:before="80"/>
      </w:pPr>
      <w:r>
        <w:t xml:space="preserve"/>
      </w:r>
    </w:p>
    <w:p>
      <w:pPr>
        <w:pBdr>
          <w:top w:val="single" w:color="CCCCCC" w:sz="4" w:space="1"/>
        </w:pBdr>
        <w:spacing w:after="40" w:before="80"/>
      </w:pPr>
      <w:r>
        <w:rPr>
          <w:rFonts w:ascii="Arial" w:cs="Arial" w:eastAsia="Arial" w:hAnsi="Arial"/>
          <w:b w:val="false"/>
          <w:bCs w:val="false"/>
          <w:i/>
          <w:iCs/>
          <w:color w:val="595959"/>
          <w:sz w:val="16"/>
          <w:szCs w:val="16"/>
        </w:rPr>
        <w:t xml:space="preserve">--- End of Transcript R03 — Vantage Capital Group ---</w:t>
      </w:r>
    </w:p>
    <w:p>
      <w:pPr>
        <w:sectPr>
          <w:headerReference w:type="default" r:id="rId10"/>
          <w:footerReference w:type="default" r:id="rId11"/>
          <w:pgSz w:w="12240" w:h="15840" w:orient="portrait"/>
          <w:pgMar w:top="1080" w:right="1260" w:bottom="1080" w:left="1260" w:header="708" w:footer="708" w:gutter="0"/>
          <w:pgNumType/>
          <w:docGrid w:linePitch="360"/>
        </w:sectPr>
      </w:pPr>
    </w:p>
    <w:p>
      <w:pPr>
        <w:spacing w:after="60" w:before="0"/>
      </w:pPr>
      <w:r>
        <w:rPr>
          <w:rFonts w:ascii="Arial" w:cs="Arial" w:eastAsia="Arial" w:hAnsi="Arial"/>
          <w:b w:val="false"/>
          <w:bCs w:val="false"/>
          <w:i/>
          <w:iCs/>
          <w:color w:val="595959"/>
          <w:sz w:val="14"/>
          <w:szCs w:val="14"/>
        </w:rPr>
        <w:t xml:space="preserve">Interview Transcript</w:t>
      </w:r>
    </w:p>
    <w:p>
      <w:pPr>
        <w:pBdr>
          <w:bottom w:val="single" w:color="2E75B6" w:sz="8" w:space="1"/>
        </w:pBdr>
        <w:spacing w:after="40" w:before="0"/>
      </w:pPr>
      <w:r>
        <w:rPr>
          <w:rFonts w:ascii="Arial" w:cs="Arial" w:eastAsia="Arial" w:hAnsi="Arial"/>
          <w:b/>
          <w:bCs/>
          <w:i w:val="false"/>
          <w:iCs w:val="false"/>
          <w:color w:val="2E75B6"/>
          <w:sz w:val="28"/>
          <w:szCs w:val="28"/>
        </w:rPr>
        <w:t xml:space="preserve">R11 — </w:t>
      </w:r>
      <w:r>
        <w:rPr>
          <w:rFonts w:ascii="Arial" w:cs="Arial" w:eastAsia="Arial" w:hAnsi="Arial"/>
          <w:b/>
          <w:bCs/>
          <w:i w:val="false"/>
          <w:iCs w:val="false"/>
          <w:color w:val="1F4E79"/>
          <w:sz w:val="28"/>
          <w:szCs w:val="28"/>
        </w:rPr>
        <w:t xml:space="preserve">Pinecrest Health Systems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Company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Respondent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Title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Outcome</w:t>
            </w:r>
          </w:p>
        </w:tc>
      </w:tr>
      <w:tr>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F4E79"/>
                <w:sz w:val="17"/>
                <w:szCs w:val="17"/>
              </w:rPr>
              <w:t xml:space="preserve">Pinecrest Health Systems</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Dr. Michelle Torres</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VP, Digital Health &amp; Innovation</w:t>
            </w:r>
          </w:p>
        </w:tc>
        <w:tc>
          <w:tcPr>
            <w:tcW w:type="dxa" w:w="234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7"/>
                <w:szCs w:val="17"/>
              </w:rPr>
              <w:t xml:space="preserve">Win</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Date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Duration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Discovery Channel</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NPS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March 3, 2026</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58 minutes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Conference / industry event</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6"/>
                <w:szCs w:val="16"/>
              </w:rPr>
              <w:t xml:space="preserve">9 / 10</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Industry</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Revenue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Interviewer ID</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Final Decision</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Healthcare Systems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$100M–$500M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DevelopmentCorporate LLC</w:t>
            </w:r>
          </w:p>
        </w:tc>
        <w:tc>
          <w:tcPr>
            <w:tcW w:type="dxa" w:w="2340"/>
            <w:tcBorders>
              <w:top w:val="single" w:color="CCCCCC" w:sz="1"/>
              <w:left w:val="single" w:color="CCCCCC" w:sz="1"/>
              <w:bottom w:val="single" w:color="CCCCCC" w:sz="1"/>
              <w:right w:val="single" w:color="CCCCCC" w:sz="1"/>
            </w:tcBorders>
            <w:shd w:fill="E2EFDA"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375623"/>
                <w:sz w:val="16"/>
                <w:szCs w:val="16"/>
              </w:rPr>
              <w:t xml:space="preserve">Selected wholesome.tech</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0"/>
              <w:bottom w:val="none" w:color="FFFFFF" w:sz="0"/>
              <w:right w:val="none" w:color="FFFFFF" w:sz="0"/>
            </w:tcBorders>
            <w:shd w:fill="FFF2CC" w:val="clear"/>
            <w:tcMar>
              <w:top w:type="dxa" w:w="80"/>
              <w:left w:type="dxa" w:w="160"/>
              <w:bottom w:type="dxa" w:w="80"/>
              <w:right w:type="dxa" w:w="160"/>
            </w:tcMar>
          </w:tcPr>
          <w:p>
            <w:pPr>
              <w:spacing w:after="0"/>
            </w:pPr>
            <w:r>
              <w:rPr>
                <w:rFonts w:ascii="Arial" w:cs="Arial" w:eastAsia="Arial" w:hAnsi="Arial"/>
                <w:b/>
                <w:bCs/>
                <w:i w:val="false"/>
                <w:iCs w:val="false"/>
                <w:color w:val="C65C00"/>
                <w:sz w:val="17"/>
                <w:szCs w:val="17"/>
              </w:rPr>
              <w:t xml:space="preserve">Confidentiality notice: </w:t>
            </w:r>
            <w:r>
              <w:rPr>
                <w:rFonts w:ascii="Arial" w:cs="Arial" w:eastAsia="Arial" w:hAnsi="Arial"/>
                <w:b w:val="false"/>
                <w:bCs w:val="false"/>
                <w:i/>
                <w:iCs/>
                <w:color w:val="595959"/>
                <w:sz w:val="17"/>
                <w:szCs w:val="17"/>
              </w:rPr>
              <w:t xml:space="preserve">This transcript is derived from a simulated win/loss interview conducted as part of the wholesome.tech Q1 2026 research program. Respondent identity has been preserved for research integrity. This document is confidential and is intended for internal distribution only.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00 — Respondent Context &amp; Rapport</w:t>
            </w:r>
          </w:p>
        </w:tc>
      </w:tr>
    </w:tbl>
    <w:p>
      <w:pPr>
        <w:spacing w:after="0" w:before="40"/>
      </w:pPr>
      <w:r>
        <w:t xml:space="preserve"/>
      </w:r>
    </w:p>
    <w:p>
      <w:pPr>
        <w:pBdr>
          <w:left w:val="single" w:color="BBBBBB" w:sz="6"/>
        </w:pBdr>
        <w:spacing w:after="60" w:before="60"/>
        <w:ind w:left="160"/>
      </w:pPr>
      <w:r>
        <w:rPr>
          <w:rFonts w:ascii="Arial" w:cs="Arial" w:eastAsia="Arial" w:hAnsi="Arial"/>
          <w:b w:val="false"/>
          <w:bCs w:val="false"/>
          <w:i/>
          <w:iCs/>
          <w:color w:val="595959"/>
          <w:sz w:val="17"/>
          <w:szCs w:val="17"/>
        </w:rPr>
        <w:t xml:space="preserve">Opening: recording consent obtained. Dr. Torres joined from her office at Pinecrest’s main campus. She was direct and thoughtful throughout the conversation.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Dr. Torres, thank you very much for your time. You’re comfortable with me recording this session for note-taking only?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that’s fine. And please call me Michelle.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Thank you, Michelle. For the record — you’re VP of Digital Health and Innovation at Pinecrest Health Systems?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That’s correct. I’ve been in this role for about two and a half years. Before this I was Chief Medical Information Officer at a smaller regional hospital. Pinecrest recruited me specifically to build out the digital health capability.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Can you describe what your team owns?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We own all digital health initiatives including patient engagement technology, telehealth infrastructure, clinical decision support, and population health analytics. We sit at the intersection of clinical operations and IT, which means we answer to both the CMO and the CIO. That dual accountability shapes how we run technology evaluations considerably.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you the primary decision-maker?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 led the evaluation and held the recommendation authority. But we have a clinical IT steering committee that provides oversight on any technology investment above a certain threshold. So my recommendation went through a committee review before final approval. Seven people had meaningful input. I had the final say on the shortlist and the pilot design.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01 — Triggering Event &amp; Business Context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triggered this specific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A board initiative. At our last annual strategy session, the board approved a digital health transformation agenda with specific outcomes: improve patient activation rates, reduce care gap closure time, and improve chronic disease management performance across our attributed population. Those outcomes required new capability that we did not have. The board allocated budget and gave us a twelve-month implementation window.</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this a replacement of an existing solution or net-new capability?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Substantially net-new. We had point solutions for some of these functions that were not integrated with each other or with our core EHR. The goal was to retire three of those and replace them with a unified platform. A meaningful architectural shift, not just a feature upgrade.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the organizational approval process for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board had already approved the budget envelope. My job was to find the right vendor within that envelope. The clinical IT committee reviewed the finalists before I ran the pilot. That structure worked well because it gave clinical stakeholders genuine input before the decision was made rather than asking them to ratify a decision after the fact.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would the cost have been of not solving this?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Patient outcomes. I am not being dramatic — our chronic disease management performance was below the regional benchmark and those metrics translate into lives. Every quarter we delayed getting the right tools in place was a quarter of underperformance on measures that matter clinically, not just operationally.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02 — Discovery &amp; Awareness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discover wholesome.tech?</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 encountered them at a digital health conference in October. They had a booth and one of their people approached me during a networking session. I was skeptical initially — I get approached by vendors constantly at those events. But she asked two questions in the first three minutes that made me pay attention: she asked about our attribution model, and she asked about our EHR environment. Those are not generic questions. That conversation lasted forty-five minutes.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happened after the conference?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She followed up with a structured brief the following Tuesday. Not a generic marketing deck — a brief that specifically addressed the two capabilities I had mentioned in our conference conversation. That follow-up was the moment I decided they deserved a formal evaluation slot.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many vendors made your short list and how did you build it?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Six vendors on the long list, three on the short list. wholesome.tech was one of two vendors I sourced through my own channels. The other four came through a formal market analysis our IT team conducted. The shortlisting criteria were tight: HIPAA compliance documentation, HL7/FHIR integration capability, EHR connectivity, and a healthcare-specific reference client.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impression of their website and positioning?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Strong on the product side. The healthcare positioning could be sharper — I had to look carefully to find the clinical use case language I needed to see. But the technical documentation was excellent and the compliance section of their website was more detailed than any competitor I reviewed.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03 — Interactions with the wholesome.tech Team</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Describe your experience interacting with the wholesome.tech team overall.</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best word is substantive. Every interaction had content. They did not waste our time. They did not repeat themselves. They came prepared. In a healthcare environment where clinical time is genuinely scarce, that discipline is not just appreciated — it is a qualifying criterion.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 specific moment that defined the evaluation for you?</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We had a complex technical question about how the platform handles event-driven data flows from our EHR — the kind of question that requires real architectural understanding to answer well. In most vendor evaluations, that question gets deferred or given a vague answer. Instead, they said — correctly — that this required their head of product to be in the room. They arranged a two-hour technical session within the week. That session was one of the best technical conversations I have had with a vendor team in fifteen years of healthcare IT work. The head of product demonstrated deep familiarity with HL7 FHIR implementation challenges, explained their architecture with specificity, and acknowledged two limitations honestly. That honesty was as valuable as the depth.</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responsiveness compare to other vendors in the evaluation?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Best of the three finalists. Not dramatically different from the second-best, but consistently better. In healthcare, where implementation timelines are constrained by clinical calendars and credentialing requirements, a vendor’s responsiveness during the sales cycle tells you something real about how they will operate during implementation.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always have access to the right level of expertise?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And they were responsive about escalating appropriately. When my biomedical informatics lead asked a question that was outside the account team’s expertise, they said so explicitly and connected us with the right technical resource. That epistemic honesty — knowing what you don’t know — is surprisingly rare and very important in healthcare implementations where overconfidence costs lives.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04 — Evaluation &amp; Pilot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conduct a formal pilot or proof-of-concept?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A six-week pilot on our attributed population data — de-identified and consented appropriately through our IRB process. We ran the pilot in our QA environment with three of our care managers using the platform for their actual daily work. The success criteria were clinical: care gap identification rate, care manager workflow efficiency measured in time-per-patient, and patient activation rates on the engagement module.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pilot perform against those criteria?</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Care gap identification rate exceeded the benchmark we set. Workflow efficiency improvement was within the projected range. Patient activation was slightly below our target but the team attributed that to the de-identified data limitation in QA — the live messaging could not be personalized during the pilot as it would be in production. We accepted that explanation as technically valid.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any surprises between the demonstration and the pilot?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One positive surprise. The EHR integration was more performant than it had been demonstrated. Query response times were faster than quoted. In a clinical setting where a care manager is waiting for data while a patient is on the phone, that performance gap matters concretely.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pilot implementation team compare to the sales team?</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They were extraordinary. I have said this to the account team directly. The implementation team assigned to our pilot was clinically fluent in a way that is unusual for vendor staff. One of them had a background in clinical informatics. Another had previously implemented similar solutions in a large academic medical center. If I could have built my own implementation team, I would have chosen people with exactly those backgrounds.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05 — Must-Have Requirements &amp; Decision Factors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your must-have requirements going in?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Five hard requirements, all confirmed in writing before any demonstration. HIPAA Business Associate Agreement, documented and executable. HL7 FHIR R4 API compliance with a specific minimum set of supported resources. Native integration with Epic — our EHR environment. Single sign-on through our existing identity provider. And comprehensive audit logging that supports our security operations requirements.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wholesome.tech clear all five?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All five, with documentation, before the first demo. Two of the three finalists could not confirm Epic native integration and were eliminated at that stage.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the preference factors that drove your final recommendation?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In order: the quality of the pilot clinical outcomes, the depth of the implementation team’s healthcare expertise, and the compliance documentation completeness. Product capabilities were assumed given the gate criteria. What differentiated was the ability to bring the right human expertise to a healthcare implementation.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security and compliance factor into the decision?</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They were a gate criterion, not a preference criterion. If you do not meet our compliance requirements, the conversation ends. What distinguished wholesome.tech within the pool of compliant vendors was the depth and accessibility of their compliance documentation — our CISO reviewed it independently and described it as the most comprehensive vendor security package he had reviewed in three years.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06 — Pricing &amp; Commercial Terms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reaction to the pricing?</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Appropriate for the category and for the implementation support model they were offering. Healthcare IT implementations at our scale carry significant risk and the cost of a failed implementation dwarfs any price differential between vendors. When I have a team with clinical informatics backgrounds running my implementation, I expect to pay for that expertise.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 commercial terms straightforward?</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There were two rounds of negotiation, primarily around data processing addenda and audit rights language. Our legal and compliance team led those discussions. Both rounds were resolved professionally. Total contract review time was about four weeks, which is fast given the complexity of the BAA and data governance provisions.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 pricing model compatible with your budget process?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Fixed annual fee tied to attributed population size with defined tier thresholds. That model is compatible with how we budget at the health system level and allowed us to project costs accurately across a three-year horizon.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07 — Sales Process &amp; Team Assessment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characterize the sales process?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They structured the process around our evaluation requirements, not their sales cycle. When I told them our clinical IT committee needed to meet before we could advance to the pilot stage, they did not push back or try to accelerate past that gate. They asked how they could best prepare materials for the committee presentation. That is the right response.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their materials compare to the other finalists?</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clinical reference document they produced — a summary of their implementation at a comparable health system — was the most useful piece of vendor material in the entire evaluation. It described specific workflow changes, clinical outcome improvements, and implementation timeline in enough detail to be genuinely informative rather than promotional.</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Anything that hurt their standing at any point?</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initial conference follow-up brief had one clinical claim that I could not find support for when I looked for the underlying data. When I flagged it, they corrected it promptly and transparently. The correction itself was fine — but the original inclusion of an unsupported claim created a brief moment of doubt that I had to work through. In healthcare, accuracy is not negotiable.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08 — Outcome &amp; Competitive Displacement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put wholesome.tech over the line?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implementation team. I was evaluating products, but I was also evaluating people, because in a clinical environment the people who implement and support technology make a measurable difference to whether it works. The implementation team I met during the pilot evaluation was the best I encountered in this process. That was the decisive factor.</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confident are you in the decision today?</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Our go-live was eight weeks ago. Care manager adoption rates are ahead of projection. We have had three support requests, all resolved same-day. I presented a ninety-day progress report to the board last week and the feedback was positive. I am confident in the decision.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09 — Advice &amp; Management Recommendations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is the most important advice you would give the CEO?</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Do not change the implementation team model. Whatever you are doing to hire clinically fluent implementation staff, keep doing it. That team is a genuine competitive advantage and I am not sure your marketing materials communicate it clearly enough. Lead with implementation quality in healthcare conversations. That is what clinical IT leaders actually buy.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Is there a capability you wish was stronger?</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population health analytics module. It covers the core use cases we needed but it lacks the longitudinal cohort analysis capabilities that would make it genuinely powerful for our quality team. That is the next conversation we will have with the account team.</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should they stop doing or do less of?</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The initial conference materials made some claims about clinical outcome improvements that were stated with more confidence than the evidence base I could find would support. I understand the temptation. But in healthcare, overclaiming creates a credibility problem that takes time to recover from. Be precise about what the evidence shows.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Anything else?</w:t>
      </w:r>
    </w:p>
    <w:p>
      <w:pPr>
        <w:spacing w:after="80" w:before="40"/>
        <w:ind w:left="160"/>
      </w:pPr>
      <w:r>
        <w:rPr>
          <w:rFonts w:ascii="Arial" w:cs="Arial" w:eastAsia="Arial" w:hAnsi="Arial"/>
          <w:b/>
          <w:bCs/>
          <w:i w:val="false"/>
          <w:iCs w:val="false"/>
          <w:color w:val="375623"/>
          <w:sz w:val="18"/>
          <w:szCs w:val="18"/>
        </w:rPr>
        <w:t xml:space="preserve">RESPONDENT  </w:t>
      </w:r>
      <w:r>
        <w:rPr>
          <w:rFonts w:ascii="Arial" w:cs="Arial" w:eastAsia="Arial" w:hAnsi="Arial"/>
          <w:b w:val="false"/>
          <w:bCs w:val="false"/>
          <w:i w:val="false"/>
          <w:iCs w:val="false"/>
          <w:color w:val="404040"/>
          <w:sz w:val="19"/>
          <w:szCs w:val="19"/>
        </w:rPr>
        <w:t xml:space="preserve">Yes. Make it easier to connect with your healthcare reference clients. I wanted to speak with two or three existing customers in a comparable clinical environment before I finalized my recommendation. That process was slower than it should have been. A ready reference network, organized by health system type, would accelerate healthcare evaluations meaningfully.</w:t>
      </w:r>
    </w:p>
    <w:p>
      <w:pPr>
        <w:pBdr>
          <w:left w:val="single" w:color="BBBBBB" w:sz="6"/>
        </w:pBdr>
        <w:spacing w:after="60" w:before="60"/>
        <w:ind w:left="160"/>
      </w:pPr>
      <w:r>
        <w:rPr>
          <w:rFonts w:ascii="Arial" w:cs="Arial" w:eastAsia="Arial" w:hAnsi="Arial"/>
          <w:b w:val="false"/>
          <w:bCs w:val="false"/>
          <w:i/>
          <w:iCs/>
          <w:color w:val="595959"/>
          <w:sz w:val="17"/>
          <w:szCs w:val="17"/>
        </w:rPr>
        <w:t xml:space="preserve">Closing: Dr. Torres agreed to serve as a reference and offered to co-present at an upcoming digital health conference. Interview concluded at 58 minutes.</w:t>
      </w:r>
    </w:p>
    <w:p>
      <w:pPr>
        <w:spacing w:after="0" w:before="80"/>
      </w:pPr>
      <w:r>
        <w:t xml:space="preserve"/>
      </w:r>
    </w:p>
    <w:p>
      <w:pPr>
        <w:pBdr>
          <w:top w:val="single" w:color="CCCCCC" w:sz="4" w:space="1"/>
        </w:pBdr>
        <w:spacing w:after="40" w:before="80"/>
      </w:pPr>
      <w:r>
        <w:rPr>
          <w:rFonts w:ascii="Arial" w:cs="Arial" w:eastAsia="Arial" w:hAnsi="Arial"/>
          <w:b w:val="false"/>
          <w:bCs w:val="false"/>
          <w:i/>
          <w:iCs/>
          <w:color w:val="595959"/>
          <w:sz w:val="16"/>
          <w:szCs w:val="16"/>
        </w:rPr>
        <w:t xml:space="preserve">--- End of Transcript R11 — Pinecrest Health Systems ---</w:t>
      </w:r>
    </w:p>
    <w:p>
      <w:pPr>
        <w:sectPr>
          <w:headerReference w:type="default" r:id="rId12"/>
          <w:footerReference w:type="default" r:id="rId13"/>
          <w:pgSz w:w="12240" w:h="15840" w:orient="portrait"/>
          <w:pgMar w:top="1080" w:right="1260" w:bottom="1080" w:left="1260" w:header="708" w:footer="708" w:gutter="0"/>
          <w:pgNumType/>
          <w:docGrid w:linePitch="360"/>
        </w:sectPr>
      </w:pPr>
    </w:p>
    <w:p>
      <w:pPr>
        <w:spacing w:after="60" w:before="0"/>
      </w:pPr>
      <w:r>
        <w:rPr>
          <w:rFonts w:ascii="Arial" w:cs="Arial" w:eastAsia="Arial" w:hAnsi="Arial"/>
          <w:b w:val="false"/>
          <w:bCs w:val="false"/>
          <w:i/>
          <w:iCs/>
          <w:color w:val="595959"/>
          <w:sz w:val="14"/>
          <w:szCs w:val="14"/>
        </w:rPr>
        <w:t xml:space="preserve">Interview Transcript</w:t>
      </w:r>
    </w:p>
    <w:p>
      <w:pPr>
        <w:pBdr>
          <w:bottom w:val="single" w:color="2E75B6" w:sz="8" w:space="1"/>
        </w:pBdr>
        <w:spacing w:after="40" w:before="0"/>
      </w:pPr>
      <w:r>
        <w:rPr>
          <w:rFonts w:ascii="Arial" w:cs="Arial" w:eastAsia="Arial" w:hAnsi="Arial"/>
          <w:b/>
          <w:bCs/>
          <w:i w:val="false"/>
          <w:iCs w:val="false"/>
          <w:color w:val="2E75B6"/>
          <w:sz w:val="28"/>
          <w:szCs w:val="28"/>
        </w:rPr>
        <w:t xml:space="preserve">R02 — </w:t>
      </w:r>
      <w:r>
        <w:rPr>
          <w:rFonts w:ascii="Arial" w:cs="Arial" w:eastAsia="Arial" w:hAnsi="Arial"/>
          <w:b/>
          <w:bCs/>
          <w:i w:val="false"/>
          <w:iCs w:val="false"/>
          <w:color w:val="1F4E79"/>
          <w:sz w:val="28"/>
          <w:szCs w:val="28"/>
        </w:rPr>
        <w:t xml:space="preserve">Cascade Systems</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Company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Respondent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Title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Outcome</w:t>
            </w:r>
          </w:p>
        </w:tc>
      </w:tr>
      <w:tr>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F4E79"/>
                <w:sz w:val="17"/>
                <w:szCs w:val="17"/>
              </w:rPr>
              <w:t xml:space="preserve">Cascade Systems</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David Park</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VP of Product</w:t>
            </w:r>
          </w:p>
        </w:tc>
        <w:tc>
          <w:tcPr>
            <w:tcW w:type="dxa" w:w="234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7"/>
                <w:szCs w:val="17"/>
              </w:rPr>
              <w:t xml:space="preserve">Loss</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Date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Duration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Discovery Channel</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NPS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February 26, 2026</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47 minutes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Internet / web search</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6"/>
                <w:szCs w:val="16"/>
              </w:rPr>
              <w:t xml:space="preserve">4 / 10</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Industry</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Revenue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Interviewer ID</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Final Decision</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B2B SaaS — Infrastructure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$5M–$25M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DevelopmentCorporate LLC</w:t>
            </w:r>
          </w:p>
        </w:tc>
        <w:tc>
          <w:tcPr>
            <w:tcW w:type="dxa" w:w="234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6"/>
                <w:szCs w:val="16"/>
              </w:rPr>
              <w:t xml:space="preserve">Selected Synova Analytics</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0"/>
              <w:bottom w:val="none" w:color="FFFFFF" w:sz="0"/>
              <w:right w:val="none" w:color="FFFFFF" w:sz="0"/>
            </w:tcBorders>
            <w:shd w:fill="FFF2CC" w:val="clear"/>
            <w:tcMar>
              <w:top w:type="dxa" w:w="80"/>
              <w:left w:type="dxa" w:w="160"/>
              <w:bottom w:type="dxa" w:w="80"/>
              <w:right w:type="dxa" w:w="160"/>
            </w:tcMar>
          </w:tcPr>
          <w:p>
            <w:pPr>
              <w:spacing w:after="0"/>
            </w:pPr>
            <w:r>
              <w:rPr>
                <w:rFonts w:ascii="Arial" w:cs="Arial" w:eastAsia="Arial" w:hAnsi="Arial"/>
                <w:b/>
                <w:bCs/>
                <w:i w:val="false"/>
                <w:iCs w:val="false"/>
                <w:color w:val="C65C00"/>
                <w:sz w:val="17"/>
                <w:szCs w:val="17"/>
              </w:rPr>
              <w:t xml:space="preserve">Confidentiality notice: </w:t>
            </w:r>
            <w:r>
              <w:rPr>
                <w:rFonts w:ascii="Arial" w:cs="Arial" w:eastAsia="Arial" w:hAnsi="Arial"/>
                <w:b w:val="false"/>
                <w:bCs w:val="false"/>
                <w:i/>
                <w:iCs/>
                <w:color w:val="595959"/>
                <w:sz w:val="17"/>
                <w:szCs w:val="17"/>
              </w:rPr>
              <w:t xml:space="preserve">This transcript is derived from a simulated win/loss interview conducted as part of the wholesome.tech Q1 2026 research program. Respondent identity has been preserved for research integrity. This document is confidential and is intended for internal distribution only.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00 — Respondent Context &amp; Rapport</w:t>
            </w:r>
          </w:p>
        </w:tc>
      </w:tr>
    </w:tbl>
    <w:p>
      <w:pPr>
        <w:spacing w:after="0" w:before="40"/>
      </w:pPr>
      <w:r>
        <w:t xml:space="preserve"/>
      </w:r>
    </w:p>
    <w:p>
      <w:pPr>
        <w:pBdr>
          <w:left w:val="single" w:color="BBBBBB" w:sz="6"/>
        </w:pBdr>
        <w:spacing w:after="60" w:before="60"/>
        <w:ind w:left="160"/>
      </w:pPr>
      <w:r>
        <w:rPr>
          <w:rFonts w:ascii="Arial" w:cs="Arial" w:eastAsia="Arial" w:hAnsi="Arial"/>
          <w:b w:val="false"/>
          <w:bCs w:val="false"/>
          <w:i/>
          <w:iCs/>
          <w:color w:val="595959"/>
          <w:sz w:val="17"/>
          <w:szCs w:val="17"/>
        </w:rPr>
        <w:t xml:space="preserve">Opening: recording consent obtained. David Park joined from a WeWork location in Seattle. He was professional and measured throughout, with no evident hostility.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David, thanks for making time. You’re comfortable with recording for note-taking purposes?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sure. Happy to give you honest feedback.</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 appreciate that. You’re VP of Product at Cascade Systems. Can you describe your role?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I lead product management. About twelve people. We build infrastructure monitoring and observability software. At this point we’re around eighteen million ARR, Series A, growing fast. I’m also the de facto RevOps owner because we don’t have a dedicated RevOps function yet.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you the primary decision-maker in this evaluation?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With input from our Head of Engineering on the technical requirements and our CEO on the commercial terms. But I ran the process and owned the recommendation.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01 — Triggering Event &amp; Business Context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triggered this evaluation?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Our incumbent vendor had a significant service disruption. Three separate outages in six weeks, each lasting between four and twenty-two hours. For a company that sells observability software, running our operations on a platform that has those reliability issues is both operationally painful and reputationally problematic. We decided we had to move.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That sounds like an urgent situation. Did you have timeline flexibility?</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Not much. We had already told our largest enterprise clients that we were moving platforms. They expected confirmation within sixty days. So we had a hard commercial deadline imposed by our customer relationships.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the cost of not solving this quickly?</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We had two enterprise clients who had made the platform stability a condition of their renewal conversations. One was about four hundred thousand in ARR. Moving fast was not optional.</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long had the problem existed before you started evaluating?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first outage was in September. The third one was in mid-October. We started evaluating alternatives in late October. So about three weeks between recognizing the problem and starting the formal process.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02 — Discovery &amp; Awareness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identify wholesome.tech as a candidate?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Google search, honestly. I searched for alternatives to our incumbent, read three or four comparison articles, landed on a review on G2 that seemed credible, and then also saw wholesome.tech come up in a couple of those roundup articles. We added them to a list of five that I wanted to see demos from.</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use any peer network or referral sources?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In hindsight, I should have. The urgency of the situation meant I was optimizing for speed rather than quality of source. I built the list in about two hours rather than making the four or five calls I would normally make when I have more time.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first impression of wholesome.tech’s website and messaging?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Pretty good. The messaging was clear. The product screenshots looked capable. The case studies were relevant to our company stage. It passed the thirty-second test, which is all you need to get to a demo.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03 — Interactions with the wholesome.tech Team</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describe your overall experience with the wholesome.tech team?</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Mixed. The early part of the evaluation was good. The demo was excellent — I will say that clearly. But somewhere around the third week the quality of the engagement dropped and it never fully recovered.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Can you describe specifically what happened?</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We sent a detailed requirements document on November third. It was about twelve pages, covered our specific workflow automation requirements, the integration list, our performance thresholds. We had put real work into it because we wanted to give every vendor a fair shot. Eleven days passed before we received a substantive response from wholesome.tech. Eleven days. One of the other vendors we were evaluating had done a virtual site visit within that time. By the time wholesome.tech responded, we had mentally moved 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communicate the urgency of the timeline to the team?</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Explicitly. On the first call, I told them we had a sixty-day decision deadline and that responsiveness was going to be a meaningful factor. They acknowledged it. Then we got eleven days of silence after a twelve-page document. That is a credibility gap.</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it recover after that?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Somewhat. The response we eventually received was thorough and I want to be fair about that. The account executive apologized for the delay and explained that the requirements document had required internal consultation on three of the technical points. I understood that. But by then we had already had three productive calls with Synova and I was spending the cognitive surplus of the evaluation thinking about them, not wholesome.tech.</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feel about the team’s domain knowledge?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Strong on the product side. I would have liked more depth on our specific technical environment. When I asked about performance behavior under the load patterns we generate, the account executive deferred to a technical resource who joined a later call. That resource was good. But the deferred expertise model meant I was always waiting one conversation for the answer to my real questions.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04 — Evaluation &amp; Pilot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conduct a pilot or proof-of-concept?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No. And this is a real regret. They quoted us an eight-week timeline to set up a proper pilot environment. With a sixty-day decision deadline, eight weeks for a pilot setup means I spend the entire evaluation in pilot setup and still have to make a decision before seeing real results. If they had offered a ten-day scoped pilot, we would have taken it. We needed speed and they offered a process built for a longer evaluation cycle.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convey that the timeline was a constraint for the pilot?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The account executive said she would check whether a compressed pilot was possible and came back the following week to say that the minimum timeline was six weeks. I said that was not going to work and we moved to a demo-and-proposal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the demo perform as expected?</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demo was genuinely strong. I’d rate it an eight out of ten. The account executive who ran it was technically fluent and answered my follow-up questions well. That’s actually what made the subsequent process disappointment so frustrating — the demo set expectations that the rest of the engagement did not consistently meet.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05 — Must-Have Requirements &amp; Decision Factors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your must-have requirements?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Four items. SOC 2 Type II, which they confirmed. Specific workflow automation capabilities around alert escalation — this is a core use case for our operations team. Native integration with PagerDuty and Slack. And a documented API with sub-two-hundred millisecond response time under our typical load. They confirmed three of the four cleanly. The workflow automation question was where the answers became less precise.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happened on the workflow automation requirement?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It turned out that two specific escalation workflows I needed are not in the current release. They are in the product roadmap for the next major version. I asked when that release was expected and got a range of four to eight months. For an operational requirement on my daily checklist, a roadmap promise is not a delivered capability. That was a significant issue.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the top factors that ultimately drove your decision?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Product capability match, decisively. Synova had both escalation workflows in the current release. Both of them. They are two of the five things I do every day. When one vendor has them and one doesn’t, the decision becomes simple.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06 — Pricing &amp; Commercial Terms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reaction to the pricing?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price was fine. Not the issue. The two vendors were within fifteen percent of each other on annual cost, which is within my tolerance for a capability differential. I want to be clear: this was not a price decision.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 commercial terms flexible?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 didn’t get far enough into the commercial process to assess that thoroughly. We made our decision before we received a formal commercial proposal from wholesome.tech.</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07 — Sales Process &amp; Team Assessment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assess the sales process overall?</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demo was excellent. After the demo, the process fell apart. The eleven-day gap I mentioned was the most visible symptom, but even after that was resolved, the follow-up cadence was inconsistent. I went from feeling like a priority account to feeling like a deal they expected to close without much ongoing effort.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proposal or materials compare to Synova?</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Synova sent a detailed technical proposal within four days of our requirements document that addressed every item specifically. wholesome.tech’s eventual response was thorough but arrived late. At that point the comparison was already made.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anything wholesome.tech did that actively hurt their chances?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eleven-day gap. That was the moment the evaluation effectively ended, even though we gave them another two weeks. When one vendor is moving fast and one is slow, the fast one creates a perception of organizational capability that the slow one has to overcome. They didn’t have time to overcome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08 — Outcome &amp; Competitive Displacement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vendor did you ultimately select and what was the decisive factor?</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Synova Analytics. The decisive factor was product capability. They had the two escalation workflows I needed in the current release. Those two capabilities are on my operational checklist every day. The decision was not complicated once that became clear.</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Is there a scenario in which you would reconsider wholesome.tech?</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If those workflow capabilities ship in the next release and we have contract flexibility when our current Synova term comes up for renewal, yes. I’d take a look. The product fundamentals were good. The evaluation experience was mixed. But this was a point-in-time capability gap, not a fundamental quality problem.</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confident are you in the Synova decision?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Confident. They delivered quickly, met the capability requirement, and the implementation has been clean. No regrets, but I’d genuinely encourage wholesome.tech to close that feature gap.</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09 — Advice &amp; Management Recommendations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is the most important advice you would give the wholesome.tech CEO?</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Two things, equally important. First, close the feature gap on workflow automation. The two escalation workflows I needed are not exotic requirements — they are standard operational use cases. If your roadmap has them four to eight months out, accelerate that timeline. You are losing deals to Synova on that specific gap and you will keep losing them until it ships.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What’s the second thing?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Make the pilot accessible for compressed evaluation timelines. A ten-day scoped pilot would have changed my evaluation. I would have seen the product in my environment and I would have had something concrete to compare against Synova’s. Without that, I was choosing on demo quality and feature checklists, and Synova’s checklist was longer.</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Anything they should stop doing?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Stop accepting the eleven-day response gap as normal for a requirements document. That is an organizational process problem and it is costing you deals in competitive evaluations with tight timelines.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Anything else?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demo is genuinely strong. Whoever is running your demos is doing excellent work. Do not let the post-demo process undermine what the demo builds. The capability gap on demos is real and it sets an expectation. Make sure the rest of the process deserves the impression the demo creates.</w:t>
      </w:r>
    </w:p>
    <w:p>
      <w:pPr>
        <w:pBdr>
          <w:left w:val="single" w:color="BBBBBB" w:sz="6"/>
        </w:pBdr>
        <w:spacing w:after="60" w:before="60"/>
        <w:ind w:left="160"/>
      </w:pPr>
      <w:r>
        <w:rPr>
          <w:rFonts w:ascii="Arial" w:cs="Arial" w:eastAsia="Arial" w:hAnsi="Arial"/>
          <w:b w:val="false"/>
          <w:bCs w:val="false"/>
          <w:i/>
          <w:iCs/>
          <w:color w:val="595959"/>
          <w:sz w:val="17"/>
          <w:szCs w:val="17"/>
        </w:rPr>
        <w:t xml:space="preserve">Closing: David Park indicated willingness to reconnect in twelve months if the feature gaps are addressed. Interview concluded at 47 minutes.</w:t>
      </w:r>
    </w:p>
    <w:p>
      <w:pPr>
        <w:spacing w:after="0" w:before="80"/>
      </w:pPr>
      <w:r>
        <w:t xml:space="preserve"/>
      </w:r>
    </w:p>
    <w:p>
      <w:pPr>
        <w:pBdr>
          <w:top w:val="single" w:color="CCCCCC" w:sz="4" w:space="1"/>
        </w:pBdr>
        <w:spacing w:after="40" w:before="80"/>
      </w:pPr>
      <w:r>
        <w:rPr>
          <w:rFonts w:ascii="Arial" w:cs="Arial" w:eastAsia="Arial" w:hAnsi="Arial"/>
          <w:b w:val="false"/>
          <w:bCs w:val="false"/>
          <w:i/>
          <w:iCs/>
          <w:color w:val="595959"/>
          <w:sz w:val="16"/>
          <w:szCs w:val="16"/>
        </w:rPr>
        <w:t xml:space="preserve">--- End of Transcript R02 — Cascade Systems ---</w:t>
      </w:r>
    </w:p>
    <w:p>
      <w:pPr>
        <w:sectPr>
          <w:headerReference w:type="default" r:id="rId14"/>
          <w:footerReference w:type="default" r:id="rId15"/>
          <w:pgSz w:w="12240" w:h="15840" w:orient="portrait"/>
          <w:pgMar w:top="1080" w:right="1260" w:bottom="1080" w:left="1260" w:header="708" w:footer="708" w:gutter="0"/>
          <w:pgNumType/>
          <w:docGrid w:linePitch="360"/>
        </w:sectPr>
      </w:pPr>
    </w:p>
    <w:p>
      <w:pPr>
        <w:spacing w:after="60" w:before="0"/>
      </w:pPr>
      <w:r>
        <w:rPr>
          <w:rFonts w:ascii="Arial" w:cs="Arial" w:eastAsia="Arial" w:hAnsi="Arial"/>
          <w:b w:val="false"/>
          <w:bCs w:val="false"/>
          <w:i/>
          <w:iCs/>
          <w:color w:val="595959"/>
          <w:sz w:val="14"/>
          <w:szCs w:val="14"/>
        </w:rPr>
        <w:t xml:space="preserve">Interview Transcript</w:t>
      </w:r>
    </w:p>
    <w:p>
      <w:pPr>
        <w:pBdr>
          <w:bottom w:val="single" w:color="2E75B6" w:sz="8" w:space="1"/>
        </w:pBdr>
        <w:spacing w:after="40" w:before="0"/>
      </w:pPr>
      <w:r>
        <w:rPr>
          <w:rFonts w:ascii="Arial" w:cs="Arial" w:eastAsia="Arial" w:hAnsi="Arial"/>
          <w:b/>
          <w:bCs/>
          <w:i w:val="false"/>
          <w:iCs w:val="false"/>
          <w:color w:val="2E75B6"/>
          <w:sz w:val="28"/>
          <w:szCs w:val="28"/>
        </w:rPr>
        <w:t xml:space="preserve">R05 — </w:t>
      </w:r>
      <w:r>
        <w:rPr>
          <w:rFonts w:ascii="Arial" w:cs="Arial" w:eastAsia="Arial" w:hAnsi="Arial"/>
          <w:b/>
          <w:bCs/>
          <w:i w:val="false"/>
          <w:iCs w:val="false"/>
          <w:color w:val="1F4E79"/>
          <w:sz w:val="28"/>
          <w:szCs w:val="28"/>
        </w:rPr>
        <w:t xml:space="preserve">Helix Biotech Inc</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Company</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Respondent</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Title</w:t>
            </w:r>
          </w:p>
        </w:tc>
        <w:tc>
          <w:tcPr>
            <w:tcW w:type="dxa" w:w="2340"/>
            <w:tcBorders>
              <w:top w:val="single" w:color="CCCCCC" w:sz="1"/>
              <w:left w:val="single" w:color="CCCCCC" w:sz="1"/>
              <w:bottom w:val="single" w:color="CCCCCC" w:sz="1"/>
              <w:right w:val="single" w:color="CCCCCC" w:sz="1"/>
            </w:tcBorders>
            <w:shd w:fill="1F4E79"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FFFFFF"/>
                <w:sz w:val="16"/>
                <w:szCs w:val="16"/>
              </w:rPr>
              <w:t xml:space="preserve">Outcome</w:t>
            </w:r>
          </w:p>
        </w:tc>
      </w:tr>
      <w:tr>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1F4E79"/>
                <w:sz w:val="17"/>
                <w:szCs w:val="17"/>
              </w:rPr>
              <w:t xml:space="preserve">Helix Biotech Inc</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Rachel Gupta</w:t>
            </w:r>
          </w:p>
        </w:tc>
        <w:tc>
          <w:tcPr>
            <w:tcW w:type="dxa" w:w="2340"/>
            <w:tcBorders>
              <w:top w:val="single" w:color="CCCCCC" w:sz="1"/>
              <w:left w:val="single" w:color="CCCCCC" w:sz="1"/>
              <w:bottom w:val="single" w:color="CCCCCC" w:sz="1"/>
              <w:right w:val="single" w:color="CCCCCC" w:sz="1"/>
            </w:tcBorders>
            <w:shd w:fill="D6E4F0"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7"/>
                <w:szCs w:val="17"/>
              </w:rPr>
              <w:t xml:space="preserve">VP of Operations</w:t>
            </w:r>
          </w:p>
        </w:tc>
        <w:tc>
          <w:tcPr>
            <w:tcW w:type="dxa" w:w="234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7"/>
                <w:szCs w:val="17"/>
              </w:rPr>
              <w:t xml:space="preserve">Loss</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Date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Duration</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Discovery Channel</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NPS</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March 9, 2026</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51 minutes</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G2 / peer review site</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C65C00"/>
                <w:sz w:val="16"/>
                <w:szCs w:val="16"/>
              </w:rPr>
              <w:t xml:space="preserve">5 / 10</w:t>
            </w:r>
          </w:p>
        </w:tc>
      </w:tr>
      <w:tr>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Industry</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Revenue</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Interviewer ID</w:t>
            </w:r>
          </w:p>
        </w:tc>
        <w:tc>
          <w:tcPr>
            <w:tcW w:type="dxa" w:w="2340"/>
            <w:tcBorders>
              <w:top w:val="single" w:color="CCCCCC" w:sz="1"/>
              <w:left w:val="single" w:color="CCCCCC" w:sz="1"/>
              <w:bottom w:val="single" w:color="CCCCCC" w:sz="1"/>
              <w:right w:val="single" w:color="CCCCCC" w:sz="1"/>
            </w:tcBorders>
            <w:shd w:fill="F2F2F2"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595959"/>
                <w:sz w:val="15"/>
                <w:szCs w:val="15"/>
              </w:rPr>
              <w:t xml:space="preserve">Final Decision</w:t>
            </w:r>
          </w:p>
        </w:tc>
      </w:tr>
      <w:tr>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Life Sciences — Biotechnology</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$25M–$100M</w:t>
            </w:r>
          </w:p>
        </w:tc>
        <w:tc>
          <w:tcPr>
            <w:tcW w:type="dxa" w:w="234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vAlign w:val="center"/>
          </w:tcPr>
          <w:p>
            <w:pPr>
              <w:spacing w:after="0"/>
              <w:jc w:val="left"/>
            </w:pPr>
            <w:r>
              <w:rPr>
                <w:rFonts w:ascii="Arial" w:cs="Arial" w:eastAsia="Arial" w:hAnsi="Arial"/>
                <w:b w:val="false"/>
                <w:bCs w:val="false"/>
                <w:i w:val="false"/>
                <w:iCs w:val="false"/>
                <w:color w:val="404040"/>
                <w:sz w:val="16"/>
                <w:szCs w:val="16"/>
              </w:rPr>
              <w:t xml:space="preserve">DevelopmentCorporate LLC</w:t>
            </w:r>
          </w:p>
        </w:tc>
        <w:tc>
          <w:tcPr>
            <w:tcW w:type="dxa" w:w="2340"/>
            <w:tcBorders>
              <w:top w:val="single" w:color="CCCCCC" w:sz="1"/>
              <w:left w:val="single" w:color="CCCCCC" w:sz="1"/>
              <w:bottom w:val="single" w:color="CCCCCC" w:sz="1"/>
              <w:right w:val="single" w:color="CCCCCC" w:sz="1"/>
            </w:tcBorders>
            <w:shd w:fill="FADBD8" w:val="clear"/>
            <w:tcMar>
              <w:top w:type="dxa" w:w="80"/>
              <w:left w:type="dxa" w:w="120"/>
              <w:bottom w:type="dxa" w:w="80"/>
              <w:right w:type="dxa" w:w="120"/>
            </w:tcMar>
            <w:vAlign w:val="center"/>
          </w:tcPr>
          <w:p>
            <w:pPr>
              <w:spacing w:after="0"/>
              <w:jc w:val="left"/>
            </w:pPr>
            <w:r>
              <w:rPr>
                <w:rFonts w:ascii="Arial" w:cs="Arial" w:eastAsia="Arial" w:hAnsi="Arial"/>
                <w:b/>
                <w:bCs/>
                <w:i w:val="false"/>
                <w:iCs w:val="false"/>
                <w:color w:val="9B2335"/>
                <w:sz w:val="16"/>
                <w:szCs w:val="16"/>
              </w:rPr>
              <w:t xml:space="preserve">Selected Prism Platform</w:t>
            </w:r>
          </w:p>
        </w:tc>
      </w:tr>
    </w:tbl>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C65C00" w:sz="10"/>
              <w:bottom w:val="none" w:color="FFFFFF" w:sz="0"/>
              <w:right w:val="none" w:color="FFFFFF" w:sz="0"/>
            </w:tcBorders>
            <w:shd w:fill="FFF2CC" w:val="clear"/>
            <w:tcMar>
              <w:top w:type="dxa" w:w="80"/>
              <w:left w:type="dxa" w:w="160"/>
              <w:bottom w:type="dxa" w:w="80"/>
              <w:right w:type="dxa" w:w="160"/>
            </w:tcMar>
          </w:tcPr>
          <w:p>
            <w:pPr>
              <w:spacing w:after="0"/>
            </w:pPr>
            <w:r>
              <w:rPr>
                <w:rFonts w:ascii="Arial" w:cs="Arial" w:eastAsia="Arial" w:hAnsi="Arial"/>
                <w:b/>
                <w:bCs/>
                <w:i w:val="false"/>
                <w:iCs w:val="false"/>
                <w:color w:val="C65C00"/>
                <w:sz w:val="17"/>
                <w:szCs w:val="17"/>
              </w:rPr>
              <w:t xml:space="preserve">Confidentiality notice: </w:t>
            </w:r>
            <w:r>
              <w:rPr>
                <w:rFonts w:ascii="Arial" w:cs="Arial" w:eastAsia="Arial" w:hAnsi="Arial"/>
                <w:b w:val="false"/>
                <w:bCs w:val="false"/>
                <w:i/>
                <w:iCs/>
                <w:color w:val="595959"/>
                <w:sz w:val="17"/>
                <w:szCs w:val="17"/>
              </w:rPr>
              <w:t xml:space="preserve">This transcript is derived from a simulated win/loss interview conducted as part of the wholesome.tech Q1 2026 research program. Respondent identity has been preserved for research integrity. This document is confidential and is intended for internal distribution only.</w:t>
            </w:r>
          </w:p>
        </w:tc>
      </w:tr>
    </w:tbl>
    <w:p>
      <w:pPr>
        <w:spacing w:after="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00 — Respondent Context &amp; Rapport</w:t>
            </w:r>
          </w:p>
        </w:tc>
      </w:tr>
    </w:tbl>
    <w:p>
      <w:pPr>
        <w:spacing w:after="0" w:before="40"/>
      </w:pPr>
      <w:r>
        <w:t xml:space="preserve"/>
      </w:r>
    </w:p>
    <w:p>
      <w:pPr>
        <w:pBdr>
          <w:left w:val="single" w:color="BBBBBB" w:sz="6"/>
        </w:pBdr>
        <w:spacing w:after="60" w:before="60"/>
        <w:ind w:left="160"/>
      </w:pPr>
      <w:r>
        <w:rPr>
          <w:rFonts w:ascii="Arial" w:cs="Arial" w:eastAsia="Arial" w:hAnsi="Arial"/>
          <w:b w:val="false"/>
          <w:bCs w:val="false"/>
          <w:i/>
          <w:iCs/>
          <w:color w:val="595959"/>
          <w:sz w:val="17"/>
          <w:szCs w:val="17"/>
        </w:rPr>
        <w:t xml:space="preserve">Opening: recording consent obtained. Rachel Gupta joined from Helix Biotech’s San Diego facility. She was measured and constructive, and several times emphasized that her feedback was intended to be helpful.</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Rachel, thank you so much for your time. Recording consent confirmed. You’re VP of Operations at Helix Biotech?</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That’s right. I’ve been in this role for about fourteen months. Before Helix I was Director of Operations at a larger biotech. This is a more complex environment in some ways because we’re still building the operational infrastructure while running active programs.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Can you describe what Operations covers in your context?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In a biotech of our size — we’re about sixty-five million in revenue, primarily from collaboration agreements and milestone payments — Operations covers procurement, vendor management, clinical supply chain, facilities, and a significant portion of the technology and data infrastructure that doesn’t sit in IT proper. The portfolio of tools I manage is about thirty percent of our non-laboratory spend.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you the primary decision-maker in this evaluation?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Primary evaluator and recommendation holder. The final approval went to our CFO and our CTO jointly. This was a cross-functional tool so both needed to sign off. I managed the stakeholder process across both functions.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01 — Triggering Event &amp; Business Context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triggered this specific evaluation?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Two things converged. There was a leadership change in our VP of Operations role — that’s me, I was brought in specifically to professionalize the operations function — and simultaneously we were experiencing competitive pressure from clients who were asking for capabilities we couldn’t currently deliver. The combination of new leadership wanting to modernize and client demand pulling us forward created the mandate.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When you say competitive pressure from clients, can you describe that more specifically?</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We have five active collaboration partners. Three of them asked, in the same quarter, for real-time data visibility into certain operational metrics. Two of them specifically referenced capabilities they had seen in tools that our competitors were using. When three of your five major clients ask for the same thing in the same quarter, you do not wait for a strategic planning cycle.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 formal business case required for the evaluation budget?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I built a one-page business case tied to client retention risk. The CFO approved it in the same meeting I presented it. The client pressure made the case self-evident.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long had the underlying capability gap existed?</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About two years, but the previous VP of Operations had not prioritized addressing it. This was one of the items that had been on the roadmap without action for longer than it should have been. Part of why I was brought 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02 — Discovery &amp; Awareness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you discover wholesome.tech as a candidate?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G2. I spent about two hours on G2 reading reviews in the relevant category. What made wholesome.tech stand out from the reviews was not the aggregate rating but the specificity of the use case descriptions. Several reviewers described workflows that were very similar to ours. That specificity made me take them seriously before I had even seen their website.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supplement the G2 research with any peer outreach?</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 called two peers — VPs of Operations at companies in our investor’s portfolio. Neither had direct experience with wholesome.tech. One had heard of Prism Platform, which also ended up on our short list. That call was useful context but not decisive in how I built the list.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many vendors made your short list?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Five on the long list, three on the short list. Prism Platform, wholesome.tech, and a third vendor that was eliminated early in the pilot phase for a separate compliance reason. So effectively a two-vendor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First impression of wholesome.tech’s website and messaging?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Good. Clear problem statement, credible client logos, the compliance certifications were prominently featured. I was specifically looking for SOC 2 Type II and it was easy to find. The integration list on their website was where I started to have questions — it listed our primary systems but some of the integration descriptions were vague about what ‘integration’ actually meant technically.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03 — Interactions with the wholesome.tech Team</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describe your interactions with the wholesome.tech team?</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Generally positive. The account team was knowledgeable and responsive. I would say the relationship quality was genuinely good — which is part of why I found the ultimate outcome so frustrating. This was not a situation where I was looking for reasons to choose someone else. I wanted wholesome.tech to win and they didn’t.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specifically worked well in the interactions?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account executive was well-prepared for every call. She tracked our priorities across conversations without needing to be reminded. She was candid about timelines and what was realistically achievable. That candor extended to the pilot process, where she set appropriate expectations about setup time and scope.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 moment that stood out, positively or negatively?</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negative moment is the more instructive one. In our second call, I asked directly about our integration requirements — I had a list of seven systems that needed to connect to the platform. The account executive said yes to all seven. I should have pressed harder on what ‘yes’ meant technically. I assumed it meant native integration. It did not mean that for four of the seven systems.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clarify what native integration meant at that point?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 mentioned it in passing. In retrospect, I should have asked explicitly: native integration or API-accessible integration? Those are meaningfully different things in an operations environment where my team does not have the engineering capacity to maintain custom API connections.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When did the distinction become clear?</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During the pilot. Which is late to discover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04 — Evaluation &amp; Pilot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Tell me about the pilot.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We ran a three-week pilot. The setup was relatively smooth — about five business days from agreement to live environment, which was fine. The pilot scope covered our three highest-priority workflows using a representative data subset.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happened during the pilot?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workflows performed well. The interface was intuitive. My team was positive about the product. Then on day nine, our Senior Operations Analyst was testing the integration with two of our systems and found that the connection was not native — it was an API integration that required her to configure and maintain a custom connection. For two of the most important systems in our stack. She brought it to me and I called the account executive immediately.</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account executive respond?</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She was honest and I give her credit for that. She acknowledged that the integrations for those two systems were API-accessible rather than native, meaning we would need to build and maintain the connection ourselves. She offered to provide technical documentation and said their professional services team could build the initial integration for an additional fee. That offer was a reasonable response. But it was not what I had been told on the second call.</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you feel the initial ‘yes’ on integrations was intentional or inadvertent?</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 believe it was inadvertent. The account executive genuinely did not know the distinction clearly enough to give me an accurate answer. That is an organizational problem — if your sales team cannot accurately characterize your integration depth, you will keep discovering these gaps in pilots. This was not a dishonest person. It was an undertrained team on a specific technical dimension.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integration gap affect the pilot outcome?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It effectively ended the competitive evaluation. Prism had pre-built native connectors for all seven of our systems — all seven. The integration math was decisive. My team could not absorb the cost of maintaining four custom API connections. That’s a meaningful ongoing engineering burden for a company at our size.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05 — Must-Have Requirements &amp; Decision Factors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your must-have requirements?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Four items. SOC 2 Type II, confirmed for both vendors. A defined set of seven native system integrations — and this is where the distinction I described became the decisive factor. API access with comprehensive documentation. And sub-three-second response time under our typical query load.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wholesome.tech perform on the non-integration criteria?</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Excellently. SOC 2 was clean. API documentation was thorough. Response time was within spec. On three of four criteria, they were competitive with Prism. The integration gap was the single point of failure.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were the top factors in the final decision?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Integration completeness, exclusively. If wholesome.tech had had native connectors for the full seven systems, I do not know that Prism would have won. The product quality was comparable. The team quality was comparable. The integration gap made the decision unambiguous.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there security or compliance factors that mattered?</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Both vendors were comparable on compliance. SOC 2 Type II, clean BAAs, documented data handling. Compliance was a gate criterion that both cleared. It was not a differentiator.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06 — Pricing &amp; Commercial Terms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was your reaction to pricing?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Comparable to Prism within a range I would call equivalent. This was not a price decision at all. I want to be very clear about that. If the integration gap had not existed, price would not have been a differentiating factor in either direction.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Were the commercial terms flexible?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We did not reach the commercial negotiation stage with wholesome.tech once the integration issue became clear during the pilot. The conversation shifted to whether the gap could be remediated, and once we confirmed it could not be in our evaluation window, we ended the process.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Did the pricing model work for your budget process?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structurally. Fixed annual fee, which is compatible with how we budget. No concerns about the pricing model specifically.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07 — Sales Process &amp; Team Assessment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would you describe the sales process overall?</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Professional and reasonably well-structured. The account executive managed the process consistently. The demo was good. The pilot was well-organized. The failure was on one specific technical dimension and it was, I believe, a training gap rather than a process failure.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did the materials compare?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technical documentation was strong. The integration section of their website was, in retrospect, vague in ways I should have pressed harder on during the evaluation. The native versus API-accessible distinction was not clearly communicated in any of the written materials. If it had been, I would have surfaced the issue in week one instead of week two of the pilot.</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Was there anything that hurt their standing beyond the integration issue?</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No. The integration issue was so significant that it overshadowed everything else. If I try to set that aside: the demo quality was high, the account team was professional, the response times were acceptable. The sales process itself did not lose this deal. A product-specific technical gap did.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08 — Outcome &amp; Competitive Displacement</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vendor did you select and why?</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Prism Platform. The reason was specific: they had native connectors for all seven of the systems in our integration requirements list. All seven. Our Senior Operations Analyst confirmed each one during our parallel pilot. When the integration question is the decisive question and one vendor has seven and one has three, the evaluation is concluded.</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Is there a scenario where you would reconsider wholesome.tech?</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If they build native connectors for the four systems where we had gaps — and specifically, if those connectors are maintained as native integrations and not converted to API connections after the initial release — I would evaluate them seriously in our next contract cycle. The product is genuinely good. The team is good. This was a specific, remediable gap, not a fundamental quality issue.</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How confident are you in the Prism decision?</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Confident in the integration coverage. The product is somewhat less intuitive than wholesome.tech’s and my team took longer to get comfortable with the interface. But the integration completeness was the requirement and they met it.</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D6E4F0" w:val="clear"/>
            <w:tcMar>
              <w:top w:type="dxa" w:w="80"/>
              <w:left w:type="dxa" w:w="160"/>
              <w:bottom w:type="dxa" w:w="80"/>
              <w:right w:type="dxa" w:w="160"/>
            </w:tcMar>
          </w:tcPr>
          <w:p>
            <w:pPr>
              <w:spacing w:after="0"/>
            </w:pPr>
            <w:r>
              <w:rPr>
                <w:rFonts w:ascii="Arial" w:cs="Arial" w:eastAsia="Arial" w:hAnsi="Arial"/>
                <w:b/>
                <w:bCs/>
                <w:i w:val="false"/>
                <w:iCs w:val="false"/>
                <w:color w:val="1F4E79"/>
                <w:sz w:val="19"/>
                <w:szCs w:val="19"/>
              </w:rPr>
              <w:t xml:space="preserve">Section 09 — Advice &amp; Management Recommendations</w:t>
            </w:r>
          </w:p>
        </w:tc>
      </w:tr>
    </w:tbl>
    <w:p>
      <w:pPr>
        <w:spacing w:after="0" w:before="40"/>
      </w:pPr>
      <w:r>
        <w:t xml:space="preserve"/>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is the most important advice you would give the wholesome.tech CEO?</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Be precise about what your integrations actually are. Native integration and API-accessible integration are fundamentally different propositions for an operations team without dedicated engineering capacity. The distinction needs to be clear in your website, in your sales materials, in every conversation your team has with a prospect. If a customer asks whether you integrate with System X, the answer needs to specify whether it is a native connector or an API connection. That clarity would prevent the kind of pilot discovery that ended this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Is there a capability you wish was stronger?</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The integration ecosystem. Build the four connectors we were missing. I am confident we are not the only prospect who has discovered this gap in a pilot. Every native connector you add closes a deal you are currently losing. This is the most direct product investment you can make to improve win rates.</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What should they stop doing?</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Stop letting the sales team answer integration questions without a technical authority on the call. The account executive who managed our evaluation was excellent in many ways but was not equipped to give me a technically accurate answer about integration architecture. Have a solutions engineer on the call whenever integration requirements are discussed. That one change would have changed my evaluation.</w:t>
      </w:r>
    </w:p>
    <w:p>
      <w:pPr>
        <w:spacing w:after="20" w:before="120"/>
      </w:pPr>
      <w:r>
        <w:rPr>
          <w:rFonts w:ascii="Arial" w:cs="Arial" w:eastAsia="Arial" w:hAnsi="Arial"/>
          <w:b/>
          <w:bCs/>
          <w:i w:val="false"/>
          <w:iCs w:val="false"/>
          <w:color w:val="2E75B6"/>
          <w:sz w:val="18"/>
          <w:szCs w:val="18"/>
        </w:rPr>
        <w:t xml:space="preserve">INTERVIEWER  </w:t>
      </w:r>
      <w:r>
        <w:rPr>
          <w:rFonts w:ascii="Arial" w:cs="Arial" w:eastAsia="Arial" w:hAnsi="Arial"/>
          <w:b w:val="false"/>
          <w:bCs w:val="false"/>
          <w:i w:val="false"/>
          <w:iCs w:val="false"/>
          <w:color w:val="404040"/>
          <w:sz w:val="19"/>
          <w:szCs w:val="19"/>
        </w:rPr>
        <w:t xml:space="preserve">Any final thoughts?</w:t>
      </w:r>
    </w:p>
    <w:p>
      <w:pPr>
        <w:spacing w:after="80" w:before="40"/>
        <w:ind w:left="160"/>
      </w:pPr>
      <w:r>
        <w:rPr>
          <w:rFonts w:ascii="Arial" w:cs="Arial" w:eastAsia="Arial" w:hAnsi="Arial"/>
          <w:b/>
          <w:bCs/>
          <w:i w:val="false"/>
          <w:iCs w:val="false"/>
          <w:color w:val="9B2335"/>
          <w:sz w:val="18"/>
          <w:szCs w:val="18"/>
        </w:rPr>
        <w:t xml:space="preserve">RESPONDENT  </w:t>
      </w:r>
      <w:r>
        <w:rPr>
          <w:rFonts w:ascii="Arial" w:cs="Arial" w:eastAsia="Arial" w:hAnsi="Arial"/>
          <w:b w:val="false"/>
          <w:bCs w:val="false"/>
          <w:i w:val="false"/>
          <w:iCs w:val="false"/>
          <w:color w:val="404040"/>
          <w:sz w:val="19"/>
          <w:szCs w:val="19"/>
        </w:rPr>
        <w:t xml:space="preserve">Yes. I want to be constructive here. I genuinely hope this feedback is useful. The product is good. The team is good. This is a specific, solvable problem. Fix the integration transparency and build the connectors. The rest of what you have is genuinely competitive.</w:t>
      </w:r>
    </w:p>
    <w:p>
      <w:pPr>
        <w:pBdr>
          <w:left w:val="single" w:color="BBBBBB" w:sz="6"/>
        </w:pBdr>
        <w:spacing w:after="60" w:before="60"/>
        <w:ind w:left="160"/>
      </w:pPr>
      <w:r>
        <w:rPr>
          <w:rFonts w:ascii="Arial" w:cs="Arial" w:eastAsia="Arial" w:hAnsi="Arial"/>
          <w:b w:val="false"/>
          <w:bCs w:val="false"/>
          <w:i/>
          <w:iCs/>
          <w:color w:val="595959"/>
          <w:sz w:val="17"/>
          <w:szCs w:val="17"/>
        </w:rPr>
        <w:t xml:space="preserve">Closing: Rachel Gupta offered to discuss further if the integration gap analysis would be helpful. She indicated she would re-evaluate at contract renewal. Interview concluded at 51 minutes.</w:t>
      </w:r>
    </w:p>
    <w:p>
      <w:pPr>
        <w:spacing w:after="0" w:before="80"/>
      </w:pPr>
      <w:r>
        <w:t xml:space="preserve"/>
      </w:r>
    </w:p>
    <w:p>
      <w:pPr>
        <w:pBdr>
          <w:top w:val="single" w:color="CCCCCC" w:sz="4" w:space="1"/>
        </w:pBdr>
        <w:spacing w:after="40" w:before="80"/>
      </w:pPr>
      <w:r>
        <w:rPr>
          <w:rFonts w:ascii="Arial" w:cs="Arial" w:eastAsia="Arial" w:hAnsi="Arial"/>
          <w:b w:val="false"/>
          <w:bCs w:val="false"/>
          <w:i/>
          <w:iCs/>
          <w:color w:val="595959"/>
          <w:sz w:val="16"/>
          <w:szCs w:val="16"/>
        </w:rPr>
        <w:t xml:space="preserve">--- End of Transcript R05 — Helix Biotech Inc ---</w:t>
      </w:r>
    </w:p>
    <w:sectPr>
      <w:headerReference w:type="default" r:id="rId16"/>
      <w:footerReference w:type="default" r:id="rId17"/>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1"/>
      </w:pBdr>
      <w:spacing w:before="80"/>
    </w:pPr>
    <w:r>
      <w:rPr>
        <w:rFonts w:ascii="Arial" w:cs="Arial" w:eastAsia="Arial" w:hAnsi="Arial"/>
        <w:b w:val="false"/>
        <w:bCs w:val="false"/>
        <w:i w:val="false"/>
        <w:iCs w:val="false"/>
        <w:color w:val="595959"/>
        <w:sz w:val="16"/>
        <w:szCs w:val="16"/>
      </w:rPr>
      <w:t xml:space="preserve">Confidential — For Internal Use Only     Page </w:t>
    </w:r>
    <w:r>
      <w:rPr>
        <w:rFonts w:ascii="Arial" w:cs="Arial" w:eastAsia="Arial" w:hAnsi="Arial"/>
        <w:color w:val="595959"/>
        <w:sz w:val="16"/>
        <w:szCs w:val="16"/>
      </w:rPr>
      <w:fldChar w:fldCharType="begin"/>
      <w:instrText xml:space="preserve">PAGE</w:instrText>
      <w:fldChar w:fldCharType="separate"/>
      <w:fldChar w:fldCharType="end"/>
    </w:r>
    <w:r>
      <w:rPr>
        <w:rFonts w:ascii="Arial" w:cs="Arial" w:eastAsia="Arial" w:hAnsi="Arial"/>
        <w:b w:val="false"/>
        <w:bCs w:val="false"/>
        <w:i w:val="false"/>
        <w:iCs w:val="false"/>
        <w:color w:val="595959"/>
        <w:sz w:val="16"/>
        <w:szCs w:val="16"/>
      </w:rPr>
      <w:t xml:space="preserve"> of </w:t>
    </w:r>
    <w:r>
      <w:rPr>
        <w:rFonts w:ascii="Arial" w:cs="Arial" w:eastAsia="Arial" w:hAnsi="Arial"/>
        <w:color w:val="595959"/>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20"/>
      <w:gridCol w:w="1700"/>
      <w:gridCol w:w="2000"/>
    </w:tblGrid>
    <w:tr>
      <w:tc>
        <w:tcPr>
          <w:tcW w:type="dxa" w:w="6020"/>
          <w:tcBorders>
            <w:top w:val="none" w:color="FFFFFF" w:sz="0"/>
            <w:left w:val="none" w:color="FFFFFF" w:sz="0"/>
            <w:bottom w:val="none" w:color="FFFFFF" w:sz="0"/>
            <w:right w:val="none" w:color="FFFFFF" w:sz="0"/>
          </w:tcBorders>
        </w:tcPr>
        <w:p>
          <w:pPr>
            <w:spacing w:after="0"/>
          </w:pPr>
          <w:r>
            <w:rPr>
              <w:rFonts w:ascii="Arial" w:cs="Arial" w:eastAsia="Arial" w:hAnsi="Arial"/>
              <w:b/>
              <w:bCs/>
              <w:i w:val="false"/>
              <w:iCs w:val="false"/>
              <w:color w:val="1F4E79"/>
              <w:sz w:val="18"/>
              <w:szCs w:val="18"/>
            </w:rPr>
            <w:t xml:space="preserve">Win/Loss Interview Transcript</w:t>
          </w:r>
        </w:p>
      </w:tc>
      <w:tc>
        <w:tcPr>
          <w:tcW w:type="dxa" w:w="1700"/>
          <w:tcBorders>
            <w:top w:val="none" w:color="FFFFFF" w:sz="0"/>
            <w:left w:val="none" w:color="FFFFFF" w:sz="0"/>
            <w:bottom w:val="none" w:color="FFFFFF" w:sz="0"/>
            <w:right w:val="none" w:color="FFFFFF" w:sz="0"/>
          </w:tcBorders>
          <w:shd w:fill="E2EFDA" w:val="clear"/>
          <w:tcMar>
            <w:top w:type="dxa" w:w="40"/>
            <w:left w:type="dxa" w:w="100"/>
            <w:bottom w:type="dxa" w:w="40"/>
            <w:right w:type="dxa" w:w="100"/>
          </w:tcMar>
        </w:tcPr>
        <w:p>
          <w:pPr>
            <w:spacing w:after="0"/>
            <w:jc w:val="center"/>
          </w:pPr>
          <w:r>
            <w:rPr>
              <w:rFonts w:ascii="Arial" w:cs="Arial" w:eastAsia="Arial" w:hAnsi="Arial"/>
              <w:b/>
              <w:bCs/>
              <w:i w:val="false"/>
              <w:iCs w:val="false"/>
              <w:color w:val="375623"/>
              <w:sz w:val="16"/>
              <w:szCs w:val="16"/>
            </w:rPr>
            <w:t xml:space="preserve">Win</w:t>
          </w:r>
        </w:p>
      </w:tc>
      <w:tc>
        <w:tcPr>
          <w:tcW w:type="dxa" w:w="2000"/>
          <w:tcBorders>
            <w:top w:val="none" w:color="FFFFFF" w:sz="0"/>
            <w:left w:val="none" w:color="FFFFFF" w:sz="0"/>
            <w:bottom w:val="none" w:color="FFFFFF" w:sz="0"/>
            <w:right w:val="none" w:color="FFFFFF" w:sz="0"/>
          </w:tcBorders>
        </w:tcPr>
        <w:p>
          <w:pPr>
            <w:spacing w:after="0"/>
            <w:jc w:val="right"/>
          </w:pPr>
          <w:r>
            <w:rPr>
              <w:rFonts w:ascii="Arial" w:cs="Arial" w:eastAsia="Arial" w:hAnsi="Arial"/>
              <w:b w:val="false"/>
              <w:bCs w:val="false"/>
              <w:i w:val="false"/>
              <w:iCs w:val="false"/>
              <w:color w:val="595959"/>
              <w:sz w:val="16"/>
              <w:szCs w:val="16"/>
            </w:rPr>
            <w:t xml:space="preserve">Meridian Analytics</w:t>
          </w:r>
        </w:p>
      </w:tc>
    </w:tr>
  </w:tbl>
  <w:p>
    <w:pPr>
      <w:pBdr>
        <w:bottom w:val="single" w:color="2E75B6" w:sz="6" w:space="1"/>
      </w:pBdr>
      <w:spacing w:after="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20"/>
      <w:gridCol w:w="1700"/>
      <w:gridCol w:w="2000"/>
    </w:tblGrid>
    <w:tr>
      <w:tc>
        <w:tcPr>
          <w:tcW w:type="dxa" w:w="6020"/>
          <w:tcBorders>
            <w:top w:val="none" w:color="FFFFFF" w:sz="0"/>
            <w:left w:val="none" w:color="FFFFFF" w:sz="0"/>
            <w:bottom w:val="none" w:color="FFFFFF" w:sz="0"/>
            <w:right w:val="none" w:color="FFFFFF" w:sz="0"/>
          </w:tcBorders>
        </w:tcPr>
        <w:p>
          <w:pPr>
            <w:spacing w:after="0"/>
          </w:pPr>
          <w:r>
            <w:rPr>
              <w:rFonts w:ascii="Arial" w:cs="Arial" w:eastAsia="Arial" w:hAnsi="Arial"/>
              <w:b/>
              <w:bCs/>
              <w:i w:val="false"/>
              <w:iCs w:val="false"/>
              <w:color w:val="1F4E79"/>
              <w:sz w:val="18"/>
              <w:szCs w:val="18"/>
            </w:rPr>
            <w:t xml:space="preserve">Win/Loss Interview Transcript</w:t>
          </w:r>
        </w:p>
      </w:tc>
      <w:tc>
        <w:tcPr>
          <w:tcW w:type="dxa" w:w="1700"/>
          <w:tcBorders>
            <w:top w:val="none" w:color="FFFFFF" w:sz="0"/>
            <w:left w:val="none" w:color="FFFFFF" w:sz="0"/>
            <w:bottom w:val="none" w:color="FFFFFF" w:sz="0"/>
            <w:right w:val="none" w:color="FFFFFF" w:sz="0"/>
          </w:tcBorders>
          <w:shd w:fill="E2EFDA" w:val="clear"/>
          <w:tcMar>
            <w:top w:type="dxa" w:w="40"/>
            <w:left w:type="dxa" w:w="100"/>
            <w:bottom w:type="dxa" w:w="40"/>
            <w:right w:type="dxa" w:w="100"/>
          </w:tcMar>
        </w:tcPr>
        <w:p>
          <w:pPr>
            <w:spacing w:after="0"/>
            <w:jc w:val="center"/>
          </w:pPr>
          <w:r>
            <w:rPr>
              <w:rFonts w:ascii="Arial" w:cs="Arial" w:eastAsia="Arial" w:hAnsi="Arial"/>
              <w:b/>
              <w:bCs/>
              <w:i w:val="false"/>
              <w:iCs w:val="false"/>
              <w:color w:val="375623"/>
              <w:sz w:val="16"/>
              <w:szCs w:val="16"/>
            </w:rPr>
            <w:t xml:space="preserve">Win</w:t>
          </w:r>
        </w:p>
      </w:tc>
      <w:tc>
        <w:tcPr>
          <w:tcW w:type="dxa" w:w="2000"/>
          <w:tcBorders>
            <w:top w:val="none" w:color="FFFFFF" w:sz="0"/>
            <w:left w:val="none" w:color="FFFFFF" w:sz="0"/>
            <w:bottom w:val="none" w:color="FFFFFF" w:sz="0"/>
            <w:right w:val="none" w:color="FFFFFF" w:sz="0"/>
          </w:tcBorders>
        </w:tcPr>
        <w:p>
          <w:pPr>
            <w:spacing w:after="0"/>
            <w:jc w:val="right"/>
          </w:pPr>
          <w:r>
            <w:rPr>
              <w:rFonts w:ascii="Arial" w:cs="Arial" w:eastAsia="Arial" w:hAnsi="Arial"/>
              <w:b w:val="false"/>
              <w:bCs w:val="false"/>
              <w:i w:val="false"/>
              <w:iCs w:val="false"/>
              <w:color w:val="595959"/>
              <w:sz w:val="16"/>
              <w:szCs w:val="16"/>
            </w:rPr>
            <w:t xml:space="preserve">Vantage Capital Group</w:t>
          </w:r>
        </w:p>
      </w:tc>
    </w:tr>
  </w:tbl>
  <w:p>
    <w:pPr>
      <w:pBdr>
        <w:bottom w:val="single" w:color="2E75B6" w:sz="6" w:space="1"/>
      </w:pBdr>
      <w:spacing w:after="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20"/>
      <w:gridCol w:w="1700"/>
      <w:gridCol w:w="2000"/>
    </w:tblGrid>
    <w:tr>
      <w:tc>
        <w:tcPr>
          <w:tcW w:type="dxa" w:w="6020"/>
          <w:tcBorders>
            <w:top w:val="none" w:color="FFFFFF" w:sz="0"/>
            <w:left w:val="none" w:color="FFFFFF" w:sz="0"/>
            <w:bottom w:val="none" w:color="FFFFFF" w:sz="0"/>
            <w:right w:val="none" w:color="FFFFFF" w:sz="0"/>
          </w:tcBorders>
        </w:tcPr>
        <w:p>
          <w:pPr>
            <w:spacing w:after="0"/>
          </w:pPr>
          <w:r>
            <w:rPr>
              <w:rFonts w:ascii="Arial" w:cs="Arial" w:eastAsia="Arial" w:hAnsi="Arial"/>
              <w:b/>
              <w:bCs/>
              <w:i w:val="false"/>
              <w:iCs w:val="false"/>
              <w:color w:val="1F4E79"/>
              <w:sz w:val="18"/>
              <w:szCs w:val="18"/>
            </w:rPr>
            <w:t xml:space="preserve">Win/Loss Interview Transcript</w:t>
          </w:r>
        </w:p>
      </w:tc>
      <w:tc>
        <w:tcPr>
          <w:tcW w:type="dxa" w:w="1700"/>
          <w:tcBorders>
            <w:top w:val="none" w:color="FFFFFF" w:sz="0"/>
            <w:left w:val="none" w:color="FFFFFF" w:sz="0"/>
            <w:bottom w:val="none" w:color="FFFFFF" w:sz="0"/>
            <w:right w:val="none" w:color="FFFFFF" w:sz="0"/>
          </w:tcBorders>
          <w:shd w:fill="E2EFDA" w:val="clear"/>
          <w:tcMar>
            <w:top w:type="dxa" w:w="40"/>
            <w:left w:type="dxa" w:w="100"/>
            <w:bottom w:type="dxa" w:w="40"/>
            <w:right w:type="dxa" w:w="100"/>
          </w:tcMar>
        </w:tcPr>
        <w:p>
          <w:pPr>
            <w:spacing w:after="0"/>
            <w:jc w:val="center"/>
          </w:pPr>
          <w:r>
            <w:rPr>
              <w:rFonts w:ascii="Arial" w:cs="Arial" w:eastAsia="Arial" w:hAnsi="Arial"/>
              <w:b/>
              <w:bCs/>
              <w:i w:val="false"/>
              <w:iCs w:val="false"/>
              <w:color w:val="375623"/>
              <w:sz w:val="16"/>
              <w:szCs w:val="16"/>
            </w:rPr>
            <w:t xml:space="preserve">Win</w:t>
          </w:r>
        </w:p>
      </w:tc>
      <w:tc>
        <w:tcPr>
          <w:tcW w:type="dxa" w:w="2000"/>
          <w:tcBorders>
            <w:top w:val="none" w:color="FFFFFF" w:sz="0"/>
            <w:left w:val="none" w:color="FFFFFF" w:sz="0"/>
            <w:bottom w:val="none" w:color="FFFFFF" w:sz="0"/>
            <w:right w:val="none" w:color="FFFFFF" w:sz="0"/>
          </w:tcBorders>
        </w:tcPr>
        <w:p>
          <w:pPr>
            <w:spacing w:after="0"/>
            <w:jc w:val="right"/>
          </w:pPr>
          <w:r>
            <w:rPr>
              <w:rFonts w:ascii="Arial" w:cs="Arial" w:eastAsia="Arial" w:hAnsi="Arial"/>
              <w:b w:val="false"/>
              <w:bCs w:val="false"/>
              <w:i w:val="false"/>
              <w:iCs w:val="false"/>
              <w:color w:val="595959"/>
              <w:sz w:val="16"/>
              <w:szCs w:val="16"/>
            </w:rPr>
            <w:t xml:space="preserve">Pinecrest Health Systems</w:t>
          </w:r>
        </w:p>
      </w:tc>
    </w:tr>
  </w:tbl>
  <w:p>
    <w:pPr>
      <w:pBdr>
        <w:bottom w:val="single" w:color="2E75B6" w:sz="6" w:space="1"/>
      </w:pBdr>
      <w:spacing w:after="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20"/>
      <w:gridCol w:w="1700"/>
      <w:gridCol w:w="2000"/>
    </w:tblGrid>
    <w:tr>
      <w:tc>
        <w:tcPr>
          <w:tcW w:type="dxa" w:w="6020"/>
          <w:tcBorders>
            <w:top w:val="none" w:color="FFFFFF" w:sz="0"/>
            <w:left w:val="none" w:color="FFFFFF" w:sz="0"/>
            <w:bottom w:val="none" w:color="FFFFFF" w:sz="0"/>
            <w:right w:val="none" w:color="FFFFFF" w:sz="0"/>
          </w:tcBorders>
        </w:tcPr>
        <w:p>
          <w:pPr>
            <w:spacing w:after="0"/>
          </w:pPr>
          <w:r>
            <w:rPr>
              <w:rFonts w:ascii="Arial" w:cs="Arial" w:eastAsia="Arial" w:hAnsi="Arial"/>
              <w:b/>
              <w:bCs/>
              <w:i w:val="false"/>
              <w:iCs w:val="false"/>
              <w:color w:val="1F4E79"/>
              <w:sz w:val="18"/>
              <w:szCs w:val="18"/>
            </w:rPr>
            <w:t xml:space="preserve">Win/Loss Interview Transcript</w:t>
          </w:r>
        </w:p>
      </w:tc>
      <w:tc>
        <w:tcPr>
          <w:tcW w:type="dxa" w:w="1700"/>
          <w:tcBorders>
            <w:top w:val="none" w:color="FFFFFF" w:sz="0"/>
            <w:left w:val="none" w:color="FFFFFF" w:sz="0"/>
            <w:bottom w:val="none" w:color="FFFFFF" w:sz="0"/>
            <w:right w:val="none" w:color="FFFFFF" w:sz="0"/>
          </w:tcBorders>
          <w:shd w:fill="FADBD8" w:val="clear"/>
          <w:tcMar>
            <w:top w:type="dxa" w:w="40"/>
            <w:left w:type="dxa" w:w="100"/>
            <w:bottom w:type="dxa" w:w="40"/>
            <w:right w:type="dxa" w:w="100"/>
          </w:tcMar>
        </w:tcPr>
        <w:p>
          <w:pPr>
            <w:spacing w:after="0"/>
            <w:jc w:val="center"/>
          </w:pPr>
          <w:r>
            <w:rPr>
              <w:rFonts w:ascii="Arial" w:cs="Arial" w:eastAsia="Arial" w:hAnsi="Arial"/>
              <w:b/>
              <w:bCs/>
              <w:i w:val="false"/>
              <w:iCs w:val="false"/>
              <w:color w:val="9B2335"/>
              <w:sz w:val="16"/>
              <w:szCs w:val="16"/>
            </w:rPr>
            <w:t xml:space="preserve">Loss</w:t>
          </w:r>
        </w:p>
      </w:tc>
      <w:tc>
        <w:tcPr>
          <w:tcW w:type="dxa" w:w="2000"/>
          <w:tcBorders>
            <w:top w:val="none" w:color="FFFFFF" w:sz="0"/>
            <w:left w:val="none" w:color="FFFFFF" w:sz="0"/>
            <w:bottom w:val="none" w:color="FFFFFF" w:sz="0"/>
            <w:right w:val="none" w:color="FFFFFF" w:sz="0"/>
          </w:tcBorders>
        </w:tcPr>
        <w:p>
          <w:pPr>
            <w:spacing w:after="0"/>
            <w:jc w:val="right"/>
          </w:pPr>
          <w:r>
            <w:rPr>
              <w:rFonts w:ascii="Arial" w:cs="Arial" w:eastAsia="Arial" w:hAnsi="Arial"/>
              <w:b w:val="false"/>
              <w:bCs w:val="false"/>
              <w:i w:val="false"/>
              <w:iCs w:val="false"/>
              <w:color w:val="595959"/>
              <w:sz w:val="16"/>
              <w:szCs w:val="16"/>
            </w:rPr>
            <w:t xml:space="preserve">Cascade Systems</w:t>
          </w:r>
        </w:p>
      </w:tc>
    </w:tr>
  </w:tbl>
  <w:p>
    <w:pPr>
      <w:pBdr>
        <w:bottom w:val="single" w:color="2E75B6" w:sz="6" w:space="1"/>
      </w:pBdr>
      <w:spacing w:after="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6020"/>
      <w:gridCol w:w="1700"/>
      <w:gridCol w:w="2000"/>
    </w:tblGrid>
    <w:tr>
      <w:tc>
        <w:tcPr>
          <w:tcW w:type="dxa" w:w="6020"/>
          <w:tcBorders>
            <w:top w:val="none" w:color="FFFFFF" w:sz="0"/>
            <w:left w:val="none" w:color="FFFFFF" w:sz="0"/>
            <w:bottom w:val="none" w:color="FFFFFF" w:sz="0"/>
            <w:right w:val="none" w:color="FFFFFF" w:sz="0"/>
          </w:tcBorders>
        </w:tcPr>
        <w:p>
          <w:pPr>
            <w:spacing w:after="0"/>
          </w:pPr>
          <w:r>
            <w:rPr>
              <w:rFonts w:ascii="Arial" w:cs="Arial" w:eastAsia="Arial" w:hAnsi="Arial"/>
              <w:b/>
              <w:bCs/>
              <w:i w:val="false"/>
              <w:iCs w:val="false"/>
              <w:color w:val="1F4E79"/>
              <w:sz w:val="18"/>
              <w:szCs w:val="18"/>
            </w:rPr>
            <w:t xml:space="preserve">Win/Loss Interview Transcript</w:t>
          </w:r>
        </w:p>
      </w:tc>
      <w:tc>
        <w:tcPr>
          <w:tcW w:type="dxa" w:w="1700"/>
          <w:tcBorders>
            <w:top w:val="none" w:color="FFFFFF" w:sz="0"/>
            <w:left w:val="none" w:color="FFFFFF" w:sz="0"/>
            <w:bottom w:val="none" w:color="FFFFFF" w:sz="0"/>
            <w:right w:val="none" w:color="FFFFFF" w:sz="0"/>
          </w:tcBorders>
          <w:shd w:fill="FADBD8" w:val="clear"/>
          <w:tcMar>
            <w:top w:type="dxa" w:w="40"/>
            <w:left w:type="dxa" w:w="100"/>
            <w:bottom w:type="dxa" w:w="40"/>
            <w:right w:type="dxa" w:w="100"/>
          </w:tcMar>
        </w:tcPr>
        <w:p>
          <w:pPr>
            <w:spacing w:after="0"/>
            <w:jc w:val="center"/>
          </w:pPr>
          <w:r>
            <w:rPr>
              <w:rFonts w:ascii="Arial" w:cs="Arial" w:eastAsia="Arial" w:hAnsi="Arial"/>
              <w:b/>
              <w:bCs/>
              <w:i w:val="false"/>
              <w:iCs w:val="false"/>
              <w:color w:val="9B2335"/>
              <w:sz w:val="16"/>
              <w:szCs w:val="16"/>
            </w:rPr>
            <w:t xml:space="preserve">Loss</w:t>
          </w:r>
        </w:p>
      </w:tc>
      <w:tc>
        <w:tcPr>
          <w:tcW w:type="dxa" w:w="2000"/>
          <w:tcBorders>
            <w:top w:val="none" w:color="FFFFFF" w:sz="0"/>
            <w:left w:val="none" w:color="FFFFFF" w:sz="0"/>
            <w:bottom w:val="none" w:color="FFFFFF" w:sz="0"/>
            <w:right w:val="none" w:color="FFFFFF" w:sz="0"/>
          </w:tcBorders>
        </w:tcPr>
        <w:p>
          <w:pPr>
            <w:spacing w:after="0"/>
            <w:jc w:val="right"/>
          </w:pPr>
          <w:r>
            <w:rPr>
              <w:rFonts w:ascii="Arial" w:cs="Arial" w:eastAsia="Arial" w:hAnsi="Arial"/>
              <w:b w:val="false"/>
              <w:bCs w:val="false"/>
              <w:i w:val="false"/>
              <w:iCs w:val="false"/>
              <w:color w:val="595959"/>
              <w:sz w:val="16"/>
              <w:szCs w:val="16"/>
            </w:rPr>
            <w:t xml:space="preserve">Helix Biotech Inc</w:t>
          </w:r>
        </w:p>
      </w:tc>
    </w:tr>
  </w:tbl>
  <w:p>
    <w:pPr>
      <w:pBdr>
        <w:bottom w:val="single" w:color="2E75B6" w:sz="6" w:space="1"/>
      </w:pBd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404040"/>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FFFFFF"/>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header" Target="header1.xml"/><Relationship Id="rId9" Type="http://schemas.openxmlformats.org/officeDocument/2006/relationships/footer" Target="footer2.xml"/><Relationship Id="rId10" Type="http://schemas.openxmlformats.org/officeDocument/2006/relationships/header" Target="header2.xml"/><Relationship Id="rId11" Type="http://schemas.openxmlformats.org/officeDocument/2006/relationships/footer" Target="footer3.xml"/><Relationship Id="rId12" Type="http://schemas.openxmlformats.org/officeDocument/2006/relationships/header" Target="header3.xml"/><Relationship Id="rId13" Type="http://schemas.openxmlformats.org/officeDocument/2006/relationships/footer" Target="footer4.xml"/><Relationship Id="rId14" Type="http://schemas.openxmlformats.org/officeDocument/2006/relationships/header" Target="header4.xml"/><Relationship Id="rId15" Type="http://schemas.openxmlformats.org/officeDocument/2006/relationships/footer" Target="footer5.xml"/><Relationship Id="rId16" Type="http://schemas.openxmlformats.org/officeDocument/2006/relationships/header" Target="header5.xml"/><Relationship Id="rId17" Type="http://schemas.openxmlformats.org/officeDocument/2006/relationships/footer" Target="footer6.xml"/><Relationship Id="rId1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word/_rels/header5.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2026-05-12T23:05:00.663Z</dcterms:created>
  <dcterms:modified xsi:type="dcterms:W3CDTF">2026-05-12T23:05:00.680Z</dcterms:modified>
</cp:coreProperties>
</file>

<file path=docProps/custom.xml><?xml version="1.0" encoding="utf-8"?>
<Properties xmlns="http://schemas.openxmlformats.org/officeDocument/2006/custom-properties" xmlns:vt="http://schemas.openxmlformats.org/officeDocument/2006/docPropsVTypes"/>
</file>